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340BF3" w:rsidRDefault="003314A2" w:rsidP="003314A2">
      <w:pPr>
        <w:spacing w:line="360" w:lineRule="auto"/>
        <w:rPr>
          <w:rFonts w:ascii="Century Gothic" w:hAnsi="Century Gothic"/>
          <w:sz w:val="22"/>
          <w:szCs w:val="22"/>
        </w:rPr>
      </w:pPr>
      <w:r w:rsidRPr="00340BF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340BF3"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340BF3" w14:paraId="077F9E4D" w14:textId="77777777" w:rsidTr="003827E1">
        <w:trPr>
          <w:trHeight w:val="454"/>
        </w:trPr>
        <w:tc>
          <w:tcPr>
            <w:tcW w:w="4537" w:type="dxa"/>
            <w:vAlign w:val="center"/>
          </w:tcPr>
          <w:p w14:paraId="239BC5A7" w14:textId="7E10D35F" w:rsidR="00F67EF8" w:rsidRPr="00340BF3" w:rsidRDefault="00F67EF8" w:rsidP="003B7F1A">
            <w:pPr>
              <w:spacing w:line="360" w:lineRule="auto"/>
              <w:rPr>
                <w:rFonts w:ascii="Century Gothic" w:hAnsi="Century Gothic"/>
                <w:b/>
                <w:bCs/>
                <w:sz w:val="22"/>
                <w:szCs w:val="22"/>
              </w:rPr>
            </w:pPr>
            <w:r w:rsidRPr="00340BF3">
              <w:rPr>
                <w:rFonts w:ascii="Century Gothic" w:hAnsi="Century Gothic"/>
                <w:b/>
                <w:bCs/>
                <w:sz w:val="22"/>
                <w:szCs w:val="22"/>
              </w:rPr>
              <w:t>Fecha de presentación</w:t>
            </w:r>
          </w:p>
        </w:tc>
        <w:tc>
          <w:tcPr>
            <w:tcW w:w="5670" w:type="dxa"/>
          </w:tcPr>
          <w:p w14:paraId="29FA6EF6" w14:textId="58083BCF" w:rsidR="00F67EF8" w:rsidRPr="00340BF3" w:rsidRDefault="0056372A" w:rsidP="00F67EF8">
            <w:pPr>
              <w:spacing w:line="276" w:lineRule="auto"/>
              <w:jc w:val="both"/>
              <w:rPr>
                <w:rFonts w:ascii="Century Gothic" w:hAnsi="Century Gothic"/>
                <w:color w:val="000000" w:themeColor="text1"/>
                <w:sz w:val="22"/>
                <w:szCs w:val="22"/>
              </w:rPr>
            </w:pPr>
            <w:r>
              <w:rPr>
                <w:rFonts w:ascii="Century Gothic" w:hAnsi="Century Gothic"/>
                <w:color w:val="000000" w:themeColor="text1"/>
                <w:sz w:val="22"/>
                <w:szCs w:val="22"/>
              </w:rPr>
              <w:t xml:space="preserve">01 DE SEPTIEMBRE </w:t>
            </w:r>
            <w:r w:rsidR="00947B05">
              <w:rPr>
                <w:rFonts w:ascii="Century Gothic" w:hAnsi="Century Gothic"/>
                <w:color w:val="000000" w:themeColor="text1"/>
                <w:sz w:val="22"/>
                <w:szCs w:val="22"/>
              </w:rPr>
              <w:t>DE 2025</w:t>
            </w:r>
          </w:p>
        </w:tc>
      </w:tr>
      <w:tr w:rsidR="00F67EF8" w:rsidRPr="00340BF3" w14:paraId="6959AD48" w14:textId="77777777" w:rsidTr="003827E1">
        <w:trPr>
          <w:trHeight w:val="454"/>
        </w:trPr>
        <w:tc>
          <w:tcPr>
            <w:tcW w:w="4537" w:type="dxa"/>
            <w:vAlign w:val="center"/>
          </w:tcPr>
          <w:p w14:paraId="45E895A9" w14:textId="1E20E681" w:rsidR="00F67EF8" w:rsidRPr="00340BF3" w:rsidRDefault="00F67EF8" w:rsidP="003B7F1A">
            <w:pPr>
              <w:spacing w:line="360" w:lineRule="auto"/>
              <w:rPr>
                <w:rFonts w:ascii="Century Gothic" w:hAnsi="Century Gothic"/>
                <w:b/>
                <w:bCs/>
                <w:sz w:val="22"/>
                <w:szCs w:val="22"/>
              </w:rPr>
            </w:pPr>
            <w:r w:rsidRPr="00340BF3">
              <w:rPr>
                <w:rFonts w:ascii="Century Gothic" w:hAnsi="Century Gothic"/>
                <w:b/>
                <w:bCs/>
                <w:sz w:val="22"/>
                <w:szCs w:val="22"/>
              </w:rPr>
              <w:t>Tipo de abogado</w:t>
            </w:r>
          </w:p>
        </w:tc>
        <w:tc>
          <w:tcPr>
            <w:tcW w:w="5670" w:type="dxa"/>
          </w:tcPr>
          <w:p w14:paraId="06C25C40" w14:textId="3C6BCC7C" w:rsidR="00F67EF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olor w:val="000000" w:themeColor="text1"/>
                <w:sz w:val="22"/>
                <w:szCs w:val="22"/>
              </w:rPr>
              <w:t>EXTERNO</w:t>
            </w:r>
          </w:p>
        </w:tc>
      </w:tr>
      <w:tr w:rsidR="00F67EF8" w:rsidRPr="00340BF3" w14:paraId="2F6DA3B0" w14:textId="77777777" w:rsidTr="003827E1">
        <w:trPr>
          <w:trHeight w:val="454"/>
        </w:trPr>
        <w:tc>
          <w:tcPr>
            <w:tcW w:w="4537" w:type="dxa"/>
            <w:vAlign w:val="center"/>
          </w:tcPr>
          <w:p w14:paraId="30599F8A" w14:textId="674A8832" w:rsidR="00F67EF8" w:rsidRPr="00340BF3" w:rsidRDefault="00F67EF8" w:rsidP="003B7F1A">
            <w:pPr>
              <w:spacing w:line="360" w:lineRule="auto"/>
              <w:rPr>
                <w:rFonts w:ascii="Century Gothic" w:hAnsi="Century Gothic"/>
                <w:sz w:val="22"/>
                <w:szCs w:val="22"/>
              </w:rPr>
            </w:pPr>
            <w:r w:rsidRPr="00340BF3">
              <w:rPr>
                <w:rFonts w:ascii="Century Gothic" w:hAnsi="Century Gothic"/>
                <w:b/>
                <w:bCs/>
                <w:sz w:val="22"/>
                <w:szCs w:val="22"/>
              </w:rPr>
              <w:t>Aseguradora vinculada al proceso</w:t>
            </w:r>
          </w:p>
        </w:tc>
        <w:tc>
          <w:tcPr>
            <w:tcW w:w="5670" w:type="dxa"/>
          </w:tcPr>
          <w:p w14:paraId="794A38B0" w14:textId="16EC3572" w:rsidR="00F67EF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olor w:val="000000" w:themeColor="text1"/>
                <w:sz w:val="22"/>
                <w:szCs w:val="22"/>
              </w:rPr>
              <w:t>EQUIDAD SEGUROS GENERALES O.C</w:t>
            </w:r>
          </w:p>
        </w:tc>
      </w:tr>
      <w:tr w:rsidR="00F67EF8" w:rsidRPr="00340BF3" w14:paraId="490540BB" w14:textId="77777777" w:rsidTr="003827E1">
        <w:trPr>
          <w:trHeight w:val="454"/>
        </w:trPr>
        <w:tc>
          <w:tcPr>
            <w:tcW w:w="4537" w:type="dxa"/>
            <w:vAlign w:val="center"/>
          </w:tcPr>
          <w:p w14:paraId="1C2D5235" w14:textId="2B4007F3" w:rsidR="00F67EF8" w:rsidRPr="00340BF3" w:rsidRDefault="00992368" w:rsidP="003B7F1A">
            <w:pPr>
              <w:spacing w:line="276" w:lineRule="auto"/>
              <w:rPr>
                <w:rFonts w:ascii="Century Gothic" w:hAnsi="Century Gothic"/>
                <w:b/>
                <w:bCs/>
                <w:sz w:val="22"/>
                <w:szCs w:val="22"/>
              </w:rPr>
            </w:pPr>
            <w:r w:rsidRPr="00340BF3">
              <w:rPr>
                <w:rFonts w:ascii="Century Gothic" w:hAnsi="Century Gothic"/>
                <w:b/>
                <w:bCs/>
                <w:sz w:val="22"/>
                <w:szCs w:val="22"/>
              </w:rPr>
              <w:t>SGC</w:t>
            </w:r>
          </w:p>
        </w:tc>
        <w:tc>
          <w:tcPr>
            <w:tcW w:w="5670" w:type="dxa"/>
          </w:tcPr>
          <w:p w14:paraId="11B788BC" w14:textId="3BCA4930" w:rsidR="00F67EF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s="Segoe UI"/>
                <w:color w:val="000000" w:themeColor="text1"/>
                <w:sz w:val="22"/>
                <w:szCs w:val="22"/>
                <w:shd w:val="clear" w:color="auto" w:fill="FFFFFF"/>
              </w:rPr>
              <w:t>10058</w:t>
            </w:r>
          </w:p>
        </w:tc>
      </w:tr>
      <w:tr w:rsidR="00F67EF8" w:rsidRPr="00340BF3" w14:paraId="1D86DF69" w14:textId="77777777" w:rsidTr="003827E1">
        <w:trPr>
          <w:trHeight w:val="454"/>
        </w:trPr>
        <w:tc>
          <w:tcPr>
            <w:tcW w:w="4537" w:type="dxa"/>
            <w:vAlign w:val="center"/>
          </w:tcPr>
          <w:p w14:paraId="699114C2" w14:textId="0BB9EC2F" w:rsidR="00F67EF8" w:rsidRPr="00340BF3" w:rsidRDefault="00992368" w:rsidP="003B7F1A">
            <w:pPr>
              <w:spacing w:line="276" w:lineRule="auto"/>
              <w:rPr>
                <w:rFonts w:ascii="Century Gothic" w:hAnsi="Century Gothic"/>
                <w:b/>
                <w:bCs/>
                <w:sz w:val="22"/>
                <w:szCs w:val="22"/>
              </w:rPr>
            </w:pPr>
            <w:r w:rsidRPr="00340BF3">
              <w:rPr>
                <w:rFonts w:ascii="Century Gothic" w:hAnsi="Century Gothic"/>
                <w:b/>
                <w:bCs/>
                <w:sz w:val="22"/>
                <w:szCs w:val="22"/>
              </w:rPr>
              <w:t>Despacho/Juzgado/ Tribunal</w:t>
            </w:r>
          </w:p>
        </w:tc>
        <w:tc>
          <w:tcPr>
            <w:tcW w:w="5670" w:type="dxa"/>
          </w:tcPr>
          <w:p w14:paraId="7DD6339C" w14:textId="4E42E9D3" w:rsidR="00F67EF8" w:rsidRPr="00340BF3" w:rsidRDefault="00433758" w:rsidP="000E543B">
            <w:pPr>
              <w:spacing w:line="360" w:lineRule="auto"/>
              <w:ind w:hanging="10"/>
              <w:jc w:val="both"/>
              <w:rPr>
                <w:rFonts w:ascii="Century Gothic" w:eastAsia="Arial" w:hAnsi="Century Gothic" w:cs="Arial"/>
                <w:bCs/>
                <w:color w:val="000000" w:themeColor="text1"/>
                <w:sz w:val="22"/>
                <w:szCs w:val="22"/>
                <w:lang w:eastAsia="es-CO"/>
              </w:rPr>
            </w:pPr>
            <w:r w:rsidRPr="00340BF3">
              <w:rPr>
                <w:rFonts w:ascii="Century Gothic" w:eastAsia="Arial" w:hAnsi="Century Gothic" w:cs="Arial"/>
                <w:bCs/>
                <w:color w:val="000000" w:themeColor="text1"/>
                <w:sz w:val="22"/>
                <w:szCs w:val="22"/>
                <w:lang w:eastAsia="es-CO"/>
              </w:rPr>
              <w:t xml:space="preserve">JUZGADO SESENTA Y TRES (63) CIVIL MUNICIPAL DE BOGOTÁ D.C </w:t>
            </w:r>
          </w:p>
        </w:tc>
      </w:tr>
      <w:tr w:rsidR="00F67EF8" w:rsidRPr="00340BF3" w14:paraId="54742FD8" w14:textId="77777777" w:rsidTr="003827E1">
        <w:trPr>
          <w:trHeight w:val="454"/>
        </w:trPr>
        <w:tc>
          <w:tcPr>
            <w:tcW w:w="4537" w:type="dxa"/>
            <w:vAlign w:val="center"/>
          </w:tcPr>
          <w:p w14:paraId="5A357CCF" w14:textId="3C7FFC83" w:rsidR="00F67EF8" w:rsidRPr="00340BF3" w:rsidRDefault="00992368" w:rsidP="003B7F1A">
            <w:pPr>
              <w:spacing w:line="276" w:lineRule="auto"/>
              <w:rPr>
                <w:rFonts w:ascii="Century Gothic" w:hAnsi="Century Gothic"/>
                <w:b/>
                <w:bCs/>
                <w:sz w:val="22"/>
                <w:szCs w:val="22"/>
              </w:rPr>
            </w:pPr>
            <w:r w:rsidRPr="00340BF3">
              <w:rPr>
                <w:rFonts w:ascii="Century Gothic" w:hAnsi="Century Gothic"/>
                <w:b/>
                <w:bCs/>
                <w:sz w:val="22"/>
                <w:szCs w:val="22"/>
              </w:rPr>
              <w:t xml:space="preserve">Ciudad </w:t>
            </w:r>
          </w:p>
        </w:tc>
        <w:tc>
          <w:tcPr>
            <w:tcW w:w="5670" w:type="dxa"/>
          </w:tcPr>
          <w:p w14:paraId="5101FDD8" w14:textId="5E956454" w:rsidR="00F67EF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olor w:val="000000" w:themeColor="text1"/>
                <w:sz w:val="22"/>
                <w:szCs w:val="22"/>
              </w:rPr>
              <w:t>BOGOTÁ</w:t>
            </w:r>
          </w:p>
        </w:tc>
      </w:tr>
      <w:tr w:rsidR="00992368" w:rsidRPr="00340BF3" w14:paraId="3983A9CE" w14:textId="77777777" w:rsidTr="003827E1">
        <w:trPr>
          <w:trHeight w:val="454"/>
        </w:trPr>
        <w:tc>
          <w:tcPr>
            <w:tcW w:w="4537" w:type="dxa"/>
            <w:vAlign w:val="center"/>
          </w:tcPr>
          <w:p w14:paraId="7EC7EF81" w14:textId="3CF9A0A9" w:rsidR="00992368" w:rsidRPr="00340BF3" w:rsidRDefault="008E249B" w:rsidP="003B7F1A">
            <w:pPr>
              <w:spacing w:line="276" w:lineRule="auto"/>
              <w:rPr>
                <w:rFonts w:ascii="Century Gothic" w:hAnsi="Century Gothic"/>
                <w:b/>
                <w:bCs/>
                <w:sz w:val="22"/>
                <w:szCs w:val="22"/>
              </w:rPr>
            </w:pPr>
            <w:r w:rsidRPr="00340BF3">
              <w:rPr>
                <w:rFonts w:ascii="Century Gothic" w:hAnsi="Century Gothic"/>
                <w:b/>
                <w:bCs/>
                <w:sz w:val="22"/>
                <w:szCs w:val="22"/>
              </w:rPr>
              <w:t>Radicado completo 23 dígitos</w:t>
            </w:r>
          </w:p>
        </w:tc>
        <w:tc>
          <w:tcPr>
            <w:tcW w:w="5670" w:type="dxa"/>
          </w:tcPr>
          <w:p w14:paraId="573C25D1" w14:textId="4F7A573C" w:rsidR="00992368" w:rsidRPr="00340BF3" w:rsidRDefault="00433758" w:rsidP="00F67EF8">
            <w:pPr>
              <w:spacing w:line="276" w:lineRule="auto"/>
              <w:jc w:val="both"/>
              <w:rPr>
                <w:rFonts w:ascii="Century Gothic" w:hAnsi="Century Gothic"/>
                <w:color w:val="000000" w:themeColor="text1"/>
                <w:sz w:val="22"/>
                <w:szCs w:val="22"/>
              </w:rPr>
            </w:pPr>
            <w:r w:rsidRPr="00340BF3">
              <w:rPr>
                <w:rStyle w:val="selectable-text"/>
                <w:rFonts w:ascii="Century Gothic" w:hAnsi="Century Gothic"/>
                <w:color w:val="000000" w:themeColor="text1"/>
                <w:sz w:val="22"/>
                <w:szCs w:val="22"/>
              </w:rPr>
              <w:t>11001400304420230081700</w:t>
            </w:r>
            <w:r w:rsidR="00947B05">
              <w:rPr>
                <w:rStyle w:val="selectable-text"/>
                <w:rFonts w:ascii="Century Gothic" w:hAnsi="Century Gothic"/>
                <w:color w:val="000000" w:themeColor="text1"/>
                <w:sz w:val="22"/>
                <w:szCs w:val="22"/>
              </w:rPr>
              <w:t>*</w:t>
            </w:r>
          </w:p>
        </w:tc>
      </w:tr>
      <w:tr w:rsidR="00992368" w:rsidRPr="00340BF3" w14:paraId="4A0D8041" w14:textId="77777777" w:rsidTr="003827E1">
        <w:trPr>
          <w:trHeight w:val="454"/>
        </w:trPr>
        <w:tc>
          <w:tcPr>
            <w:tcW w:w="4537" w:type="dxa"/>
            <w:vAlign w:val="center"/>
          </w:tcPr>
          <w:p w14:paraId="6BA2EEB5" w14:textId="7369F36B" w:rsidR="00992368" w:rsidRPr="00340BF3" w:rsidRDefault="00B2787D" w:rsidP="003B7F1A">
            <w:pPr>
              <w:spacing w:line="276" w:lineRule="auto"/>
              <w:rPr>
                <w:rFonts w:ascii="Century Gothic" w:hAnsi="Century Gothic"/>
                <w:b/>
                <w:bCs/>
                <w:sz w:val="22"/>
                <w:szCs w:val="22"/>
              </w:rPr>
            </w:pPr>
            <w:r w:rsidRPr="00340BF3">
              <w:rPr>
                <w:rFonts w:ascii="Century Gothic" w:hAnsi="Century Gothic"/>
                <w:b/>
                <w:bCs/>
                <w:sz w:val="22"/>
                <w:szCs w:val="22"/>
              </w:rPr>
              <w:t>Fecha de notificación</w:t>
            </w:r>
          </w:p>
        </w:tc>
        <w:tc>
          <w:tcPr>
            <w:tcW w:w="5670" w:type="dxa"/>
          </w:tcPr>
          <w:p w14:paraId="64AC88EB" w14:textId="24D0C4E0" w:rsidR="0099236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olor w:val="000000" w:themeColor="text1"/>
                <w:sz w:val="22"/>
                <w:szCs w:val="22"/>
              </w:rPr>
              <w:t>19 DE JUNIO DE 2025</w:t>
            </w:r>
          </w:p>
        </w:tc>
      </w:tr>
      <w:tr w:rsidR="00992368" w:rsidRPr="00340BF3" w14:paraId="028BDD81" w14:textId="77777777" w:rsidTr="003827E1">
        <w:trPr>
          <w:trHeight w:val="454"/>
        </w:trPr>
        <w:tc>
          <w:tcPr>
            <w:tcW w:w="4537" w:type="dxa"/>
            <w:vAlign w:val="center"/>
          </w:tcPr>
          <w:p w14:paraId="74AA3CB7" w14:textId="0154798B" w:rsidR="00992368" w:rsidRPr="00340BF3" w:rsidRDefault="00B2787D" w:rsidP="003B7F1A">
            <w:pPr>
              <w:spacing w:line="276" w:lineRule="auto"/>
              <w:rPr>
                <w:rFonts w:ascii="Century Gothic" w:hAnsi="Century Gothic"/>
                <w:b/>
                <w:bCs/>
                <w:sz w:val="22"/>
                <w:szCs w:val="22"/>
              </w:rPr>
            </w:pPr>
            <w:r w:rsidRPr="00340BF3">
              <w:rPr>
                <w:rFonts w:ascii="Century Gothic" w:hAnsi="Century Gothic"/>
                <w:b/>
                <w:bCs/>
                <w:sz w:val="22"/>
                <w:szCs w:val="22"/>
              </w:rPr>
              <w:t>Fecha vencimiento del término</w:t>
            </w:r>
          </w:p>
        </w:tc>
        <w:tc>
          <w:tcPr>
            <w:tcW w:w="5670" w:type="dxa"/>
          </w:tcPr>
          <w:p w14:paraId="41E82979" w14:textId="7662004A" w:rsidR="00992368" w:rsidRPr="00340BF3" w:rsidRDefault="00433758" w:rsidP="00F67EF8">
            <w:pPr>
              <w:spacing w:line="276" w:lineRule="auto"/>
              <w:jc w:val="both"/>
              <w:rPr>
                <w:rFonts w:ascii="Century Gothic" w:hAnsi="Century Gothic"/>
                <w:color w:val="000000" w:themeColor="text1"/>
                <w:sz w:val="22"/>
                <w:szCs w:val="22"/>
              </w:rPr>
            </w:pPr>
            <w:r w:rsidRPr="00340BF3">
              <w:rPr>
                <w:rFonts w:ascii="Century Gothic" w:hAnsi="Century Gothic"/>
                <w:color w:val="000000" w:themeColor="text1"/>
                <w:sz w:val="22"/>
                <w:szCs w:val="22"/>
              </w:rPr>
              <w:t>21 DE JULIO DE 2025</w:t>
            </w:r>
          </w:p>
        </w:tc>
      </w:tr>
    </w:tbl>
    <w:p w14:paraId="619AE562" w14:textId="77777777" w:rsidR="00BA1E5F" w:rsidRPr="00340BF3" w:rsidRDefault="00BA1E5F">
      <w:pPr>
        <w:rPr>
          <w:rFonts w:ascii="Century Gothic" w:hAnsi="Century Gothic"/>
        </w:rPr>
      </w:pPr>
    </w:p>
    <w:p w14:paraId="64A76143" w14:textId="77777777" w:rsidR="00BA1E5F" w:rsidRPr="00340BF3" w:rsidRDefault="00BA1E5F">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340BF3" w14:paraId="55765E90" w14:textId="77777777" w:rsidTr="0095378E">
        <w:tc>
          <w:tcPr>
            <w:tcW w:w="10207" w:type="dxa"/>
            <w:shd w:val="clear" w:color="auto" w:fill="C5E0B3" w:themeFill="accent6" w:themeFillTint="66"/>
            <w:vAlign w:val="center"/>
          </w:tcPr>
          <w:p w14:paraId="7B465D4D" w14:textId="5CAE6B68" w:rsidR="00B2787D" w:rsidRPr="00340BF3" w:rsidRDefault="00B2787D" w:rsidP="00B2787D">
            <w:pPr>
              <w:spacing w:line="276" w:lineRule="auto"/>
              <w:jc w:val="center"/>
              <w:rPr>
                <w:rFonts w:ascii="Century Gothic" w:hAnsi="Century Gothic"/>
                <w:sz w:val="22"/>
                <w:szCs w:val="22"/>
              </w:rPr>
            </w:pPr>
            <w:r w:rsidRPr="00340BF3">
              <w:rPr>
                <w:rFonts w:ascii="Century Gothic" w:hAnsi="Century Gothic"/>
                <w:b/>
                <w:bCs/>
                <w:sz w:val="22"/>
                <w:szCs w:val="22"/>
              </w:rPr>
              <w:t>Hechos</w:t>
            </w:r>
            <w:r w:rsidR="007C37D7" w:rsidRPr="00340BF3">
              <w:rPr>
                <w:rFonts w:ascii="Century Gothic" w:hAnsi="Century Gothic"/>
                <w:b/>
                <w:bCs/>
                <w:sz w:val="22"/>
                <w:szCs w:val="22"/>
              </w:rPr>
              <w:t xml:space="preserve"> </w:t>
            </w:r>
            <w:r w:rsidR="007C37D7" w:rsidRPr="00340BF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340BF3" w14:paraId="59EA92D0" w14:textId="77777777" w:rsidTr="006056E7">
        <w:tc>
          <w:tcPr>
            <w:tcW w:w="10207" w:type="dxa"/>
            <w:vAlign w:val="center"/>
          </w:tcPr>
          <w:p w14:paraId="7D5C850F" w14:textId="77777777" w:rsidR="00B2787D" w:rsidRPr="00340BF3" w:rsidRDefault="00B2787D" w:rsidP="007C37D7">
            <w:pPr>
              <w:spacing w:line="276" w:lineRule="auto"/>
              <w:jc w:val="center"/>
              <w:rPr>
                <w:rFonts w:ascii="Century Gothic" w:hAnsi="Century Gothic"/>
                <w:sz w:val="22"/>
                <w:szCs w:val="22"/>
              </w:rPr>
            </w:pPr>
          </w:p>
          <w:p w14:paraId="20A451C0" w14:textId="251C7260" w:rsidR="00433758"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Segoe UI"/>
                <w:color w:val="000000"/>
                <w:sz w:val="22"/>
                <w:szCs w:val="22"/>
                <w:bdr w:val="none" w:sz="0" w:space="0" w:color="auto" w:frame="1"/>
              </w:rPr>
            </w:pPr>
            <w:r w:rsidRPr="00340BF3">
              <w:rPr>
                <w:rFonts w:ascii="Century Gothic" w:hAnsi="Century Gothic" w:cs="Segoe UI"/>
                <w:color w:val="000000"/>
                <w:sz w:val="22"/>
                <w:szCs w:val="22"/>
                <w:bdr w:val="none" w:sz="0" w:space="0" w:color="auto" w:frame="1"/>
              </w:rPr>
              <w:t>La demandante alegó que se encontraba afiliada a Compensar E.P.S. y que el 9 de enero de 2022 acudió a la Clínica de la Mujer por dolor en hipogastrio, con 25 semanas de gestación. Manifestó que, tras una ecografía, se le diagnosticó apendicitis aguda y se le practicó una apendicetomía el mismo día, aunque el cirujano reportó que el apéndice estaba normal. Indicó que el dolor persistió y posteriormente fue necesaria una resección intestinal para tratar la causa real.</w:t>
            </w:r>
          </w:p>
          <w:p w14:paraId="4F5C9A93" w14:textId="77777777" w:rsidR="00433758"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rPr>
            </w:pPr>
          </w:p>
          <w:p w14:paraId="39A28B45" w14:textId="77777777" w:rsidR="00433758"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Segoe UI"/>
                <w:color w:val="000000"/>
                <w:sz w:val="22"/>
                <w:szCs w:val="22"/>
                <w:bdr w:val="none" w:sz="0" w:space="0" w:color="auto" w:frame="1"/>
              </w:rPr>
            </w:pPr>
            <w:r w:rsidRPr="00340BF3">
              <w:rPr>
                <w:rFonts w:ascii="Century Gothic" w:hAnsi="Century Gothic" w:cs="Segoe UI"/>
                <w:color w:val="000000"/>
                <w:sz w:val="22"/>
                <w:szCs w:val="22"/>
                <w:bdr w:val="none" w:sz="0" w:space="0" w:color="auto" w:frame="1"/>
              </w:rPr>
              <w:t xml:space="preserve">Expuso que quedó bajo vigilancia fetal y materna a cargo de Ginecología desde el 10 de enero de 2022, con registros de frecuencia cardiaca fetal normal hasta antes de la segunda cirugía. Señaló que el 12 de enero de 2022, tras la intervención y estando en UCI, se reportó la ausencia de frecuencia cardiaca fetal sin que en la historia clínica aparecieran causas claras. </w:t>
            </w:r>
          </w:p>
          <w:p w14:paraId="5AA3C152" w14:textId="77777777" w:rsidR="00433758"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Segoe UI"/>
                <w:color w:val="000000"/>
                <w:sz w:val="22"/>
                <w:szCs w:val="22"/>
                <w:bdr w:val="none" w:sz="0" w:space="0" w:color="auto" w:frame="1"/>
              </w:rPr>
            </w:pPr>
          </w:p>
          <w:p w14:paraId="79DF04B4" w14:textId="77777777" w:rsidR="000E543B"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Segoe UI"/>
                <w:color w:val="000000"/>
                <w:sz w:val="22"/>
                <w:szCs w:val="22"/>
                <w:bdr w:val="none" w:sz="0" w:space="0" w:color="auto" w:frame="1"/>
              </w:rPr>
            </w:pPr>
            <w:r w:rsidRPr="00340BF3">
              <w:rPr>
                <w:rFonts w:ascii="Century Gothic" w:hAnsi="Century Gothic" w:cs="Segoe UI"/>
                <w:color w:val="000000"/>
                <w:sz w:val="22"/>
                <w:szCs w:val="22"/>
                <w:bdr w:val="none" w:sz="0" w:space="0" w:color="auto" w:frame="1"/>
              </w:rPr>
              <w:t>Alegó que no fue informada de riesgos o complicaciones durante el proceso, a pesar de los registros de movimientos fetales normales, y cuestionó por qué no se indujo el parto antes de la muerte fetal, dado el tiempo de gestación.</w:t>
            </w:r>
            <w:r w:rsidR="000E543B" w:rsidRPr="00340BF3">
              <w:rPr>
                <w:rFonts w:ascii="Century Gothic" w:hAnsi="Century Gothic" w:cs="Segoe UI"/>
                <w:color w:val="000000"/>
                <w:sz w:val="22"/>
                <w:szCs w:val="22"/>
                <w:bdr w:val="none" w:sz="0" w:space="0" w:color="auto" w:frame="1"/>
              </w:rPr>
              <w:t xml:space="preserve"> </w:t>
            </w:r>
            <w:r w:rsidRPr="00340BF3">
              <w:rPr>
                <w:rFonts w:ascii="Century Gothic" w:hAnsi="Century Gothic" w:cs="Segoe UI"/>
                <w:color w:val="000000"/>
                <w:sz w:val="22"/>
                <w:szCs w:val="22"/>
                <w:bdr w:val="none" w:sz="0" w:space="0" w:color="auto" w:frame="1"/>
              </w:rPr>
              <w:t xml:space="preserve">Indicó que la pérdida del bebé generó </w:t>
            </w:r>
            <w:r w:rsidRPr="00340BF3">
              <w:rPr>
                <w:rFonts w:ascii="Century Gothic" w:hAnsi="Century Gothic" w:cs="Segoe UI"/>
                <w:color w:val="000000"/>
                <w:sz w:val="22"/>
                <w:szCs w:val="22"/>
                <w:bdr w:val="none" w:sz="0" w:space="0" w:color="auto" w:frame="1"/>
              </w:rPr>
              <w:lastRenderedPageBreak/>
              <w:t xml:space="preserve">afectación emocional y perjuicios extrapatrimoniales en su núcleo familiar, especialmente por haber tenido dos pérdidas previas y la expectativa de un nacimiento exitoso. </w:t>
            </w:r>
            <w:r w:rsidR="000E543B" w:rsidRPr="00340BF3">
              <w:rPr>
                <w:rFonts w:ascii="Century Gothic" w:hAnsi="Century Gothic" w:cs="Segoe UI"/>
                <w:color w:val="000000"/>
                <w:sz w:val="22"/>
                <w:szCs w:val="22"/>
                <w:bdr w:val="none" w:sz="0" w:space="0" w:color="auto" w:frame="1"/>
              </w:rPr>
              <w:br/>
            </w:r>
          </w:p>
          <w:p w14:paraId="00E75101" w14:textId="7998E6E6" w:rsidR="00433758" w:rsidRPr="00340BF3" w:rsidRDefault="00433758" w:rsidP="000E543B">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rPr>
            </w:pPr>
            <w:r w:rsidRPr="00340BF3">
              <w:rPr>
                <w:rFonts w:ascii="Century Gothic" w:hAnsi="Century Gothic" w:cs="Segoe UI"/>
                <w:color w:val="000000"/>
                <w:sz w:val="22"/>
                <w:szCs w:val="22"/>
                <w:bdr w:val="none" w:sz="0" w:space="0" w:color="auto" w:frame="1"/>
              </w:rPr>
              <w:t>Informó que se celebraron audiencias de conciliación con la Clínica de la Mujer el 20 de diciembre de 2022 (reanudada el 12 de enero de 2023) y con Compensar E.P.S. el 3 de mayo de 2023, sin que se lograra acuerdo conciliatorio en ninguna de ellas.</w:t>
            </w:r>
          </w:p>
          <w:p w14:paraId="285181BA" w14:textId="77777777" w:rsidR="00B2787D" w:rsidRPr="00340BF3" w:rsidRDefault="00B2787D" w:rsidP="000E543B">
            <w:pPr>
              <w:spacing w:line="276" w:lineRule="auto"/>
              <w:rPr>
                <w:rFonts w:ascii="Century Gothic" w:hAnsi="Century Gothic"/>
                <w:sz w:val="22"/>
                <w:szCs w:val="22"/>
              </w:rPr>
            </w:pPr>
          </w:p>
        </w:tc>
      </w:tr>
    </w:tbl>
    <w:p w14:paraId="20C76EE3" w14:textId="77777777" w:rsidR="003827E1" w:rsidRPr="00340BF3" w:rsidRDefault="003827E1">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340BF3" w14:paraId="2BD14B8D" w14:textId="77777777" w:rsidTr="0095378E">
        <w:tc>
          <w:tcPr>
            <w:tcW w:w="10207" w:type="dxa"/>
            <w:gridSpan w:val="2"/>
            <w:shd w:val="clear" w:color="auto" w:fill="C5E0B3" w:themeFill="accent6" w:themeFillTint="66"/>
            <w:vAlign w:val="center"/>
          </w:tcPr>
          <w:p w14:paraId="00111EA5" w14:textId="08575358" w:rsidR="007C37D7" w:rsidRPr="00340BF3" w:rsidRDefault="007C37D7" w:rsidP="007C37D7">
            <w:pPr>
              <w:spacing w:line="276" w:lineRule="auto"/>
              <w:jc w:val="center"/>
              <w:rPr>
                <w:rFonts w:ascii="Century Gothic" w:hAnsi="Century Gothic"/>
                <w:sz w:val="22"/>
                <w:szCs w:val="22"/>
              </w:rPr>
            </w:pPr>
            <w:r w:rsidRPr="00340BF3">
              <w:rPr>
                <w:rFonts w:ascii="Century Gothic" w:hAnsi="Century Gothic"/>
                <w:b/>
                <w:bCs/>
                <w:sz w:val="22"/>
                <w:szCs w:val="22"/>
              </w:rPr>
              <w:t xml:space="preserve">Pretensiones </w:t>
            </w:r>
            <w:r w:rsidRPr="00340BF3">
              <w:rPr>
                <w:rFonts w:ascii="Century Gothic" w:hAnsi="Century Gothic"/>
                <w:sz w:val="22"/>
                <w:szCs w:val="22"/>
              </w:rPr>
              <w:t>(haga un relato o enliste las pretensiones de la demanda/llamamiento en garantía)</w:t>
            </w:r>
          </w:p>
        </w:tc>
      </w:tr>
      <w:tr w:rsidR="007C37D7" w:rsidRPr="00340BF3" w14:paraId="2B7256CB" w14:textId="77777777" w:rsidTr="006056E7">
        <w:tc>
          <w:tcPr>
            <w:tcW w:w="10207" w:type="dxa"/>
            <w:gridSpan w:val="2"/>
            <w:vAlign w:val="center"/>
          </w:tcPr>
          <w:p w14:paraId="11B57CBF" w14:textId="77777777" w:rsidR="007C37D7" w:rsidRPr="00340BF3" w:rsidRDefault="007C37D7" w:rsidP="007C37D7">
            <w:pPr>
              <w:spacing w:line="276" w:lineRule="auto"/>
              <w:jc w:val="center"/>
              <w:rPr>
                <w:rFonts w:ascii="Century Gothic" w:hAnsi="Century Gothic"/>
                <w:sz w:val="22"/>
                <w:szCs w:val="22"/>
              </w:rPr>
            </w:pPr>
          </w:p>
          <w:p w14:paraId="6A1AB225" w14:textId="62840774" w:rsidR="000E543B" w:rsidRPr="00340BF3" w:rsidRDefault="000E543B" w:rsidP="000E543B">
            <w:pPr>
              <w:spacing w:line="360" w:lineRule="auto"/>
              <w:jc w:val="both"/>
              <w:rPr>
                <w:rFonts w:ascii="Century Gothic" w:hAnsi="Century Gothic"/>
                <w:sz w:val="22"/>
                <w:szCs w:val="22"/>
              </w:rPr>
            </w:pPr>
            <w:r w:rsidRPr="00340BF3">
              <w:rPr>
                <w:rFonts w:ascii="Century Gothic" w:hAnsi="Century Gothic"/>
                <w:b/>
                <w:bCs/>
                <w:sz w:val="22"/>
                <w:szCs w:val="22"/>
              </w:rPr>
              <w:t>PRIMERA:</w:t>
            </w:r>
            <w:r w:rsidRPr="00340BF3">
              <w:rPr>
                <w:rFonts w:ascii="Century Gothic" w:hAnsi="Century Gothic"/>
                <w:sz w:val="22"/>
                <w:szCs w:val="22"/>
              </w:rPr>
              <w:t xml:space="preserve"> Solicitó declarar civilmente responsables a la Clínica de la Mujer S.A.S. y a la EPS Compensar por los perjuicios inmateriales causados a los demandantes, derivados de una mala praxis médica ocurrida a partir del 9 de enero de 2022, que habría incluido diagnósticos erróneos y una apendicectomía innecesaria a la señora Magda Yurley Villamizar Paredes, lo que ocasionó la pérdida de su hijo por nacer.</w:t>
            </w:r>
          </w:p>
          <w:p w14:paraId="66D17A21" w14:textId="77777777" w:rsidR="000E543B" w:rsidRPr="00340BF3" w:rsidRDefault="000E543B" w:rsidP="000E543B">
            <w:pPr>
              <w:spacing w:line="360" w:lineRule="auto"/>
              <w:jc w:val="both"/>
              <w:rPr>
                <w:rFonts w:ascii="Century Gothic" w:hAnsi="Century Gothic"/>
                <w:sz w:val="22"/>
                <w:szCs w:val="22"/>
              </w:rPr>
            </w:pPr>
          </w:p>
          <w:p w14:paraId="1D3123AA" w14:textId="32C99C19" w:rsidR="000E543B" w:rsidRPr="00340BF3" w:rsidRDefault="000E543B" w:rsidP="000E543B">
            <w:pPr>
              <w:spacing w:line="360" w:lineRule="auto"/>
              <w:jc w:val="both"/>
              <w:rPr>
                <w:rFonts w:ascii="Century Gothic" w:hAnsi="Century Gothic"/>
                <w:sz w:val="22"/>
                <w:szCs w:val="22"/>
              </w:rPr>
            </w:pPr>
            <w:r w:rsidRPr="00340BF3">
              <w:rPr>
                <w:rFonts w:ascii="Century Gothic" w:hAnsi="Century Gothic"/>
                <w:b/>
                <w:bCs/>
                <w:sz w:val="22"/>
                <w:szCs w:val="22"/>
              </w:rPr>
              <w:t>SEGUNDA:</w:t>
            </w:r>
            <w:r w:rsidRPr="00340BF3">
              <w:rPr>
                <w:rFonts w:ascii="Century Gothic" w:hAnsi="Century Gothic"/>
                <w:sz w:val="22"/>
                <w:szCs w:val="22"/>
              </w:rPr>
              <w:t xml:space="preserve"> Como consecuencia de lo anterior, solicitó condenar a ambas entidades al pago de perjuicios </w:t>
            </w:r>
            <w:r w:rsidR="00340BF3" w:rsidRPr="00340BF3">
              <w:rPr>
                <w:rFonts w:ascii="Century Gothic" w:hAnsi="Century Gothic"/>
                <w:sz w:val="22"/>
                <w:szCs w:val="22"/>
              </w:rPr>
              <w:t xml:space="preserve">por daño moral </w:t>
            </w:r>
            <w:r w:rsidRPr="00340BF3">
              <w:rPr>
                <w:rFonts w:ascii="Century Gothic" w:hAnsi="Century Gothic"/>
                <w:sz w:val="22"/>
                <w:szCs w:val="22"/>
              </w:rPr>
              <w:t>así:</w:t>
            </w:r>
          </w:p>
          <w:p w14:paraId="652A3D0A" w14:textId="77777777" w:rsidR="000E543B" w:rsidRPr="00340BF3" w:rsidRDefault="000E543B" w:rsidP="000E543B">
            <w:pPr>
              <w:spacing w:line="360" w:lineRule="auto"/>
              <w:jc w:val="both"/>
              <w:rPr>
                <w:rFonts w:ascii="Century Gothic" w:hAnsi="Century Gothic"/>
                <w:sz w:val="22"/>
                <w:szCs w:val="22"/>
              </w:rPr>
            </w:pPr>
          </w:p>
          <w:p w14:paraId="0131EBA8" w14:textId="7FE9D565"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50 SMMLV para Magda Yurley Villamizar Paredes.</w:t>
            </w:r>
          </w:p>
          <w:p w14:paraId="732A36AA" w14:textId="2CB1046B"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 xml:space="preserve">50 SMMLV para Julián Ardila </w:t>
            </w:r>
            <w:proofErr w:type="spellStart"/>
            <w:r w:rsidRPr="00340BF3">
              <w:rPr>
                <w:rFonts w:ascii="Century Gothic" w:hAnsi="Century Gothic"/>
                <w:sz w:val="22"/>
                <w:szCs w:val="22"/>
              </w:rPr>
              <w:t>Quiasua</w:t>
            </w:r>
            <w:proofErr w:type="spellEnd"/>
            <w:r w:rsidRPr="00340BF3">
              <w:rPr>
                <w:rFonts w:ascii="Century Gothic" w:hAnsi="Century Gothic"/>
                <w:sz w:val="22"/>
                <w:szCs w:val="22"/>
              </w:rPr>
              <w:t xml:space="preserve"> (compañero permanente).</w:t>
            </w:r>
          </w:p>
          <w:p w14:paraId="357FFF29" w14:textId="486B9487"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10 SMMLV para Magda Isabel Paredes Jauregui (madre de Magda Yurley).</w:t>
            </w:r>
          </w:p>
          <w:p w14:paraId="0A6CA063" w14:textId="011E8243"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 xml:space="preserve">10 SMMLV para Leonor Isabel </w:t>
            </w:r>
            <w:proofErr w:type="spellStart"/>
            <w:r w:rsidRPr="00340BF3">
              <w:rPr>
                <w:rFonts w:ascii="Century Gothic" w:hAnsi="Century Gothic"/>
                <w:sz w:val="22"/>
                <w:szCs w:val="22"/>
              </w:rPr>
              <w:t>Quiasua</w:t>
            </w:r>
            <w:proofErr w:type="spellEnd"/>
            <w:r w:rsidRPr="00340BF3">
              <w:rPr>
                <w:rFonts w:ascii="Century Gothic" w:hAnsi="Century Gothic"/>
                <w:sz w:val="22"/>
                <w:szCs w:val="22"/>
              </w:rPr>
              <w:t xml:space="preserve"> Rincón (madre de Julián Ardila).</w:t>
            </w:r>
          </w:p>
          <w:p w14:paraId="0451BD4D" w14:textId="669C0CD5"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 xml:space="preserve">10 SMMLV para Yaneth </w:t>
            </w:r>
            <w:proofErr w:type="spellStart"/>
            <w:r w:rsidRPr="00340BF3">
              <w:rPr>
                <w:rFonts w:ascii="Century Gothic" w:hAnsi="Century Gothic"/>
                <w:sz w:val="22"/>
                <w:szCs w:val="22"/>
              </w:rPr>
              <w:t>Mileidy</w:t>
            </w:r>
            <w:proofErr w:type="spellEnd"/>
            <w:r w:rsidRPr="00340BF3">
              <w:rPr>
                <w:rFonts w:ascii="Century Gothic" w:hAnsi="Century Gothic"/>
                <w:sz w:val="22"/>
                <w:szCs w:val="22"/>
              </w:rPr>
              <w:t xml:space="preserve"> Villamizar Paredes (hermana).</w:t>
            </w:r>
          </w:p>
          <w:p w14:paraId="4ED7E373" w14:textId="64259B65"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 xml:space="preserve">10 SMMLV para </w:t>
            </w:r>
            <w:proofErr w:type="spellStart"/>
            <w:r w:rsidRPr="00340BF3">
              <w:rPr>
                <w:rFonts w:ascii="Century Gothic" w:hAnsi="Century Gothic"/>
                <w:sz w:val="22"/>
                <w:szCs w:val="22"/>
              </w:rPr>
              <w:t>Adis</w:t>
            </w:r>
            <w:proofErr w:type="spellEnd"/>
            <w:r w:rsidRPr="00340BF3">
              <w:rPr>
                <w:rFonts w:ascii="Century Gothic" w:hAnsi="Century Gothic"/>
                <w:sz w:val="22"/>
                <w:szCs w:val="22"/>
              </w:rPr>
              <w:t xml:space="preserve"> Yajaira Villamizar Paredes (hermana).</w:t>
            </w:r>
          </w:p>
          <w:p w14:paraId="4B3DA09F" w14:textId="207498A7" w:rsidR="000E543B" w:rsidRPr="00340BF3" w:rsidRDefault="000E543B" w:rsidP="000E543B">
            <w:pPr>
              <w:pStyle w:val="Prrafodelista"/>
              <w:numPr>
                <w:ilvl w:val="0"/>
                <w:numId w:val="2"/>
              </w:numPr>
              <w:spacing w:line="360" w:lineRule="auto"/>
              <w:jc w:val="both"/>
              <w:rPr>
                <w:rFonts w:ascii="Century Gothic" w:hAnsi="Century Gothic"/>
                <w:sz w:val="22"/>
                <w:szCs w:val="22"/>
              </w:rPr>
            </w:pPr>
            <w:r w:rsidRPr="00340BF3">
              <w:rPr>
                <w:rFonts w:ascii="Century Gothic" w:hAnsi="Century Gothic"/>
                <w:sz w:val="22"/>
                <w:szCs w:val="22"/>
              </w:rPr>
              <w:t>10 SMMLV para Nataly Meléndez Paredes (hermana).</w:t>
            </w:r>
          </w:p>
          <w:p w14:paraId="34110759" w14:textId="77777777" w:rsidR="000E543B" w:rsidRPr="00340BF3" w:rsidRDefault="000E543B" w:rsidP="000E543B">
            <w:pPr>
              <w:pStyle w:val="Prrafodelista"/>
              <w:spacing w:line="360" w:lineRule="auto"/>
              <w:jc w:val="both"/>
              <w:rPr>
                <w:rFonts w:ascii="Century Gothic" w:hAnsi="Century Gothic"/>
                <w:sz w:val="22"/>
                <w:szCs w:val="22"/>
              </w:rPr>
            </w:pPr>
          </w:p>
          <w:p w14:paraId="35F19E93" w14:textId="67781466" w:rsidR="00FD53B3" w:rsidRPr="00340BF3" w:rsidRDefault="000E543B" w:rsidP="000E543B">
            <w:pPr>
              <w:spacing w:line="360" w:lineRule="auto"/>
              <w:jc w:val="both"/>
              <w:rPr>
                <w:rFonts w:ascii="Century Gothic" w:hAnsi="Century Gothic"/>
                <w:sz w:val="22"/>
                <w:szCs w:val="22"/>
              </w:rPr>
            </w:pPr>
            <w:r w:rsidRPr="00340BF3">
              <w:rPr>
                <w:rFonts w:ascii="Century Gothic" w:hAnsi="Century Gothic"/>
                <w:b/>
                <w:bCs/>
                <w:sz w:val="22"/>
                <w:szCs w:val="22"/>
              </w:rPr>
              <w:t>TERCERA:</w:t>
            </w:r>
            <w:r w:rsidRPr="00340BF3">
              <w:rPr>
                <w:rFonts w:ascii="Century Gothic" w:hAnsi="Century Gothic"/>
                <w:sz w:val="22"/>
                <w:szCs w:val="22"/>
              </w:rPr>
              <w:t xml:space="preserve"> Solicitó condenar a las demandadas al pago de las costas y agencias en derecho derivadas del proceso.</w:t>
            </w:r>
          </w:p>
          <w:p w14:paraId="77C06868" w14:textId="77777777" w:rsidR="00FD53B3" w:rsidRPr="00340BF3" w:rsidRDefault="00FD53B3" w:rsidP="000E543B">
            <w:pPr>
              <w:spacing w:line="276" w:lineRule="auto"/>
              <w:rPr>
                <w:rFonts w:ascii="Century Gothic" w:hAnsi="Century Gothic"/>
                <w:sz w:val="22"/>
                <w:szCs w:val="22"/>
              </w:rPr>
            </w:pPr>
          </w:p>
        </w:tc>
      </w:tr>
      <w:tr w:rsidR="00992368" w:rsidRPr="00340BF3" w14:paraId="50D1C7A7" w14:textId="77777777" w:rsidTr="003827E1">
        <w:trPr>
          <w:trHeight w:val="510"/>
        </w:trPr>
        <w:tc>
          <w:tcPr>
            <w:tcW w:w="4537" w:type="dxa"/>
            <w:vAlign w:val="center"/>
          </w:tcPr>
          <w:p w14:paraId="013247F4" w14:textId="68D4118C" w:rsidR="00992368" w:rsidRPr="00340BF3" w:rsidRDefault="001E1616" w:rsidP="003B7F1A">
            <w:pPr>
              <w:spacing w:line="276" w:lineRule="auto"/>
              <w:rPr>
                <w:rFonts w:ascii="Century Gothic" w:hAnsi="Century Gothic"/>
                <w:b/>
                <w:bCs/>
                <w:sz w:val="22"/>
                <w:szCs w:val="22"/>
              </w:rPr>
            </w:pPr>
            <w:r w:rsidRPr="00340BF3">
              <w:rPr>
                <w:rFonts w:ascii="Century Gothic" w:hAnsi="Century Gothic"/>
                <w:b/>
                <w:bCs/>
                <w:sz w:val="22"/>
                <w:szCs w:val="22"/>
              </w:rPr>
              <w:t xml:space="preserve">Valor total de las pretensiones </w:t>
            </w:r>
          </w:p>
        </w:tc>
        <w:tc>
          <w:tcPr>
            <w:tcW w:w="5670" w:type="dxa"/>
            <w:vAlign w:val="center"/>
          </w:tcPr>
          <w:p w14:paraId="00FEFA37" w14:textId="40C7E949" w:rsidR="00992368" w:rsidRPr="00340BF3" w:rsidRDefault="001E1616" w:rsidP="003827E1">
            <w:pPr>
              <w:spacing w:line="276" w:lineRule="auto"/>
              <w:rPr>
                <w:rFonts w:ascii="Century Gothic" w:hAnsi="Century Gothic"/>
                <w:sz w:val="22"/>
                <w:szCs w:val="22"/>
              </w:rPr>
            </w:pPr>
            <w:r w:rsidRPr="00340BF3">
              <w:rPr>
                <w:rFonts w:ascii="Century Gothic" w:hAnsi="Century Gothic"/>
                <w:sz w:val="22"/>
                <w:szCs w:val="22"/>
              </w:rPr>
              <w:t>$</w:t>
            </w:r>
            <w:r w:rsidR="000E543B" w:rsidRPr="00340BF3">
              <w:rPr>
                <w:rFonts w:ascii="Century Gothic" w:hAnsi="Century Gothic"/>
                <w:sz w:val="22"/>
                <w:szCs w:val="22"/>
              </w:rPr>
              <w:t>213.525.000</w:t>
            </w:r>
          </w:p>
        </w:tc>
      </w:tr>
      <w:tr w:rsidR="00992368" w:rsidRPr="00340BF3" w14:paraId="668F9413" w14:textId="77777777" w:rsidTr="003827E1">
        <w:trPr>
          <w:trHeight w:val="510"/>
        </w:trPr>
        <w:tc>
          <w:tcPr>
            <w:tcW w:w="4537" w:type="dxa"/>
            <w:vAlign w:val="center"/>
          </w:tcPr>
          <w:p w14:paraId="34E17619" w14:textId="7EF66606" w:rsidR="00992368" w:rsidRPr="00340BF3" w:rsidRDefault="00FD53B3" w:rsidP="003B7F1A">
            <w:pPr>
              <w:spacing w:line="276" w:lineRule="auto"/>
              <w:rPr>
                <w:rFonts w:ascii="Century Gothic" w:hAnsi="Century Gothic"/>
                <w:b/>
                <w:bCs/>
                <w:sz w:val="22"/>
                <w:szCs w:val="22"/>
              </w:rPr>
            </w:pPr>
            <w:r w:rsidRPr="00340BF3">
              <w:rPr>
                <w:rFonts w:ascii="Century Gothic" w:hAnsi="Century Gothic"/>
                <w:b/>
                <w:bCs/>
                <w:sz w:val="22"/>
                <w:szCs w:val="22"/>
              </w:rPr>
              <w:lastRenderedPageBreak/>
              <w:t>Valor total de las pretensiones objetivadas</w:t>
            </w:r>
          </w:p>
        </w:tc>
        <w:tc>
          <w:tcPr>
            <w:tcW w:w="5670" w:type="dxa"/>
            <w:vAlign w:val="center"/>
          </w:tcPr>
          <w:p w14:paraId="487C6084" w14:textId="6F2D1025" w:rsidR="00992368" w:rsidRPr="00340BF3" w:rsidRDefault="00FD53B3" w:rsidP="003827E1">
            <w:pPr>
              <w:spacing w:line="276" w:lineRule="auto"/>
              <w:rPr>
                <w:rFonts w:ascii="Century Gothic" w:hAnsi="Century Gothic"/>
                <w:sz w:val="22"/>
                <w:szCs w:val="22"/>
              </w:rPr>
            </w:pPr>
            <w:r w:rsidRPr="00340BF3">
              <w:rPr>
                <w:rFonts w:ascii="Century Gothic" w:hAnsi="Century Gothic"/>
                <w:sz w:val="22"/>
                <w:szCs w:val="22"/>
              </w:rPr>
              <w:t>$</w:t>
            </w:r>
            <w:r w:rsidR="00B30F65">
              <w:rPr>
                <w:rFonts w:ascii="Century Gothic" w:hAnsi="Century Gothic" w:cs="Arial"/>
                <w:bCs/>
                <w:color w:val="000000" w:themeColor="text1"/>
                <w:sz w:val="22"/>
                <w:szCs w:val="22"/>
              </w:rPr>
              <w:t>46.650.000</w:t>
            </w:r>
            <w:r w:rsidR="00B30F65" w:rsidRPr="00AC327D">
              <w:rPr>
                <w:rFonts w:ascii="Century Gothic" w:hAnsi="Century Gothic" w:cs="Arial"/>
                <w:bCs/>
                <w:color w:val="000000" w:themeColor="text1"/>
                <w:sz w:val="22"/>
                <w:szCs w:val="22"/>
              </w:rPr>
              <w:t>.</w:t>
            </w:r>
          </w:p>
        </w:tc>
      </w:tr>
    </w:tbl>
    <w:p w14:paraId="146E9C6D" w14:textId="77777777" w:rsidR="0095378E" w:rsidRPr="00340BF3" w:rsidRDefault="0095378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340BF3" w14:paraId="77F9F71B" w14:textId="77777777" w:rsidTr="0095378E">
        <w:trPr>
          <w:trHeight w:val="285"/>
        </w:trPr>
        <w:tc>
          <w:tcPr>
            <w:tcW w:w="10191" w:type="dxa"/>
            <w:shd w:val="clear" w:color="auto" w:fill="C5E0B3" w:themeFill="accent6" w:themeFillTint="66"/>
            <w:vAlign w:val="center"/>
          </w:tcPr>
          <w:p w14:paraId="10E33877" w14:textId="0E982702" w:rsidR="00E802BC" w:rsidRPr="00340BF3" w:rsidRDefault="00E802BC" w:rsidP="00E802BC">
            <w:pPr>
              <w:spacing w:line="276" w:lineRule="auto"/>
              <w:jc w:val="center"/>
              <w:rPr>
                <w:rFonts w:ascii="Century Gothic" w:hAnsi="Century Gothic"/>
                <w:sz w:val="22"/>
                <w:szCs w:val="22"/>
              </w:rPr>
            </w:pPr>
            <w:r w:rsidRPr="00340BF3">
              <w:rPr>
                <w:rFonts w:ascii="Century Gothic" w:hAnsi="Century Gothic"/>
                <w:b/>
                <w:bCs/>
                <w:sz w:val="22"/>
                <w:szCs w:val="22"/>
              </w:rPr>
              <w:t>Liquidación de las pretensiones objetivadas</w:t>
            </w:r>
          </w:p>
        </w:tc>
      </w:tr>
      <w:tr w:rsidR="00E802BC" w:rsidRPr="00340BF3" w14:paraId="33786C43" w14:textId="77777777" w:rsidTr="0095378E">
        <w:trPr>
          <w:trHeight w:val="6406"/>
        </w:trPr>
        <w:tc>
          <w:tcPr>
            <w:tcW w:w="10191" w:type="dxa"/>
            <w:vAlign w:val="center"/>
          </w:tcPr>
          <w:p w14:paraId="4493BC0D" w14:textId="0D4BFB28" w:rsidR="00415879" w:rsidRPr="00AC327D" w:rsidRDefault="00415879" w:rsidP="00415879">
            <w:pPr>
              <w:spacing w:line="360" w:lineRule="auto"/>
              <w:jc w:val="both"/>
              <w:rPr>
                <w:rFonts w:ascii="Century Gothic" w:hAnsi="Century Gothic" w:cs="Arial"/>
                <w:color w:val="000000" w:themeColor="text1"/>
                <w:sz w:val="22"/>
                <w:szCs w:val="22"/>
              </w:rPr>
            </w:pPr>
            <w:r w:rsidRPr="00AC327D">
              <w:rPr>
                <w:rFonts w:ascii="Century Gothic" w:hAnsi="Century Gothic" w:cs="Arial"/>
                <w:color w:val="000000" w:themeColor="text1"/>
                <w:sz w:val="22"/>
                <w:szCs w:val="22"/>
              </w:rPr>
              <w:t xml:space="preserve">Como liquidación objetiva de perjuicios se llegó al total de </w:t>
            </w:r>
            <w:r w:rsidRPr="00AC327D">
              <w:rPr>
                <w:rFonts w:ascii="Century Gothic" w:hAnsi="Century Gothic" w:cs="Arial"/>
                <w:b/>
                <w:bCs/>
                <w:color w:val="000000" w:themeColor="text1"/>
                <w:sz w:val="22"/>
                <w:szCs w:val="22"/>
              </w:rPr>
              <w:t>$</w:t>
            </w:r>
            <w:r w:rsidR="00F65615">
              <w:rPr>
                <w:rFonts w:ascii="Century Gothic" w:hAnsi="Century Gothic" w:cs="Arial"/>
                <w:bCs/>
                <w:color w:val="000000" w:themeColor="text1"/>
                <w:sz w:val="22"/>
                <w:szCs w:val="22"/>
              </w:rPr>
              <w:t>46.650.000</w:t>
            </w:r>
            <w:r w:rsidRPr="00AC327D">
              <w:rPr>
                <w:rFonts w:ascii="Century Gothic" w:hAnsi="Century Gothic" w:cs="Arial"/>
                <w:bCs/>
                <w:color w:val="000000" w:themeColor="text1"/>
                <w:sz w:val="22"/>
                <w:szCs w:val="22"/>
              </w:rPr>
              <w:t xml:space="preserve">. </w:t>
            </w:r>
            <w:r w:rsidRPr="00AC327D">
              <w:rPr>
                <w:rFonts w:ascii="Century Gothic" w:hAnsi="Century Gothic" w:cs="Arial"/>
                <w:color w:val="000000" w:themeColor="text1"/>
                <w:sz w:val="22"/>
                <w:szCs w:val="22"/>
              </w:rPr>
              <w:t>A este valor se llegó de la siguiente manera:</w:t>
            </w:r>
          </w:p>
          <w:p w14:paraId="73105FA1" w14:textId="77777777" w:rsidR="0015737E" w:rsidRDefault="0015737E" w:rsidP="00415879">
            <w:pPr>
              <w:rPr>
                <w:rFonts w:ascii="Century Gothic" w:hAnsi="Century Gothic"/>
                <w:sz w:val="22"/>
                <w:szCs w:val="22"/>
              </w:rPr>
            </w:pPr>
          </w:p>
          <w:p w14:paraId="5C481A34" w14:textId="7B4D6DF3" w:rsidR="0015737E" w:rsidRDefault="0015737E" w:rsidP="0015737E">
            <w:pPr>
              <w:pStyle w:val="Prrafodelista"/>
              <w:numPr>
                <w:ilvl w:val="0"/>
                <w:numId w:val="18"/>
              </w:numPr>
              <w:spacing w:line="360" w:lineRule="auto"/>
              <w:jc w:val="both"/>
              <w:rPr>
                <w:rFonts w:ascii="Century Gothic" w:hAnsi="Century Gothic"/>
                <w:sz w:val="22"/>
                <w:szCs w:val="22"/>
              </w:rPr>
            </w:pPr>
            <w:r w:rsidRPr="0015737E">
              <w:rPr>
                <w:rFonts w:ascii="Century Gothic" w:hAnsi="Century Gothic"/>
                <w:b/>
                <w:bCs/>
                <w:sz w:val="22"/>
                <w:szCs w:val="22"/>
              </w:rPr>
              <w:t>Damo moral:</w:t>
            </w:r>
            <w:r w:rsidRPr="0015737E">
              <w:rPr>
                <w:rFonts w:ascii="Century Gothic" w:hAnsi="Century Gothic"/>
                <w:sz w:val="22"/>
                <w:szCs w:val="22"/>
              </w:rPr>
              <w:t xml:space="preserve"> Se reconoce la suma total de $142.350.000 por concepto de daño moral. Si bien en la Sentencia SC-072 de 2025 la Sala de Casación Civil de la Corte Suprema de Justicia fijó como parámetro orientador un monto máximo de 100 SMMLV</w:t>
            </w:r>
            <w:r w:rsidR="00FA41B4">
              <w:rPr>
                <w:rFonts w:ascii="Century Gothic" w:hAnsi="Century Gothic"/>
                <w:sz w:val="22"/>
                <w:szCs w:val="22"/>
              </w:rPr>
              <w:t xml:space="preserve"> </w:t>
            </w:r>
            <w:r w:rsidRPr="0015737E">
              <w:rPr>
                <w:rFonts w:ascii="Century Gothic" w:hAnsi="Century Gothic"/>
                <w:sz w:val="22"/>
                <w:szCs w:val="22"/>
              </w:rPr>
              <w:t>para la víctima directa en eventos de fallecimiento, en el presente caso debe observarse el principio de congruencia, el cual impide al juez conceder más de lo solicitado en la demanda.</w:t>
            </w:r>
          </w:p>
          <w:p w14:paraId="1AC2D398" w14:textId="77777777" w:rsidR="0015737E" w:rsidRDefault="0015737E" w:rsidP="0015737E">
            <w:pPr>
              <w:pStyle w:val="Prrafodelista"/>
              <w:spacing w:line="360" w:lineRule="auto"/>
              <w:jc w:val="both"/>
              <w:rPr>
                <w:rFonts w:ascii="Century Gothic" w:hAnsi="Century Gothic"/>
                <w:b/>
                <w:bCs/>
                <w:sz w:val="22"/>
                <w:szCs w:val="22"/>
              </w:rPr>
            </w:pPr>
          </w:p>
          <w:p w14:paraId="646B5C69" w14:textId="36EED41F" w:rsidR="0015737E" w:rsidRDefault="0015737E" w:rsidP="0015737E">
            <w:pPr>
              <w:pStyle w:val="Prrafodelista"/>
              <w:spacing w:line="360" w:lineRule="auto"/>
              <w:jc w:val="both"/>
              <w:rPr>
                <w:rFonts w:ascii="Century Gothic" w:hAnsi="Century Gothic"/>
                <w:sz w:val="22"/>
                <w:szCs w:val="22"/>
              </w:rPr>
            </w:pPr>
            <w:r w:rsidRPr="0015737E">
              <w:rPr>
                <w:rFonts w:ascii="Century Gothic" w:hAnsi="Century Gothic"/>
                <w:sz w:val="22"/>
                <w:szCs w:val="22"/>
              </w:rPr>
              <w:t>En ese sentido, dado que la señora Magda Yurley Villamizar Paredes y su compañero permanente solicitaron cada uno una suma inferior al límite jurisprudencial de 100 SMMLV, se accederá a lo pedido. No ocurre lo mismo respecto de las madres y hermanas de la víctima directa, pues no se allegó prueba alguna</w:t>
            </w:r>
            <w:r w:rsidR="00FA41B4">
              <w:rPr>
                <w:rFonts w:ascii="Century Gothic" w:hAnsi="Century Gothic"/>
                <w:sz w:val="22"/>
                <w:szCs w:val="22"/>
              </w:rPr>
              <w:t xml:space="preserve">, </w:t>
            </w:r>
            <w:r w:rsidRPr="0015737E">
              <w:rPr>
                <w:rFonts w:ascii="Century Gothic" w:hAnsi="Century Gothic"/>
                <w:sz w:val="22"/>
                <w:szCs w:val="22"/>
              </w:rPr>
              <w:t xml:space="preserve">ni siquiera </w:t>
            </w:r>
            <w:r w:rsidR="00496BC3">
              <w:rPr>
                <w:rFonts w:ascii="Century Gothic" w:hAnsi="Century Gothic"/>
                <w:sz w:val="22"/>
                <w:szCs w:val="22"/>
              </w:rPr>
              <w:t>sumaria</w:t>
            </w:r>
            <w:r w:rsidR="00FA41B4">
              <w:rPr>
                <w:rFonts w:ascii="Century Gothic" w:hAnsi="Century Gothic"/>
                <w:sz w:val="22"/>
                <w:szCs w:val="22"/>
              </w:rPr>
              <w:t xml:space="preserve">, </w:t>
            </w:r>
            <w:r w:rsidRPr="0015737E">
              <w:rPr>
                <w:rFonts w:ascii="Century Gothic" w:hAnsi="Century Gothic"/>
                <w:sz w:val="22"/>
                <w:szCs w:val="22"/>
              </w:rPr>
              <w:t>que permita acreditar una afectación psíquica o emocional concreta. La jurisprudencia exige que el daño moral sea cierto y probado, por lo que no puede presumirse respecto de familiares colaterales sin el correspondiente sustento probatorio.</w:t>
            </w:r>
          </w:p>
          <w:p w14:paraId="74179920" w14:textId="77777777" w:rsidR="0015737E" w:rsidRDefault="0015737E" w:rsidP="0015737E">
            <w:pPr>
              <w:pStyle w:val="Prrafodelista"/>
              <w:spacing w:line="360" w:lineRule="auto"/>
              <w:jc w:val="both"/>
              <w:rPr>
                <w:rFonts w:ascii="Century Gothic" w:hAnsi="Century Gothic"/>
                <w:sz w:val="22"/>
                <w:szCs w:val="22"/>
              </w:rPr>
            </w:pPr>
          </w:p>
          <w:p w14:paraId="3E76E47C" w14:textId="2D686EE3" w:rsidR="0015737E" w:rsidRDefault="0015737E" w:rsidP="0015737E">
            <w:pPr>
              <w:pStyle w:val="Prrafodelista"/>
              <w:spacing w:line="360" w:lineRule="auto"/>
              <w:jc w:val="both"/>
              <w:rPr>
                <w:rFonts w:ascii="Century Gothic" w:hAnsi="Century Gothic"/>
                <w:sz w:val="22"/>
                <w:szCs w:val="22"/>
              </w:rPr>
            </w:pPr>
            <w:r w:rsidRPr="0015737E">
              <w:rPr>
                <w:rFonts w:ascii="Century Gothic" w:hAnsi="Century Gothic"/>
                <w:sz w:val="22"/>
                <w:szCs w:val="22"/>
              </w:rPr>
              <w:t>En consecuencia, el perjuicio moral se tasará así:</w:t>
            </w:r>
          </w:p>
          <w:p w14:paraId="1A72BB95" w14:textId="77777777" w:rsidR="00FA41B4" w:rsidRPr="0015737E" w:rsidRDefault="00FA41B4" w:rsidP="0015737E">
            <w:pPr>
              <w:pStyle w:val="Prrafodelista"/>
              <w:spacing w:line="360" w:lineRule="auto"/>
              <w:jc w:val="both"/>
              <w:rPr>
                <w:rFonts w:ascii="Century Gothic" w:hAnsi="Century Gothic"/>
                <w:sz w:val="22"/>
                <w:szCs w:val="22"/>
              </w:rPr>
            </w:pPr>
          </w:p>
          <w:p w14:paraId="722844FB"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Magda Yurley Villamizar Paredes: 50 SMMLV = $71.175.000</w:t>
            </w:r>
          </w:p>
          <w:p w14:paraId="0DEB4C85"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 xml:space="preserve">Julián Ardila </w:t>
            </w:r>
            <w:proofErr w:type="spellStart"/>
            <w:r w:rsidRPr="00FA41B4">
              <w:rPr>
                <w:rFonts w:ascii="Century Gothic" w:hAnsi="Century Gothic"/>
                <w:sz w:val="22"/>
                <w:szCs w:val="22"/>
              </w:rPr>
              <w:t>Quiasua</w:t>
            </w:r>
            <w:proofErr w:type="spellEnd"/>
            <w:r w:rsidRPr="00FA41B4">
              <w:rPr>
                <w:rFonts w:ascii="Century Gothic" w:hAnsi="Century Gothic"/>
                <w:sz w:val="22"/>
                <w:szCs w:val="22"/>
              </w:rPr>
              <w:t xml:space="preserve"> (compañero permanente): 50 SMMLV = $71.175.000</w:t>
            </w:r>
          </w:p>
          <w:p w14:paraId="16E33D32"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Magda Isabel Paredes Jauregui (madre): $0</w:t>
            </w:r>
          </w:p>
          <w:p w14:paraId="26AF6774"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 xml:space="preserve">Leonor Isabel </w:t>
            </w:r>
            <w:proofErr w:type="spellStart"/>
            <w:r w:rsidRPr="00FA41B4">
              <w:rPr>
                <w:rFonts w:ascii="Century Gothic" w:hAnsi="Century Gothic"/>
                <w:sz w:val="22"/>
                <w:szCs w:val="22"/>
              </w:rPr>
              <w:t>Quiasua</w:t>
            </w:r>
            <w:proofErr w:type="spellEnd"/>
            <w:r w:rsidRPr="00FA41B4">
              <w:rPr>
                <w:rFonts w:ascii="Century Gothic" w:hAnsi="Century Gothic"/>
                <w:sz w:val="22"/>
                <w:szCs w:val="22"/>
              </w:rPr>
              <w:t xml:space="preserve"> Rincón (madre): $0</w:t>
            </w:r>
          </w:p>
          <w:p w14:paraId="3220A123"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 xml:space="preserve">Yaneth </w:t>
            </w:r>
            <w:proofErr w:type="spellStart"/>
            <w:r w:rsidRPr="00FA41B4">
              <w:rPr>
                <w:rFonts w:ascii="Century Gothic" w:hAnsi="Century Gothic"/>
                <w:sz w:val="22"/>
                <w:szCs w:val="22"/>
              </w:rPr>
              <w:t>Mileidy</w:t>
            </w:r>
            <w:proofErr w:type="spellEnd"/>
            <w:r w:rsidRPr="00FA41B4">
              <w:rPr>
                <w:rFonts w:ascii="Century Gothic" w:hAnsi="Century Gothic"/>
                <w:sz w:val="22"/>
                <w:szCs w:val="22"/>
              </w:rPr>
              <w:t xml:space="preserve"> Villamizar Paredes (hermana): $0</w:t>
            </w:r>
          </w:p>
          <w:p w14:paraId="28D286F2"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proofErr w:type="spellStart"/>
            <w:r w:rsidRPr="00FA41B4">
              <w:rPr>
                <w:rFonts w:ascii="Century Gothic" w:hAnsi="Century Gothic"/>
                <w:sz w:val="22"/>
                <w:szCs w:val="22"/>
              </w:rPr>
              <w:t>Adis</w:t>
            </w:r>
            <w:proofErr w:type="spellEnd"/>
            <w:r w:rsidRPr="00FA41B4">
              <w:rPr>
                <w:rFonts w:ascii="Century Gothic" w:hAnsi="Century Gothic"/>
                <w:sz w:val="22"/>
                <w:szCs w:val="22"/>
              </w:rPr>
              <w:t xml:space="preserve"> Yajaira Villamizar Paredes (hermana): $0</w:t>
            </w:r>
          </w:p>
          <w:p w14:paraId="2F8FB37A" w14:textId="77777777" w:rsidR="0015737E" w:rsidRPr="00FA41B4" w:rsidRDefault="0015737E" w:rsidP="00FA41B4">
            <w:pPr>
              <w:pStyle w:val="Prrafodelista"/>
              <w:numPr>
                <w:ilvl w:val="0"/>
                <w:numId w:val="19"/>
              </w:numPr>
              <w:spacing w:line="360" w:lineRule="auto"/>
              <w:jc w:val="both"/>
              <w:rPr>
                <w:rFonts w:ascii="Century Gothic" w:hAnsi="Century Gothic"/>
                <w:sz w:val="22"/>
                <w:szCs w:val="22"/>
              </w:rPr>
            </w:pPr>
            <w:r w:rsidRPr="00FA41B4">
              <w:rPr>
                <w:rFonts w:ascii="Century Gothic" w:hAnsi="Century Gothic"/>
                <w:sz w:val="22"/>
                <w:szCs w:val="22"/>
              </w:rPr>
              <w:t>Nataly Meléndez Paredes (hermana): $0</w:t>
            </w:r>
          </w:p>
          <w:p w14:paraId="0F7140CC" w14:textId="397FB35A" w:rsidR="00415879" w:rsidRPr="00AC327D" w:rsidRDefault="00415879" w:rsidP="0015737E">
            <w:pPr>
              <w:spacing w:line="360" w:lineRule="auto"/>
              <w:rPr>
                <w:rFonts w:ascii="Century Gothic" w:hAnsi="Century Gothic"/>
                <w:sz w:val="22"/>
                <w:szCs w:val="22"/>
              </w:rPr>
            </w:pPr>
            <w:r w:rsidRPr="00AC327D">
              <w:rPr>
                <w:rFonts w:ascii="Century Gothic" w:hAnsi="Century Gothic"/>
                <w:sz w:val="22"/>
                <w:szCs w:val="22"/>
              </w:rPr>
              <w:br/>
            </w:r>
          </w:p>
          <w:p w14:paraId="06CF8FEE" w14:textId="4B4C8697" w:rsidR="00415879" w:rsidRPr="00415879" w:rsidRDefault="00415879" w:rsidP="00415879">
            <w:pPr>
              <w:spacing w:line="360" w:lineRule="auto"/>
              <w:jc w:val="both"/>
              <w:rPr>
                <w:rFonts w:ascii="Century Gothic" w:hAnsi="Century Gothic"/>
                <w:sz w:val="22"/>
                <w:szCs w:val="22"/>
              </w:rPr>
            </w:pPr>
          </w:p>
          <w:p w14:paraId="63D14B51" w14:textId="77777777" w:rsidR="00415879" w:rsidRPr="00AC327D" w:rsidRDefault="00415879" w:rsidP="00415879">
            <w:pPr>
              <w:spacing w:line="360" w:lineRule="auto"/>
              <w:jc w:val="both"/>
              <w:rPr>
                <w:rFonts w:ascii="Century Gothic" w:hAnsi="Century Gothic"/>
                <w:sz w:val="22"/>
                <w:szCs w:val="22"/>
              </w:rPr>
            </w:pPr>
          </w:p>
          <w:p w14:paraId="31FF8AB1" w14:textId="03E5FE19" w:rsidR="00E802BC" w:rsidRPr="00340BF3" w:rsidRDefault="00415879" w:rsidP="00FA41B4">
            <w:pPr>
              <w:spacing w:line="360" w:lineRule="auto"/>
              <w:jc w:val="both"/>
              <w:rPr>
                <w:rFonts w:ascii="Century Gothic" w:hAnsi="Century Gothic"/>
                <w:sz w:val="22"/>
                <w:szCs w:val="22"/>
              </w:rPr>
            </w:pPr>
            <w:r w:rsidRPr="007124F1">
              <w:rPr>
                <w:rFonts w:ascii="Century Gothic" w:hAnsi="Century Gothic"/>
                <w:b/>
                <w:bCs/>
                <w:sz w:val="22"/>
                <w:szCs w:val="22"/>
              </w:rPr>
              <w:t>DEDUCIBLE:</w:t>
            </w:r>
            <w:r w:rsidRPr="007124F1">
              <w:rPr>
                <w:rFonts w:ascii="Century Gothic" w:hAnsi="Century Gothic"/>
                <w:sz w:val="22"/>
                <w:szCs w:val="22"/>
              </w:rPr>
              <w:t xml:space="preserve"> Teniendo presente que la liquidación objetiva de los perjuicios, bajo criterios orientadores de jurisprudencia y proporcionalidad, asciende a $1</w:t>
            </w:r>
            <w:r w:rsidR="00F65615">
              <w:rPr>
                <w:rFonts w:ascii="Century Gothic" w:hAnsi="Century Gothic"/>
                <w:sz w:val="22"/>
                <w:szCs w:val="22"/>
              </w:rPr>
              <w:t>42.350.000</w:t>
            </w:r>
            <w:r w:rsidRPr="007124F1">
              <w:rPr>
                <w:rFonts w:ascii="Century Gothic" w:hAnsi="Century Gothic"/>
                <w:sz w:val="22"/>
                <w:szCs w:val="22"/>
              </w:rPr>
              <w:t>, debe resaltarse que la póliza No. AA</w:t>
            </w:r>
            <w:r w:rsidR="00F65615" w:rsidRPr="00340BF3">
              <w:rPr>
                <w:rFonts w:ascii="Century Gothic" w:hAnsi="Century Gothic" w:cs="Segoe UI"/>
                <w:sz w:val="22"/>
                <w:szCs w:val="22"/>
                <w:lang w:eastAsia="es-CO"/>
              </w:rPr>
              <w:t xml:space="preserve"> AA198548</w:t>
            </w:r>
            <w:r w:rsidRPr="007124F1">
              <w:rPr>
                <w:rFonts w:ascii="Century Gothic" w:hAnsi="Century Gothic"/>
                <w:sz w:val="22"/>
                <w:szCs w:val="22"/>
              </w:rPr>
              <w:t xml:space="preserve"> establece un deducible del 12.5% del valor de la pérdida o mínimo $95.700.000, según lo pactado en sus condiciones generales. En este caso, al aplicar ambos criterios, resulta más favorable para la aseguradora considerar el mínimo pactado, es decir, $95.700.000. Así, la liquidación objetiva con deducible aplicado equivale a $</w:t>
            </w:r>
            <w:r w:rsidR="00F65615">
              <w:rPr>
                <w:rFonts w:ascii="Century Gothic" w:hAnsi="Century Gothic"/>
                <w:sz w:val="22"/>
                <w:szCs w:val="22"/>
              </w:rPr>
              <w:t>46.650.000</w:t>
            </w:r>
            <w:r w:rsidRPr="007124F1">
              <w:rPr>
                <w:rFonts w:ascii="Century Gothic" w:hAnsi="Century Gothic"/>
                <w:sz w:val="22"/>
                <w:szCs w:val="22"/>
              </w:rPr>
              <w:t>, lo cual corresponde al límite máximo de eventual traslado económico bajo la hipótesis de que prosperaran las pretensiones.</w:t>
            </w:r>
          </w:p>
        </w:tc>
      </w:tr>
    </w:tbl>
    <w:p w14:paraId="7273C5A1" w14:textId="77777777" w:rsidR="0095378E" w:rsidRDefault="0095378E">
      <w:pPr>
        <w:rPr>
          <w:rFonts w:ascii="Century Gothic" w:hAnsi="Century Gothic"/>
        </w:rPr>
      </w:pPr>
    </w:p>
    <w:p w14:paraId="6D0BB6C7" w14:textId="77777777" w:rsidR="0056372A" w:rsidRDefault="0056372A">
      <w:pPr>
        <w:rPr>
          <w:rFonts w:ascii="Century Gothic" w:hAnsi="Century Gothic"/>
        </w:rPr>
      </w:pPr>
    </w:p>
    <w:p w14:paraId="5DF1FD5B" w14:textId="77777777" w:rsidR="0056372A" w:rsidRDefault="0056372A">
      <w:pPr>
        <w:rPr>
          <w:rFonts w:ascii="Century Gothic" w:hAnsi="Century Gothic"/>
        </w:rPr>
      </w:pPr>
    </w:p>
    <w:p w14:paraId="0F91BF25" w14:textId="77777777" w:rsidR="0056372A" w:rsidRDefault="0056372A">
      <w:pPr>
        <w:rPr>
          <w:rFonts w:ascii="Century Gothic" w:hAnsi="Century Gothic"/>
        </w:rPr>
      </w:pPr>
    </w:p>
    <w:p w14:paraId="7ADE0162" w14:textId="77777777" w:rsidR="0056372A" w:rsidRDefault="0056372A">
      <w:pPr>
        <w:rPr>
          <w:rFonts w:ascii="Century Gothic" w:hAnsi="Century Gothic"/>
        </w:rPr>
      </w:pPr>
    </w:p>
    <w:p w14:paraId="2EF24491" w14:textId="77777777" w:rsidR="0056372A" w:rsidRDefault="0056372A">
      <w:pPr>
        <w:rPr>
          <w:rFonts w:ascii="Century Gothic" w:hAnsi="Century Gothic"/>
        </w:rPr>
      </w:pPr>
    </w:p>
    <w:p w14:paraId="0A424217" w14:textId="77777777" w:rsidR="0056372A" w:rsidRDefault="0056372A">
      <w:pPr>
        <w:rPr>
          <w:rFonts w:ascii="Century Gothic" w:hAnsi="Century Gothic"/>
        </w:rPr>
      </w:pPr>
    </w:p>
    <w:p w14:paraId="0C00234A" w14:textId="77777777" w:rsidR="0056372A" w:rsidRDefault="0056372A">
      <w:pPr>
        <w:rPr>
          <w:rFonts w:ascii="Century Gothic" w:hAnsi="Century Gothic"/>
        </w:rPr>
      </w:pPr>
    </w:p>
    <w:p w14:paraId="1BCD6DB2" w14:textId="77777777" w:rsidR="0056372A" w:rsidRDefault="0056372A">
      <w:pPr>
        <w:rPr>
          <w:rFonts w:ascii="Century Gothic" w:hAnsi="Century Gothic"/>
        </w:rPr>
      </w:pPr>
    </w:p>
    <w:p w14:paraId="20FC3068" w14:textId="77777777" w:rsidR="0056372A" w:rsidRDefault="0056372A">
      <w:pPr>
        <w:rPr>
          <w:rFonts w:ascii="Century Gothic" w:hAnsi="Century Gothic"/>
        </w:rPr>
      </w:pPr>
    </w:p>
    <w:p w14:paraId="118FF202" w14:textId="77777777" w:rsidR="0056372A" w:rsidRDefault="0056372A">
      <w:pPr>
        <w:rPr>
          <w:rFonts w:ascii="Century Gothic" w:hAnsi="Century Gothic"/>
        </w:rPr>
      </w:pPr>
    </w:p>
    <w:p w14:paraId="7A20A2B3" w14:textId="77777777" w:rsidR="0056372A" w:rsidRDefault="0056372A">
      <w:pPr>
        <w:rPr>
          <w:rFonts w:ascii="Century Gothic" w:hAnsi="Century Gothic"/>
        </w:rPr>
      </w:pPr>
    </w:p>
    <w:p w14:paraId="37CB6834" w14:textId="77777777" w:rsidR="0056372A" w:rsidRDefault="0056372A">
      <w:pPr>
        <w:rPr>
          <w:rFonts w:ascii="Century Gothic" w:hAnsi="Century Gothic"/>
        </w:rPr>
      </w:pPr>
    </w:p>
    <w:p w14:paraId="13100408" w14:textId="77777777" w:rsidR="0056372A" w:rsidRDefault="0056372A">
      <w:pPr>
        <w:rPr>
          <w:rFonts w:ascii="Century Gothic" w:hAnsi="Century Gothic"/>
        </w:rPr>
      </w:pPr>
    </w:p>
    <w:p w14:paraId="4973A980" w14:textId="77777777" w:rsidR="0056372A" w:rsidRDefault="0056372A">
      <w:pPr>
        <w:rPr>
          <w:rFonts w:ascii="Century Gothic" w:hAnsi="Century Gothic"/>
        </w:rPr>
      </w:pPr>
    </w:p>
    <w:p w14:paraId="5F2DC102" w14:textId="77777777" w:rsidR="0056372A" w:rsidRDefault="0056372A">
      <w:pPr>
        <w:rPr>
          <w:rFonts w:ascii="Century Gothic" w:hAnsi="Century Gothic"/>
        </w:rPr>
      </w:pPr>
    </w:p>
    <w:p w14:paraId="63DFE461" w14:textId="77777777" w:rsidR="0056372A" w:rsidRDefault="0056372A">
      <w:pPr>
        <w:rPr>
          <w:rFonts w:ascii="Century Gothic" w:hAnsi="Century Gothic"/>
        </w:rPr>
      </w:pPr>
    </w:p>
    <w:p w14:paraId="5BB8138D" w14:textId="77777777" w:rsidR="0056372A" w:rsidRDefault="0056372A">
      <w:pPr>
        <w:rPr>
          <w:rFonts w:ascii="Century Gothic" w:hAnsi="Century Gothic"/>
        </w:rPr>
      </w:pPr>
    </w:p>
    <w:p w14:paraId="19178766" w14:textId="77777777" w:rsidR="0056372A" w:rsidRDefault="0056372A">
      <w:pPr>
        <w:rPr>
          <w:rFonts w:ascii="Century Gothic" w:hAnsi="Century Gothic"/>
        </w:rPr>
      </w:pPr>
    </w:p>
    <w:p w14:paraId="6A5895BA" w14:textId="77777777" w:rsidR="0056372A" w:rsidRDefault="0056372A">
      <w:pPr>
        <w:rPr>
          <w:rFonts w:ascii="Century Gothic" w:hAnsi="Century Gothic"/>
        </w:rPr>
      </w:pPr>
    </w:p>
    <w:p w14:paraId="17A36086" w14:textId="77777777" w:rsidR="0056372A" w:rsidRPr="00340BF3" w:rsidRDefault="0056372A">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340BF3" w14:paraId="05674BEA" w14:textId="77777777" w:rsidTr="0095378E">
        <w:trPr>
          <w:trHeight w:val="321"/>
        </w:trPr>
        <w:tc>
          <w:tcPr>
            <w:tcW w:w="10207" w:type="dxa"/>
            <w:shd w:val="clear" w:color="auto" w:fill="C5E0B3" w:themeFill="accent6" w:themeFillTint="66"/>
            <w:vAlign w:val="center"/>
          </w:tcPr>
          <w:p w14:paraId="2BB97918" w14:textId="52E94393" w:rsidR="003B7F1A" w:rsidRPr="00340BF3" w:rsidRDefault="003B7F1A" w:rsidP="003B7F1A">
            <w:pPr>
              <w:spacing w:line="276" w:lineRule="auto"/>
              <w:jc w:val="center"/>
              <w:rPr>
                <w:rFonts w:ascii="Century Gothic" w:hAnsi="Century Gothic"/>
                <w:sz w:val="22"/>
                <w:szCs w:val="22"/>
              </w:rPr>
            </w:pPr>
            <w:r w:rsidRPr="00340BF3">
              <w:rPr>
                <w:rFonts w:ascii="Century Gothic" w:hAnsi="Century Gothic"/>
                <w:b/>
                <w:bCs/>
                <w:sz w:val="22"/>
                <w:szCs w:val="22"/>
              </w:rPr>
              <w:t>Excepciones</w:t>
            </w:r>
          </w:p>
        </w:tc>
      </w:tr>
      <w:tr w:rsidR="003B7F1A" w:rsidRPr="00340BF3" w14:paraId="4AAD7549" w14:textId="77777777" w:rsidTr="0095378E">
        <w:trPr>
          <w:trHeight w:val="3906"/>
        </w:trPr>
        <w:tc>
          <w:tcPr>
            <w:tcW w:w="10207" w:type="dxa"/>
            <w:vAlign w:val="center"/>
          </w:tcPr>
          <w:p w14:paraId="0238D7F7" w14:textId="6DCDEAB6" w:rsidR="00937F0F" w:rsidRPr="00340BF3" w:rsidRDefault="00937F0F" w:rsidP="00EA6432">
            <w:pPr>
              <w:pStyle w:val="Ttulo4"/>
              <w:numPr>
                <w:ilvl w:val="0"/>
                <w:numId w:val="13"/>
              </w:numPr>
              <w:spacing w:before="0" w:after="40" w:line="360" w:lineRule="auto"/>
              <w:rPr>
                <w:rFonts w:ascii="Century Gothic" w:hAnsi="Century Gothic" w:cs="Arial"/>
                <w:b/>
                <w:bCs/>
                <w:i w:val="0"/>
                <w:iCs w:val="0"/>
                <w:color w:val="000000" w:themeColor="text1"/>
              </w:rPr>
            </w:pPr>
            <w:r w:rsidRPr="00340BF3">
              <w:rPr>
                <w:rFonts w:ascii="Century Gothic" w:hAnsi="Century Gothic" w:cs="Arial"/>
                <w:b/>
                <w:bCs/>
                <w:i w:val="0"/>
                <w:iCs w:val="0"/>
                <w:color w:val="000000" w:themeColor="text1"/>
              </w:rPr>
              <w:lastRenderedPageBreak/>
              <w:t>EXCEPCIONES DE FONDO FRENTE A LA DEMANDA.</w:t>
            </w:r>
          </w:p>
          <w:p w14:paraId="33A9A4FB" w14:textId="77777777" w:rsidR="00937F0F" w:rsidRPr="00340BF3" w:rsidRDefault="00937F0F" w:rsidP="00937F0F">
            <w:pPr>
              <w:rPr>
                <w:rFonts w:ascii="Century Gothic" w:hAnsi="Century Gothic"/>
                <w:sz w:val="22"/>
                <w:szCs w:val="22"/>
                <w:lang w:val="es-ES"/>
              </w:rPr>
            </w:pPr>
          </w:p>
          <w:p w14:paraId="0F9D7575" w14:textId="650CE5C9" w:rsidR="00937F0F" w:rsidRPr="00340BF3" w:rsidRDefault="000E543B" w:rsidP="00EA05D3">
            <w:pPr>
              <w:pStyle w:val="Ttulo4"/>
              <w:numPr>
                <w:ilvl w:val="0"/>
                <w:numId w:val="8"/>
              </w:numPr>
              <w:spacing w:before="0" w:after="40" w:line="360" w:lineRule="auto"/>
              <w:rPr>
                <w:rFonts w:ascii="Century Gothic" w:hAnsi="Century Gothic" w:cs="Arial"/>
                <w:i w:val="0"/>
                <w:iCs w:val="0"/>
                <w:color w:val="000000" w:themeColor="text1"/>
              </w:rPr>
            </w:pPr>
            <w:r w:rsidRPr="00340BF3">
              <w:rPr>
                <w:rFonts w:ascii="Century Gothic" w:hAnsi="Century Gothic" w:cs="Arial"/>
                <w:i w:val="0"/>
                <w:iCs w:val="0"/>
                <w:color w:val="000000" w:themeColor="text1"/>
              </w:rPr>
              <w:t>EXCEPCIONES PLANTEADAS POR QUIEN FORMULÓ EL LLAMAMIENTO EN GARANTÍA A MI REPRESENTADA.</w:t>
            </w:r>
          </w:p>
          <w:p w14:paraId="4490193C" w14:textId="77777777" w:rsidR="00937F0F" w:rsidRPr="00340BF3" w:rsidRDefault="000E543B" w:rsidP="00EA6432">
            <w:pPr>
              <w:pStyle w:val="Ttulo4"/>
              <w:numPr>
                <w:ilvl w:val="0"/>
                <w:numId w:val="8"/>
              </w:numPr>
              <w:spacing w:before="0" w:after="40" w:line="360" w:lineRule="auto"/>
              <w:rPr>
                <w:rFonts w:ascii="Century Gothic" w:hAnsi="Century Gothic" w:cs="Arial"/>
                <w:i w:val="0"/>
                <w:iCs w:val="0"/>
                <w:color w:val="000000" w:themeColor="text1"/>
              </w:rPr>
            </w:pPr>
            <w:r w:rsidRPr="00340BF3">
              <w:rPr>
                <w:rFonts w:ascii="Century Gothic" w:eastAsiaTheme="minorEastAsia" w:hAnsi="Century Gothic" w:cs="Arial"/>
                <w:i w:val="0"/>
                <w:iCs w:val="0"/>
                <w:color w:val="000000" w:themeColor="text1"/>
                <w:lang w:eastAsia="es-ES"/>
              </w:rPr>
              <w:t xml:space="preserve">INEXISTENCIA DE RESPONSABILIDAD DE </w:t>
            </w:r>
            <w:r w:rsidRPr="00340BF3">
              <w:rPr>
                <w:rFonts w:ascii="Century Gothic" w:hAnsi="Century Gothic" w:cs="Arial"/>
                <w:i w:val="0"/>
                <w:iCs w:val="0"/>
                <w:color w:val="000000" w:themeColor="text1"/>
              </w:rPr>
              <w:t>COMPENSAR</w:t>
            </w:r>
            <w:r w:rsidRPr="00340BF3">
              <w:rPr>
                <w:rFonts w:ascii="Century Gothic" w:eastAsiaTheme="minorEastAsia" w:hAnsi="Century Gothic" w:cs="Arial"/>
                <w:i w:val="0"/>
                <w:iCs w:val="0"/>
                <w:color w:val="000000" w:themeColor="text1"/>
                <w:lang w:eastAsia="es-ES"/>
              </w:rPr>
              <w:t xml:space="preserve"> EPS COMO CONSECUENCIA DEL CUMPLIMIENTO DE LAS OBLIGACIONES LEGALES QUE LE CORRESPONDEN COMO ENTIDAD PROMOTORA DE SALUD.</w:t>
            </w:r>
          </w:p>
          <w:p w14:paraId="7DFBF354" w14:textId="77777777" w:rsidR="00937F0F" w:rsidRPr="00340BF3" w:rsidRDefault="000E543B" w:rsidP="00EA6432">
            <w:pPr>
              <w:pStyle w:val="Ttulo4"/>
              <w:numPr>
                <w:ilvl w:val="0"/>
                <w:numId w:val="8"/>
              </w:numPr>
              <w:spacing w:before="0" w:after="40" w:line="360" w:lineRule="auto"/>
              <w:rPr>
                <w:rFonts w:ascii="Century Gothic" w:hAnsi="Century Gothic" w:cs="Arial"/>
                <w:i w:val="0"/>
                <w:iCs w:val="0"/>
                <w:color w:val="000000" w:themeColor="text1"/>
              </w:rPr>
            </w:pPr>
            <w:r w:rsidRPr="00340BF3">
              <w:rPr>
                <w:rFonts w:ascii="Century Gothic" w:hAnsi="Century Gothic" w:cs="Arial"/>
                <w:i w:val="0"/>
                <w:iCs w:val="0"/>
                <w:color w:val="000000" w:themeColor="text1"/>
              </w:rPr>
              <w:t>INEXISTENTE RELACIÓN DE CAUSALIDAD ENTRE EL DAÑO O PERJUICIO ALEGADO POR LA PARTE ACTORA Y LA ACTUACIÓN DE COMPENSAR EPS.</w:t>
            </w:r>
          </w:p>
          <w:p w14:paraId="07A7AEAE" w14:textId="77777777" w:rsidR="00937F0F" w:rsidRPr="00340BF3" w:rsidRDefault="000E543B" w:rsidP="00EA6432">
            <w:pPr>
              <w:pStyle w:val="Ttulo4"/>
              <w:numPr>
                <w:ilvl w:val="0"/>
                <w:numId w:val="8"/>
              </w:numPr>
              <w:spacing w:before="0" w:after="40" w:line="360" w:lineRule="auto"/>
              <w:rPr>
                <w:rFonts w:ascii="Century Gothic" w:hAnsi="Century Gothic" w:cs="Arial"/>
                <w:i w:val="0"/>
                <w:iCs w:val="0"/>
                <w:color w:val="000000" w:themeColor="text1"/>
              </w:rPr>
            </w:pPr>
            <w:r w:rsidRPr="00340BF3">
              <w:rPr>
                <w:rFonts w:ascii="Century Gothic" w:hAnsi="Century Gothic" w:cs="Arial"/>
                <w:i w:val="0"/>
                <w:iCs w:val="0"/>
                <w:color w:val="000000" w:themeColor="text1"/>
              </w:rPr>
              <w:t>INCUMPLIMIENTO DE LAS CARGAS QUE TRATA EL ARTICULO 167 DEL CÓDIGO GENERAL DEL PROCESO, PUES NO SE ACREDITA QUE EL OBITO FETAL HAYA SIDO CONSECUENCIA DE CONDUCTA IMPUTABLE A COMPESAR EPS O SU RED PRESTADORA.</w:t>
            </w:r>
          </w:p>
          <w:p w14:paraId="692ED244" w14:textId="77777777" w:rsidR="00937F0F" w:rsidRPr="00340BF3" w:rsidRDefault="000E543B" w:rsidP="00EA6432">
            <w:pPr>
              <w:pStyle w:val="Ttulo4"/>
              <w:numPr>
                <w:ilvl w:val="0"/>
                <w:numId w:val="8"/>
              </w:numPr>
              <w:spacing w:before="0" w:after="40" w:line="360" w:lineRule="auto"/>
              <w:rPr>
                <w:rFonts w:ascii="Century Gothic" w:hAnsi="Century Gothic" w:cs="Arial"/>
                <w:i w:val="0"/>
                <w:iCs w:val="0"/>
                <w:color w:val="000000" w:themeColor="text1"/>
              </w:rPr>
            </w:pPr>
            <w:r w:rsidRPr="00340BF3">
              <w:rPr>
                <w:rFonts w:ascii="Century Gothic" w:hAnsi="Century Gothic" w:cs="Arial"/>
                <w:i w:val="0"/>
                <w:iCs w:val="0"/>
                <w:color w:val="000000" w:themeColor="text1"/>
              </w:rPr>
              <w:t xml:space="preserve">IMPROCEDENCIA DEL RECONOCIMIENTO DEL DAÑO MORAL Y SU TASACION EXHOBITANTE. </w:t>
            </w:r>
          </w:p>
          <w:p w14:paraId="22FE7EA7" w14:textId="6EC9BB86" w:rsidR="000E543B" w:rsidRPr="00340BF3" w:rsidRDefault="000E543B" w:rsidP="00EA6432">
            <w:pPr>
              <w:pStyle w:val="Ttulo4"/>
              <w:numPr>
                <w:ilvl w:val="0"/>
                <w:numId w:val="8"/>
              </w:numPr>
              <w:spacing w:before="0" w:after="40" w:line="360" w:lineRule="auto"/>
              <w:rPr>
                <w:rFonts w:ascii="Century Gothic" w:eastAsiaTheme="minorHAnsi" w:hAnsi="Century Gothic" w:cs="Arial"/>
                <w:i w:val="0"/>
                <w:iCs w:val="0"/>
                <w:color w:val="000000" w:themeColor="text1"/>
                <w:lang w:val="es-MX" w:bidi="es-ES"/>
              </w:rPr>
            </w:pPr>
            <w:r w:rsidRPr="00340BF3">
              <w:rPr>
                <w:rFonts w:ascii="Century Gothic" w:eastAsiaTheme="minorHAnsi" w:hAnsi="Century Gothic" w:cs="Arial"/>
                <w:i w:val="0"/>
                <w:iCs w:val="0"/>
                <w:color w:val="000000" w:themeColor="text1"/>
                <w:lang w:val="es-MX" w:bidi="es-ES"/>
              </w:rPr>
              <w:t>GENÉRICA O INNOMINADA.</w:t>
            </w:r>
          </w:p>
          <w:p w14:paraId="4C2C0083" w14:textId="77777777" w:rsidR="00EA6432" w:rsidRPr="00340BF3" w:rsidRDefault="00EA6432" w:rsidP="00EA6432">
            <w:pPr>
              <w:rPr>
                <w:rFonts w:ascii="Century Gothic" w:hAnsi="Century Gothic"/>
                <w:sz w:val="22"/>
                <w:szCs w:val="22"/>
                <w:lang w:val="es-MX" w:bidi="es-ES"/>
              </w:rPr>
            </w:pPr>
          </w:p>
          <w:p w14:paraId="4CD29CB8" w14:textId="3304B664" w:rsidR="00937F0F" w:rsidRPr="00340BF3" w:rsidRDefault="00937F0F" w:rsidP="00EA6432">
            <w:pPr>
              <w:pStyle w:val="Prrafodelista"/>
              <w:numPr>
                <w:ilvl w:val="0"/>
                <w:numId w:val="10"/>
              </w:numPr>
              <w:rPr>
                <w:rFonts w:ascii="Century Gothic" w:hAnsi="Century Gothic"/>
                <w:b/>
                <w:bCs/>
                <w:sz w:val="22"/>
                <w:szCs w:val="22"/>
                <w:lang w:val="es-MX" w:bidi="es-ES"/>
              </w:rPr>
            </w:pPr>
            <w:r w:rsidRPr="00340BF3">
              <w:rPr>
                <w:rFonts w:ascii="Century Gothic" w:hAnsi="Century Gothic"/>
                <w:b/>
                <w:bCs/>
                <w:sz w:val="22"/>
                <w:szCs w:val="22"/>
                <w:lang w:val="es-MX" w:bidi="es-ES"/>
              </w:rPr>
              <w:t xml:space="preserve">EXCEPCIONES FRENTE AL LLAMAMIENTO EN GARANTÍA. </w:t>
            </w:r>
          </w:p>
          <w:p w14:paraId="579F729C" w14:textId="70E64AA0" w:rsidR="00937F0F" w:rsidRPr="00340BF3" w:rsidRDefault="00937F0F" w:rsidP="00937F0F">
            <w:pPr>
              <w:rPr>
                <w:rFonts w:ascii="Century Gothic" w:hAnsi="Century Gothic"/>
                <w:sz w:val="22"/>
                <w:szCs w:val="22"/>
                <w:lang w:val="es-MX" w:bidi="es-ES"/>
              </w:rPr>
            </w:pPr>
          </w:p>
          <w:p w14:paraId="515BD39D" w14:textId="3B3F9701" w:rsidR="00937F0F" w:rsidRPr="00340BF3" w:rsidRDefault="00937F0F" w:rsidP="00EA05D3">
            <w:pPr>
              <w:pStyle w:val="Prrafodelista"/>
              <w:numPr>
                <w:ilvl w:val="0"/>
                <w:numId w:val="11"/>
              </w:numPr>
              <w:spacing w:line="360" w:lineRule="auto"/>
              <w:jc w:val="both"/>
              <w:rPr>
                <w:rFonts w:ascii="Century Gothic" w:hAnsi="Century Gothic" w:cs="Arial"/>
                <w:bCs/>
                <w:color w:val="000000" w:themeColor="text1"/>
                <w:sz w:val="22"/>
                <w:szCs w:val="22"/>
                <w:lang w:val="es-CO" w:eastAsia="es-CO"/>
              </w:rPr>
            </w:pPr>
            <w:r w:rsidRPr="00340BF3">
              <w:rPr>
                <w:rFonts w:ascii="Century Gothic" w:eastAsia="Arial" w:hAnsi="Century Gothic" w:cs="Arial"/>
                <w:bCs/>
                <w:color w:val="000000" w:themeColor="text1"/>
                <w:sz w:val="22"/>
                <w:szCs w:val="22"/>
                <w:lang w:eastAsia="es-MX"/>
              </w:rPr>
              <w:t xml:space="preserve">NO EXISTE OBLIGACIÓN INDEMNIZATORIA A CARGO DE LA EQUIDAD SEGUROS GENERALES O.C., TODA VEZ QUE NO SE HA REALIZADO EL RIESGO ASEGURADO EN LA PÓLIZA </w:t>
            </w:r>
            <w:r w:rsidRPr="00340BF3">
              <w:rPr>
                <w:rFonts w:ascii="Century Gothic" w:hAnsi="Century Gothic" w:cs="Arial"/>
                <w:bCs/>
                <w:sz w:val="22"/>
                <w:szCs w:val="22"/>
              </w:rPr>
              <w:t>AA198548 EN LOS TÉRMINOS DEL ARTÍCULO 1072 DEL CÓDIGO DE COMERCIO.</w:t>
            </w:r>
          </w:p>
          <w:p w14:paraId="03469D27" w14:textId="77777777" w:rsidR="00EA6432" w:rsidRPr="00340BF3" w:rsidRDefault="00937F0F"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eastAsia="Arial" w:hAnsi="Century Gothic" w:cs="Arial"/>
                <w:bCs/>
                <w:sz w:val="22"/>
                <w:szCs w:val="22"/>
              </w:rPr>
              <w:t>RIESGOS EXPRESAMENTE EXCLUIDOS EN LA PÓLIZA DE SEGURO DE RESPONSABILIDAD CIVIL PROFESIONAL CLÍNICAS</w:t>
            </w:r>
            <w:r w:rsidRPr="00340BF3" w:rsidDel="00070225">
              <w:rPr>
                <w:rFonts w:ascii="Century Gothic" w:hAnsi="Century Gothic" w:cs="Arial"/>
                <w:bCs/>
                <w:color w:val="000000" w:themeColor="text1"/>
                <w:sz w:val="22"/>
                <w:szCs w:val="22"/>
              </w:rPr>
              <w:t xml:space="preserve"> </w:t>
            </w:r>
            <w:r w:rsidRPr="00340BF3">
              <w:rPr>
                <w:rFonts w:ascii="Century Gothic" w:hAnsi="Century Gothic" w:cs="Arial"/>
                <w:bCs/>
                <w:sz w:val="22"/>
                <w:szCs w:val="22"/>
              </w:rPr>
              <w:t>AA198548.</w:t>
            </w:r>
          </w:p>
          <w:p w14:paraId="35371F4A"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eastAsia="Arial" w:hAnsi="Century Gothic" w:cs="Arial"/>
                <w:bCs/>
                <w:color w:val="000000" w:themeColor="text1"/>
                <w:sz w:val="22"/>
                <w:szCs w:val="22"/>
                <w:lang w:eastAsia="es-CO"/>
              </w:rPr>
              <w:t>CARÁCTER MERAMENTE INDEMNIZATORIO DE LOS CONTRATOS DE SEGURO.</w:t>
            </w:r>
          </w:p>
          <w:p w14:paraId="43224105"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eastAsia="Times New Roman" w:hAnsi="Century Gothic" w:cs="Arial"/>
                <w:bCs/>
                <w:sz w:val="22"/>
                <w:szCs w:val="22"/>
                <w:shd w:val="clear" w:color="auto" w:fill="FFFFFF"/>
              </w:rPr>
              <w:t xml:space="preserve">PRESCRIPCIÓN DE LA ACCIÓN DERIVADA DEL CONTRATO DE SEGURO. </w:t>
            </w:r>
          </w:p>
          <w:p w14:paraId="60FFF53A"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hAnsi="Century Gothic" w:cs="Arial"/>
                <w:bCs/>
                <w:color w:val="000000" w:themeColor="text1"/>
                <w:sz w:val="22"/>
                <w:szCs w:val="22"/>
              </w:rPr>
              <w:t xml:space="preserve">EN CUALQUIER CASO, DE NINGUNA FORMA SE PODRÁ EXCEDER EL LÍMITE DEL VALOR ASEGURADO EN LA PÓLIZA No. </w:t>
            </w:r>
            <w:r w:rsidRPr="00340BF3">
              <w:rPr>
                <w:rFonts w:ascii="Century Gothic" w:hAnsi="Century Gothic" w:cs="Arial"/>
                <w:bCs/>
                <w:sz w:val="22"/>
                <w:szCs w:val="22"/>
              </w:rPr>
              <w:t>AA198548</w:t>
            </w:r>
          </w:p>
          <w:p w14:paraId="1CA99D97"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hAnsi="Century Gothic" w:cs="Arial"/>
                <w:bCs/>
                <w:color w:val="000000" w:themeColor="text1"/>
                <w:sz w:val="22"/>
                <w:szCs w:val="22"/>
              </w:rPr>
              <w:t>EN CUALQUIER CASO, SE DEBERÁ TENER EN CUENTA EL DEDUCIBLE PACTADO EN LA PÓLIZA 12,5%</w:t>
            </w:r>
            <w:r w:rsidRPr="00340BF3">
              <w:rPr>
                <w:rFonts w:ascii="Century Gothic" w:hAnsi="Century Gothic" w:cs="Arial"/>
                <w:bCs/>
                <w:sz w:val="22"/>
                <w:szCs w:val="22"/>
              </w:rPr>
              <w:t xml:space="preserve"> de la perdida mínimo $95.700.000</w:t>
            </w:r>
          </w:p>
          <w:p w14:paraId="73108A09"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eastAsia="Arial" w:hAnsi="Century Gothic" w:cs="Arial"/>
                <w:bCs/>
                <w:color w:val="000000" w:themeColor="text1"/>
                <w:sz w:val="22"/>
                <w:szCs w:val="22"/>
                <w:lang w:eastAsia="es-CO"/>
              </w:rPr>
              <w:t>SUJECIÓN A LAS CONDICIONES PARTICULARES Y GENERALES DEL CONTRATO DE SEGURO, EL CLAUSULADO Y LOS AMPAROS.</w:t>
            </w:r>
          </w:p>
          <w:p w14:paraId="3FBBECA1" w14:textId="77777777" w:rsidR="00EA6432"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Cs/>
                <w:color w:val="000000" w:themeColor="text1"/>
                <w:sz w:val="22"/>
                <w:szCs w:val="22"/>
              </w:rPr>
            </w:pPr>
            <w:r w:rsidRPr="00340BF3">
              <w:rPr>
                <w:rFonts w:ascii="Century Gothic" w:eastAsia="Arial" w:hAnsi="Century Gothic" w:cs="Arial"/>
                <w:bCs/>
                <w:color w:val="000000" w:themeColor="text1"/>
                <w:sz w:val="22"/>
                <w:szCs w:val="22"/>
                <w:lang w:eastAsia="es-CO"/>
              </w:rPr>
              <w:t>DISPONIBILIDAD DEL VALOR ASEGURADO</w:t>
            </w:r>
          </w:p>
          <w:p w14:paraId="52CE2D52" w14:textId="2C217633" w:rsidR="003B7F1A" w:rsidRPr="00340BF3" w:rsidRDefault="00EA6432" w:rsidP="00EA6432">
            <w:pPr>
              <w:pStyle w:val="Prrafodelista"/>
              <w:widowControl w:val="0"/>
              <w:numPr>
                <w:ilvl w:val="0"/>
                <w:numId w:val="11"/>
              </w:numPr>
              <w:autoSpaceDE w:val="0"/>
              <w:autoSpaceDN w:val="0"/>
              <w:spacing w:line="360" w:lineRule="auto"/>
              <w:jc w:val="both"/>
              <w:rPr>
                <w:rFonts w:ascii="Century Gothic" w:hAnsi="Century Gothic" w:cs="Arial"/>
                <w:b/>
                <w:bCs/>
                <w:color w:val="000000" w:themeColor="text1"/>
              </w:rPr>
            </w:pPr>
            <w:r w:rsidRPr="00340BF3">
              <w:rPr>
                <w:rFonts w:ascii="Century Gothic" w:eastAsia="Arial" w:hAnsi="Century Gothic" w:cs="Arial"/>
                <w:bCs/>
                <w:color w:val="000000" w:themeColor="text1"/>
                <w:sz w:val="22"/>
                <w:szCs w:val="22"/>
                <w:lang w:eastAsia="es-CO"/>
              </w:rPr>
              <w:t>GENÉRICA O INNOMINADA Y OTRAS</w:t>
            </w:r>
          </w:p>
        </w:tc>
      </w:tr>
    </w:tbl>
    <w:p w14:paraId="0AA122B4" w14:textId="77777777" w:rsidR="00F67EF8" w:rsidRPr="00340BF3"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340BF3" w14:paraId="4B531C7D" w14:textId="77777777" w:rsidTr="40F7E47C">
        <w:trPr>
          <w:trHeight w:val="454"/>
        </w:trPr>
        <w:tc>
          <w:tcPr>
            <w:tcW w:w="3266" w:type="dxa"/>
            <w:vAlign w:val="center"/>
            <w:hideMark/>
          </w:tcPr>
          <w:p w14:paraId="3F99B56F" w14:textId="1315CCDB" w:rsidR="00EE687D" w:rsidRPr="00340BF3" w:rsidRDefault="006F0CAA" w:rsidP="00EB6A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17F673F7" w:rsidR="00EE687D"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10293230</w:t>
            </w:r>
          </w:p>
        </w:tc>
      </w:tr>
      <w:tr w:rsidR="006F0CAA" w:rsidRPr="00340BF3" w14:paraId="7A21B905" w14:textId="77777777" w:rsidTr="40F7E47C">
        <w:trPr>
          <w:trHeight w:val="454"/>
        </w:trPr>
        <w:tc>
          <w:tcPr>
            <w:tcW w:w="3266" w:type="dxa"/>
            <w:vAlign w:val="center"/>
          </w:tcPr>
          <w:p w14:paraId="533380A9" w14:textId="7103E52D" w:rsidR="006F0CAA" w:rsidRPr="00340BF3" w:rsidRDefault="006F0CAA" w:rsidP="40F7E47C">
            <w:pPr>
              <w:jc w:val="both"/>
              <w:textAlignment w:val="baseline"/>
              <w:rPr>
                <w:rFonts w:ascii="Century Gothic" w:hAnsi="Century Gothic"/>
                <w:b/>
                <w:bCs/>
                <w:color w:val="000000"/>
                <w:sz w:val="22"/>
                <w:szCs w:val="22"/>
                <w:shd w:val="clear" w:color="auto" w:fill="FFFFFF"/>
                <w:lang w:val="es-ES" w:eastAsia="es-CO"/>
              </w:rPr>
            </w:pPr>
            <w:r w:rsidRPr="00340BF3">
              <w:rPr>
                <w:rFonts w:ascii="Century Gothic" w:hAnsi="Century Gothic"/>
                <w:b/>
                <w:bCs/>
                <w:color w:val="000000"/>
                <w:sz w:val="22"/>
                <w:szCs w:val="22"/>
                <w:shd w:val="clear" w:color="auto" w:fill="FFFFFF"/>
                <w:lang w:val="es-ES" w:eastAsia="es-CO"/>
              </w:rPr>
              <w:t xml:space="preserve">Caso </w:t>
            </w:r>
            <w:proofErr w:type="spellStart"/>
            <w:r w:rsidRPr="00340BF3">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1F03729" w:rsidR="006F0CAA"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191750</w:t>
            </w:r>
          </w:p>
        </w:tc>
      </w:tr>
      <w:tr w:rsidR="00EE687D" w:rsidRPr="00340BF3" w14:paraId="00877764" w14:textId="77777777" w:rsidTr="40F7E47C">
        <w:trPr>
          <w:trHeight w:val="454"/>
        </w:trPr>
        <w:tc>
          <w:tcPr>
            <w:tcW w:w="3266" w:type="dxa"/>
            <w:vAlign w:val="center"/>
            <w:hideMark/>
          </w:tcPr>
          <w:p w14:paraId="749E810E" w14:textId="77777777" w:rsidR="00EE687D" w:rsidRPr="00340BF3" w:rsidRDefault="00EE687D" w:rsidP="00EB6A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Póliza</w:t>
            </w:r>
          </w:p>
        </w:tc>
        <w:tc>
          <w:tcPr>
            <w:tcW w:w="6941" w:type="dxa"/>
            <w:vAlign w:val="center"/>
          </w:tcPr>
          <w:p w14:paraId="7FC9EC9E" w14:textId="1D839BE5" w:rsidR="00EE687D"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AA198548</w:t>
            </w:r>
          </w:p>
        </w:tc>
      </w:tr>
      <w:tr w:rsidR="00EE687D" w:rsidRPr="00340BF3" w14:paraId="3260B646" w14:textId="77777777" w:rsidTr="40F7E47C">
        <w:trPr>
          <w:trHeight w:val="454"/>
        </w:trPr>
        <w:tc>
          <w:tcPr>
            <w:tcW w:w="3266" w:type="dxa"/>
            <w:vAlign w:val="center"/>
            <w:hideMark/>
          </w:tcPr>
          <w:p w14:paraId="67FBF2E5" w14:textId="77777777" w:rsidR="00EE687D" w:rsidRPr="00340BF3" w:rsidRDefault="00EE687D" w:rsidP="00EB6A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8CE96F7" w:rsidR="00EE687D"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AB044907</w:t>
            </w:r>
          </w:p>
        </w:tc>
      </w:tr>
      <w:tr w:rsidR="00EE687D" w:rsidRPr="00340BF3" w14:paraId="0BC7C6A3" w14:textId="77777777" w:rsidTr="40F7E47C">
        <w:trPr>
          <w:trHeight w:val="454"/>
        </w:trPr>
        <w:tc>
          <w:tcPr>
            <w:tcW w:w="3266" w:type="dxa"/>
            <w:vAlign w:val="center"/>
            <w:hideMark/>
          </w:tcPr>
          <w:p w14:paraId="433D63BC" w14:textId="77777777" w:rsidR="00EE687D" w:rsidRPr="00340BF3" w:rsidRDefault="00EE687D" w:rsidP="00EB6A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Orden</w:t>
            </w:r>
          </w:p>
        </w:tc>
        <w:tc>
          <w:tcPr>
            <w:tcW w:w="6941" w:type="dxa"/>
            <w:vAlign w:val="center"/>
          </w:tcPr>
          <w:p w14:paraId="25280801" w14:textId="6882653C" w:rsidR="00EE687D"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1</w:t>
            </w:r>
          </w:p>
        </w:tc>
      </w:tr>
      <w:tr w:rsidR="00B90E05" w:rsidRPr="00340BF3" w14:paraId="3ACEF28A" w14:textId="77777777" w:rsidTr="40F7E47C">
        <w:trPr>
          <w:trHeight w:val="454"/>
        </w:trPr>
        <w:tc>
          <w:tcPr>
            <w:tcW w:w="3266" w:type="dxa"/>
            <w:vAlign w:val="center"/>
          </w:tcPr>
          <w:p w14:paraId="0881BFDC" w14:textId="40C44F4A" w:rsidR="00B90E05" w:rsidRPr="00340BF3" w:rsidRDefault="00B90E05" w:rsidP="00EB6A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Sucursal</w:t>
            </w:r>
          </w:p>
        </w:tc>
        <w:tc>
          <w:tcPr>
            <w:tcW w:w="6941" w:type="dxa"/>
            <w:vAlign w:val="center"/>
          </w:tcPr>
          <w:p w14:paraId="74AA0D59" w14:textId="41DC0DD6" w:rsidR="00B90E05"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100001</w:t>
            </w:r>
          </w:p>
        </w:tc>
      </w:tr>
      <w:tr w:rsidR="00EE687D" w:rsidRPr="00340BF3" w14:paraId="4BCD09C7" w14:textId="77777777" w:rsidTr="40F7E47C">
        <w:trPr>
          <w:trHeight w:val="454"/>
        </w:trPr>
        <w:tc>
          <w:tcPr>
            <w:tcW w:w="3266" w:type="dxa"/>
            <w:vAlign w:val="center"/>
            <w:hideMark/>
          </w:tcPr>
          <w:p w14:paraId="0A1C1E81" w14:textId="17519C67" w:rsidR="00EE687D" w:rsidRPr="00340BF3" w:rsidRDefault="001C44B4" w:rsidP="00EB6A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48D10D1" w:rsidR="00EE687D" w:rsidRPr="00340BF3" w:rsidRDefault="00C92384" w:rsidP="00EB6A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N/A</w:t>
            </w:r>
          </w:p>
        </w:tc>
      </w:tr>
      <w:tr w:rsidR="001C44B4" w:rsidRPr="00340BF3" w14:paraId="0BA9ECEE" w14:textId="77777777" w:rsidTr="40F7E47C">
        <w:trPr>
          <w:trHeight w:val="454"/>
        </w:trPr>
        <w:tc>
          <w:tcPr>
            <w:tcW w:w="3266" w:type="dxa"/>
            <w:vAlign w:val="center"/>
          </w:tcPr>
          <w:p w14:paraId="7B70AF59" w14:textId="749D67BE" w:rsidR="001C44B4" w:rsidRPr="00340BF3" w:rsidRDefault="001C44B4" w:rsidP="001C44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994024A"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18 DE DICIEMBRE DE 2023</w:t>
            </w:r>
          </w:p>
        </w:tc>
      </w:tr>
      <w:tr w:rsidR="001C44B4" w:rsidRPr="00340BF3" w14:paraId="05412033" w14:textId="77777777" w:rsidTr="40F7E47C">
        <w:trPr>
          <w:trHeight w:val="454"/>
        </w:trPr>
        <w:tc>
          <w:tcPr>
            <w:tcW w:w="3266" w:type="dxa"/>
            <w:vAlign w:val="center"/>
          </w:tcPr>
          <w:p w14:paraId="43E688BB" w14:textId="54B02C3E" w:rsidR="001C44B4" w:rsidRPr="00340BF3" w:rsidRDefault="001C44B4" w:rsidP="001C44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8B17908"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2 DE JUNIO DE 2024</w:t>
            </w:r>
          </w:p>
        </w:tc>
      </w:tr>
      <w:tr w:rsidR="001C44B4" w:rsidRPr="00340BF3" w14:paraId="6DB6B020" w14:textId="77777777" w:rsidTr="40F7E47C">
        <w:trPr>
          <w:trHeight w:val="454"/>
        </w:trPr>
        <w:tc>
          <w:tcPr>
            <w:tcW w:w="3266" w:type="dxa"/>
            <w:vAlign w:val="center"/>
          </w:tcPr>
          <w:p w14:paraId="13FCE7D8" w14:textId="6EA7D194" w:rsidR="001C44B4" w:rsidRPr="00340BF3" w:rsidRDefault="001C44B4" w:rsidP="001C44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24B9551"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FACULTATIVO</w:t>
            </w:r>
          </w:p>
        </w:tc>
      </w:tr>
      <w:tr w:rsidR="001C44B4" w:rsidRPr="00340BF3" w14:paraId="2F1DA9E6" w14:textId="77777777" w:rsidTr="40F7E47C">
        <w:trPr>
          <w:trHeight w:val="454"/>
        </w:trPr>
        <w:tc>
          <w:tcPr>
            <w:tcW w:w="3266" w:type="dxa"/>
            <w:vAlign w:val="center"/>
          </w:tcPr>
          <w:p w14:paraId="3ECF2237" w14:textId="5FB6285C" w:rsidR="001C44B4" w:rsidRPr="00340BF3" w:rsidRDefault="008B685D" w:rsidP="001C44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Tomador</w:t>
            </w:r>
          </w:p>
        </w:tc>
        <w:tc>
          <w:tcPr>
            <w:tcW w:w="6941" w:type="dxa"/>
            <w:vAlign w:val="center"/>
          </w:tcPr>
          <w:p w14:paraId="2B607964" w14:textId="221412AA"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EPS COMPENSAR</w:t>
            </w:r>
          </w:p>
        </w:tc>
      </w:tr>
      <w:tr w:rsidR="001C44B4" w:rsidRPr="00340BF3" w14:paraId="1165CBE1" w14:textId="77777777" w:rsidTr="40F7E47C">
        <w:trPr>
          <w:trHeight w:val="454"/>
        </w:trPr>
        <w:tc>
          <w:tcPr>
            <w:tcW w:w="3266" w:type="dxa"/>
            <w:vAlign w:val="center"/>
          </w:tcPr>
          <w:p w14:paraId="640F2169" w14:textId="4903327C" w:rsidR="001C44B4" w:rsidRPr="00340BF3" w:rsidRDefault="008B685D" w:rsidP="001C44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EDFC1E4"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 xml:space="preserve">EPS COMPENSAR </w:t>
            </w:r>
          </w:p>
        </w:tc>
      </w:tr>
      <w:tr w:rsidR="001C44B4" w:rsidRPr="00340BF3" w14:paraId="513C2A8D" w14:textId="77777777" w:rsidTr="40F7E47C">
        <w:trPr>
          <w:trHeight w:val="454"/>
        </w:trPr>
        <w:tc>
          <w:tcPr>
            <w:tcW w:w="3266" w:type="dxa"/>
            <w:vAlign w:val="center"/>
            <w:hideMark/>
          </w:tcPr>
          <w:p w14:paraId="5E1FDA28" w14:textId="16DB1B8E" w:rsidR="001C44B4" w:rsidRPr="00340BF3" w:rsidRDefault="008B685D" w:rsidP="001C44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Ramo</w:t>
            </w:r>
          </w:p>
        </w:tc>
        <w:tc>
          <w:tcPr>
            <w:tcW w:w="6941" w:type="dxa"/>
            <w:vAlign w:val="center"/>
          </w:tcPr>
          <w:p w14:paraId="0701202E" w14:textId="4DA385F2"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R.C PROFESIONAL CLINICA</w:t>
            </w:r>
          </w:p>
        </w:tc>
      </w:tr>
      <w:tr w:rsidR="001C44B4" w:rsidRPr="00340BF3" w14:paraId="2F8ECFA3" w14:textId="77777777" w:rsidTr="40F7E47C">
        <w:trPr>
          <w:trHeight w:val="454"/>
        </w:trPr>
        <w:tc>
          <w:tcPr>
            <w:tcW w:w="3266" w:type="dxa"/>
            <w:vAlign w:val="center"/>
            <w:hideMark/>
          </w:tcPr>
          <w:p w14:paraId="0C3932A6" w14:textId="2792643B" w:rsidR="001C44B4" w:rsidRPr="00340BF3" w:rsidRDefault="008B685D" w:rsidP="001C44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F333B6B"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R.C PROFESIONAL MEDICA</w:t>
            </w:r>
          </w:p>
        </w:tc>
      </w:tr>
      <w:tr w:rsidR="001C44B4" w:rsidRPr="00340BF3" w14:paraId="59B4A554" w14:textId="77777777" w:rsidTr="40F7E47C">
        <w:trPr>
          <w:trHeight w:val="454"/>
        </w:trPr>
        <w:tc>
          <w:tcPr>
            <w:tcW w:w="3266" w:type="dxa"/>
            <w:vAlign w:val="center"/>
            <w:hideMark/>
          </w:tcPr>
          <w:p w14:paraId="0412A958" w14:textId="77777777" w:rsidR="001C44B4" w:rsidRPr="00340BF3" w:rsidRDefault="001C44B4" w:rsidP="001C44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E59B050" w:rsidR="001C44B4"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$2.000.000.000</w:t>
            </w:r>
          </w:p>
        </w:tc>
      </w:tr>
      <w:tr w:rsidR="001129B6" w:rsidRPr="00340BF3" w14:paraId="2F24D88E" w14:textId="77777777" w:rsidTr="40F7E47C">
        <w:trPr>
          <w:trHeight w:val="454"/>
        </w:trPr>
        <w:tc>
          <w:tcPr>
            <w:tcW w:w="3266" w:type="dxa"/>
            <w:vAlign w:val="center"/>
          </w:tcPr>
          <w:p w14:paraId="0E72F2CD" w14:textId="1A6BE851" w:rsidR="001129B6" w:rsidRPr="00340BF3" w:rsidRDefault="001129B6" w:rsidP="001C44B4">
            <w:pPr>
              <w:jc w:val="both"/>
              <w:textAlignment w:val="baseline"/>
              <w:rPr>
                <w:rFonts w:ascii="Century Gothic" w:hAnsi="Century Gothic"/>
                <w:b/>
                <w:bCs/>
                <w:color w:val="000000"/>
                <w:sz w:val="22"/>
                <w:szCs w:val="22"/>
                <w:shd w:val="clear" w:color="auto" w:fill="FFFFFF"/>
                <w:lang w:eastAsia="es-CO"/>
              </w:rPr>
            </w:pPr>
            <w:r w:rsidRPr="00340BF3">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17099C4" w:rsidR="001129B6" w:rsidRPr="00340BF3" w:rsidRDefault="00C92384"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NO</w:t>
            </w:r>
          </w:p>
        </w:tc>
      </w:tr>
      <w:tr w:rsidR="001C44B4" w:rsidRPr="00340BF3" w14:paraId="658B9E4D" w14:textId="77777777" w:rsidTr="40F7E47C">
        <w:trPr>
          <w:trHeight w:val="454"/>
        </w:trPr>
        <w:tc>
          <w:tcPr>
            <w:tcW w:w="3266" w:type="dxa"/>
            <w:vAlign w:val="center"/>
            <w:hideMark/>
          </w:tcPr>
          <w:p w14:paraId="02377331" w14:textId="79A3F98F" w:rsidR="001C44B4" w:rsidRPr="00340BF3" w:rsidRDefault="002633C0" w:rsidP="001C44B4">
            <w:pPr>
              <w:jc w:val="both"/>
              <w:textAlignment w:val="baseline"/>
              <w:rPr>
                <w:rFonts w:ascii="Century Gothic" w:hAnsi="Century Gothic" w:cs="Segoe UI"/>
                <w:sz w:val="22"/>
                <w:szCs w:val="22"/>
                <w:lang w:eastAsia="es-CO"/>
              </w:rPr>
            </w:pPr>
            <w:r w:rsidRPr="00340BF3">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7C7D6F5" w:rsidR="001C44B4" w:rsidRPr="00340BF3" w:rsidRDefault="002633C0" w:rsidP="001C44B4">
            <w:pPr>
              <w:jc w:val="both"/>
              <w:rPr>
                <w:rFonts w:ascii="Century Gothic" w:hAnsi="Century Gothic" w:cs="Segoe UI"/>
                <w:sz w:val="22"/>
                <w:szCs w:val="22"/>
                <w:lang w:eastAsia="es-CO"/>
              </w:rPr>
            </w:pPr>
            <w:r w:rsidRPr="00340BF3">
              <w:rPr>
                <w:rFonts w:ascii="Century Gothic" w:hAnsi="Century Gothic" w:cs="Segoe UI"/>
                <w:sz w:val="22"/>
                <w:szCs w:val="22"/>
                <w:lang w:eastAsia="es-CO"/>
              </w:rPr>
              <w:t xml:space="preserve"> $ </w:t>
            </w:r>
            <w:r w:rsidR="00C92384" w:rsidRPr="00340BF3">
              <w:rPr>
                <w:rFonts w:ascii="Century Gothic" w:hAnsi="Century Gothic" w:cs="Segoe UI"/>
                <w:sz w:val="22"/>
                <w:szCs w:val="22"/>
                <w:lang w:eastAsia="es-CO"/>
              </w:rPr>
              <w:t>0</w:t>
            </w:r>
          </w:p>
        </w:tc>
      </w:tr>
    </w:tbl>
    <w:p w14:paraId="397A1D68" w14:textId="77777777" w:rsidR="003B44CB" w:rsidRPr="00340BF3" w:rsidRDefault="003B44CB" w:rsidP="003314A2">
      <w:pPr>
        <w:spacing w:line="360" w:lineRule="auto"/>
        <w:rPr>
          <w:rFonts w:ascii="Century Gothic" w:hAnsi="Century Gothic"/>
          <w:sz w:val="22"/>
          <w:szCs w:val="22"/>
        </w:rPr>
      </w:pPr>
    </w:p>
    <w:p w14:paraId="61F56879" w14:textId="77777777" w:rsidR="0095378E" w:rsidRPr="00340BF3" w:rsidRDefault="0095378E">
      <w:pPr>
        <w:rPr>
          <w:rFonts w:ascii="Century Gothic" w:hAnsi="Century Gothic"/>
        </w:rPr>
      </w:pPr>
    </w:p>
    <w:tbl>
      <w:tblPr>
        <w:tblStyle w:val="Tablaconcuadrcula"/>
        <w:tblW w:w="10065" w:type="dxa"/>
        <w:tblInd w:w="-431" w:type="dxa"/>
        <w:tblLook w:val="04A0" w:firstRow="1" w:lastRow="0" w:firstColumn="1" w:lastColumn="0" w:noHBand="0" w:noVBand="1"/>
      </w:tblPr>
      <w:tblGrid>
        <w:gridCol w:w="3687"/>
        <w:gridCol w:w="6378"/>
      </w:tblGrid>
      <w:tr w:rsidR="002633C0" w:rsidRPr="00340BF3" w14:paraId="49B1F103" w14:textId="77777777" w:rsidTr="000F4708">
        <w:tc>
          <w:tcPr>
            <w:tcW w:w="3687" w:type="dxa"/>
          </w:tcPr>
          <w:p w14:paraId="673B76C6" w14:textId="23992614" w:rsidR="002633C0" w:rsidRPr="00340BF3" w:rsidRDefault="00BA1E5F" w:rsidP="003314A2">
            <w:pPr>
              <w:spacing w:line="360" w:lineRule="auto"/>
              <w:rPr>
                <w:rFonts w:ascii="Century Gothic" w:hAnsi="Century Gothic"/>
                <w:sz w:val="22"/>
                <w:szCs w:val="22"/>
              </w:rPr>
            </w:pPr>
            <w:r w:rsidRPr="00340BF3">
              <w:rPr>
                <w:rFonts w:ascii="Century Gothic" w:hAnsi="Century Gothic"/>
                <w:b/>
                <w:bCs/>
                <w:sz w:val="22"/>
                <w:szCs w:val="22"/>
              </w:rPr>
              <w:t>Calificación de la contingencia</w:t>
            </w:r>
          </w:p>
        </w:tc>
        <w:tc>
          <w:tcPr>
            <w:tcW w:w="6378" w:type="dxa"/>
          </w:tcPr>
          <w:p w14:paraId="6F4874B3" w14:textId="25DDE6FD" w:rsidR="002633C0" w:rsidRPr="00340BF3" w:rsidRDefault="00EA05D3" w:rsidP="003314A2">
            <w:pPr>
              <w:spacing w:line="360" w:lineRule="auto"/>
              <w:rPr>
                <w:rFonts w:ascii="Century Gothic" w:hAnsi="Century Gothic"/>
                <w:sz w:val="22"/>
                <w:szCs w:val="22"/>
              </w:rPr>
            </w:pPr>
            <w:r w:rsidRPr="00340BF3">
              <w:rPr>
                <w:rFonts w:ascii="Century Gothic" w:hAnsi="Century Gothic"/>
                <w:sz w:val="22"/>
                <w:szCs w:val="22"/>
              </w:rPr>
              <w:t>REMOTA</w:t>
            </w:r>
          </w:p>
        </w:tc>
      </w:tr>
      <w:tr w:rsidR="002633C0" w:rsidRPr="00340BF3" w14:paraId="47B026EC" w14:textId="77777777" w:rsidTr="000F4708">
        <w:tc>
          <w:tcPr>
            <w:tcW w:w="3687" w:type="dxa"/>
          </w:tcPr>
          <w:p w14:paraId="4A77CED7" w14:textId="00C97735" w:rsidR="002633C0" w:rsidRPr="00340BF3" w:rsidRDefault="00BA1E5F" w:rsidP="003314A2">
            <w:pPr>
              <w:spacing w:line="360" w:lineRule="auto"/>
              <w:rPr>
                <w:rFonts w:ascii="Century Gothic" w:hAnsi="Century Gothic"/>
                <w:b/>
                <w:bCs/>
                <w:sz w:val="22"/>
                <w:szCs w:val="22"/>
              </w:rPr>
            </w:pPr>
            <w:r w:rsidRPr="00340BF3">
              <w:rPr>
                <w:rFonts w:ascii="Century Gothic" w:hAnsi="Century Gothic"/>
                <w:b/>
                <w:bCs/>
                <w:sz w:val="22"/>
                <w:szCs w:val="22"/>
              </w:rPr>
              <w:t xml:space="preserve">Reserva sugerida: </w:t>
            </w:r>
          </w:p>
        </w:tc>
        <w:tc>
          <w:tcPr>
            <w:tcW w:w="6378" w:type="dxa"/>
          </w:tcPr>
          <w:p w14:paraId="7146E445" w14:textId="492E3720" w:rsidR="002633C0" w:rsidRPr="00340BF3" w:rsidRDefault="00AD7C85" w:rsidP="003314A2">
            <w:pPr>
              <w:spacing w:line="360" w:lineRule="auto"/>
              <w:rPr>
                <w:rFonts w:ascii="Century Gothic" w:hAnsi="Century Gothic"/>
                <w:sz w:val="22"/>
                <w:szCs w:val="22"/>
              </w:rPr>
            </w:pPr>
            <w:r>
              <w:rPr>
                <w:rFonts w:ascii="Century Gothic" w:hAnsi="Century Gothic"/>
                <w:sz w:val="22"/>
                <w:szCs w:val="22"/>
              </w:rPr>
              <w:t>$13.995.000</w:t>
            </w:r>
          </w:p>
        </w:tc>
      </w:tr>
      <w:tr w:rsidR="00BA1E5F" w:rsidRPr="00340BF3" w14:paraId="22F780E0" w14:textId="77777777" w:rsidTr="000F4708">
        <w:tc>
          <w:tcPr>
            <w:tcW w:w="10065" w:type="dxa"/>
            <w:gridSpan w:val="2"/>
            <w:shd w:val="clear" w:color="auto" w:fill="C5E0B3" w:themeFill="accent6" w:themeFillTint="66"/>
            <w:vAlign w:val="center"/>
          </w:tcPr>
          <w:p w14:paraId="2E984764" w14:textId="34720C2A" w:rsidR="00BA1E5F" w:rsidRPr="00340BF3" w:rsidRDefault="00BA1E5F" w:rsidP="00BA1E5F">
            <w:pPr>
              <w:spacing w:line="360" w:lineRule="auto"/>
              <w:jc w:val="center"/>
              <w:rPr>
                <w:rFonts w:ascii="Century Gothic" w:hAnsi="Century Gothic"/>
                <w:sz w:val="22"/>
                <w:szCs w:val="22"/>
              </w:rPr>
            </w:pPr>
            <w:r w:rsidRPr="00340BF3">
              <w:rPr>
                <w:rFonts w:ascii="Century Gothic" w:hAnsi="Century Gothic"/>
                <w:b/>
                <w:bCs/>
                <w:sz w:val="22"/>
                <w:szCs w:val="22"/>
              </w:rPr>
              <w:t>Concepto del apoderado</w:t>
            </w:r>
          </w:p>
        </w:tc>
      </w:tr>
      <w:tr w:rsidR="00BA1E5F" w:rsidRPr="00340BF3" w14:paraId="4C51FAC2" w14:textId="77777777" w:rsidTr="000F4708">
        <w:trPr>
          <w:trHeight w:val="3401"/>
        </w:trPr>
        <w:tc>
          <w:tcPr>
            <w:tcW w:w="10065" w:type="dxa"/>
            <w:gridSpan w:val="2"/>
            <w:vAlign w:val="center"/>
          </w:tcPr>
          <w:p w14:paraId="1D8E16E3" w14:textId="77777777" w:rsidR="00EA05D3" w:rsidRPr="00340BF3" w:rsidRDefault="00EA05D3" w:rsidP="00EA05D3">
            <w:pPr>
              <w:spacing w:line="360" w:lineRule="auto"/>
              <w:jc w:val="both"/>
              <w:rPr>
                <w:rFonts w:ascii="Century Gothic" w:hAnsi="Century Gothic"/>
                <w:sz w:val="22"/>
                <w:szCs w:val="22"/>
              </w:rPr>
            </w:pPr>
            <w:r w:rsidRPr="00340BF3">
              <w:rPr>
                <w:rFonts w:ascii="Century Gothic" w:hAnsi="Century Gothic"/>
                <w:sz w:val="22"/>
                <w:szCs w:val="22"/>
              </w:rPr>
              <w:lastRenderedPageBreak/>
              <w:t xml:space="preserve">La contingencia se califica como REMOTA en tanto, si bien la póliza presta cobertura material y temporal, la responsabilidad del asegurado no se encuentra acreditada. </w:t>
            </w:r>
          </w:p>
          <w:p w14:paraId="6F10B62A" w14:textId="77777777" w:rsidR="00EA05D3" w:rsidRPr="00340BF3" w:rsidRDefault="00EA05D3" w:rsidP="00EA05D3">
            <w:pPr>
              <w:spacing w:line="360" w:lineRule="auto"/>
              <w:jc w:val="both"/>
              <w:rPr>
                <w:rFonts w:ascii="Century Gothic" w:hAnsi="Century Gothic"/>
                <w:sz w:val="22"/>
                <w:szCs w:val="22"/>
              </w:rPr>
            </w:pPr>
          </w:p>
          <w:p w14:paraId="6F294FD5" w14:textId="302BCEC7" w:rsidR="00EA05D3" w:rsidRPr="00340BF3" w:rsidRDefault="00EA05D3" w:rsidP="00EA05D3">
            <w:pPr>
              <w:spacing w:line="360" w:lineRule="auto"/>
              <w:jc w:val="both"/>
              <w:rPr>
                <w:rFonts w:ascii="Century Gothic" w:hAnsi="Century Gothic"/>
                <w:sz w:val="22"/>
                <w:szCs w:val="22"/>
                <w:u w:val="single"/>
              </w:rPr>
            </w:pPr>
            <w:r w:rsidRPr="00340BF3">
              <w:rPr>
                <w:rFonts w:ascii="Century Gothic" w:hAnsi="Century Gothic"/>
                <w:sz w:val="22"/>
                <w:szCs w:val="22"/>
              </w:rPr>
              <w:t>Lo primero que debe indicarse es que Póliza de Responsabilidad Civil Profesional Clínicas y Hospitales No.</w:t>
            </w:r>
            <w:r w:rsidR="00D056EF" w:rsidRPr="00340BF3">
              <w:rPr>
                <w:rFonts w:ascii="Century Gothic" w:hAnsi="Century Gothic"/>
                <w:sz w:val="22"/>
                <w:szCs w:val="22"/>
              </w:rPr>
              <w:t xml:space="preserve"> </w:t>
            </w:r>
            <w:r w:rsidR="00D056EF" w:rsidRPr="00340BF3">
              <w:rPr>
                <w:rFonts w:ascii="Century Gothic" w:hAnsi="Century Gothic" w:cs="Arial"/>
              </w:rPr>
              <w:t>AA198548</w:t>
            </w:r>
            <w:r w:rsidRPr="00340BF3">
              <w:rPr>
                <w:rFonts w:ascii="Century Gothic" w:hAnsi="Century Gothic" w:cs="Arial"/>
                <w:color w:val="000000" w:themeColor="text1"/>
              </w:rPr>
              <w:t xml:space="preserve"> </w:t>
            </w:r>
            <w:r w:rsidRPr="00340BF3">
              <w:rPr>
                <w:rFonts w:ascii="Century Gothic" w:hAnsi="Century Gothic"/>
                <w:sz w:val="22"/>
                <w:szCs w:val="22"/>
              </w:rPr>
              <w:t xml:space="preserve">cuyo asegurado es la CAJA DE COMPENSACIÓN FAMILIAR COMPENSAR – COMPENSAR EPS, presta cobertura material y temporal de conformidad con los hechos y pretensiones de la demanda. Frente a la cobertura temporal, debe considerarse que la póliza opera bajo la modalidad </w:t>
            </w:r>
            <w:proofErr w:type="spellStart"/>
            <w:r w:rsidRPr="00340BF3">
              <w:rPr>
                <w:rFonts w:ascii="Century Gothic" w:hAnsi="Century Gothic"/>
                <w:sz w:val="22"/>
                <w:szCs w:val="22"/>
              </w:rPr>
              <w:t>claims</w:t>
            </w:r>
            <w:proofErr w:type="spellEnd"/>
            <w:r w:rsidRPr="00340BF3">
              <w:rPr>
                <w:rFonts w:ascii="Century Gothic" w:hAnsi="Century Gothic"/>
                <w:sz w:val="22"/>
                <w:szCs w:val="22"/>
              </w:rPr>
              <w:t xml:space="preserve"> </w:t>
            </w:r>
            <w:proofErr w:type="spellStart"/>
            <w:r w:rsidRPr="00340BF3">
              <w:rPr>
                <w:rFonts w:ascii="Century Gothic" w:hAnsi="Century Gothic"/>
                <w:sz w:val="22"/>
                <w:szCs w:val="22"/>
              </w:rPr>
              <w:t>made</w:t>
            </w:r>
            <w:proofErr w:type="spellEnd"/>
            <w:r w:rsidRPr="00340BF3">
              <w:rPr>
                <w:rFonts w:ascii="Century Gothic" w:hAnsi="Century Gothic"/>
                <w:sz w:val="22"/>
                <w:szCs w:val="22"/>
              </w:rPr>
              <w:t>, es decir, otorga cobertura a las reclamaciones que se formulen durante su vigencia, por hechos ocurridos a partir de la fecha de retroactividad pactada, que corresponde al 30 de noviembre de 2006. En el presente caso, el hecho que da origen a la reclamación,</w:t>
            </w:r>
            <w:r w:rsidR="00D056EF" w:rsidRPr="00340BF3">
              <w:rPr>
                <w:rFonts w:ascii="Century Gothic" w:hAnsi="Century Gothic"/>
                <w:sz w:val="22"/>
                <w:szCs w:val="22"/>
              </w:rPr>
              <w:t xml:space="preserve"> </w:t>
            </w:r>
            <w:r w:rsidR="00D056EF" w:rsidRPr="00340BF3">
              <w:rPr>
                <w:rStyle w:val="Textoennegrita"/>
                <w:rFonts w:ascii="Century Gothic" w:hAnsi="Century Gothic"/>
                <w:b w:val="0"/>
                <w:bCs w:val="0"/>
                <w:sz w:val="22"/>
                <w:szCs w:val="22"/>
              </w:rPr>
              <w:t xml:space="preserve">la pérdida fetal se constató el día </w:t>
            </w:r>
            <w:r w:rsidR="00D056EF" w:rsidRPr="00340BF3">
              <w:rPr>
                <w:rStyle w:val="Textoennegrita"/>
                <w:rFonts w:ascii="Century Gothic" w:hAnsi="Century Gothic"/>
                <w:b w:val="0"/>
                <w:bCs w:val="0"/>
                <w:sz w:val="22"/>
                <w:szCs w:val="22"/>
                <w:u w:val="single"/>
              </w:rPr>
              <w:t>12 de enero de 2022</w:t>
            </w:r>
            <w:r w:rsidR="00D056EF" w:rsidRPr="00340BF3">
              <w:rPr>
                <w:rFonts w:ascii="Century Gothic" w:hAnsi="Century Gothic"/>
                <w:u w:val="single"/>
              </w:rPr>
              <w:t xml:space="preserve">, </w:t>
            </w:r>
            <w:r w:rsidRPr="00340BF3">
              <w:rPr>
                <w:rFonts w:ascii="Century Gothic" w:hAnsi="Century Gothic"/>
                <w:sz w:val="22"/>
                <w:szCs w:val="22"/>
              </w:rPr>
              <w:t>es decir, dentro del período de retroactividad cubierto por la póliza. Así mismo, la reclamación</w:t>
            </w:r>
            <w:r w:rsidR="00660EA0" w:rsidRPr="00340BF3">
              <w:rPr>
                <w:rFonts w:ascii="Century Gothic" w:hAnsi="Century Gothic"/>
                <w:sz w:val="22"/>
                <w:szCs w:val="22"/>
              </w:rPr>
              <w:t xml:space="preserve"> y/o aviso</w:t>
            </w:r>
            <w:r w:rsidRPr="00340BF3">
              <w:rPr>
                <w:rFonts w:ascii="Century Gothic" w:hAnsi="Century Gothic"/>
                <w:sz w:val="22"/>
                <w:szCs w:val="22"/>
              </w:rPr>
              <w:t xml:space="preserve"> fue efectuada el </w:t>
            </w:r>
            <w:r w:rsidR="00FC4DE1">
              <w:rPr>
                <w:rFonts w:ascii="Century Gothic" w:hAnsi="Century Gothic"/>
                <w:sz w:val="22"/>
                <w:szCs w:val="22"/>
              </w:rPr>
              <w:t>3</w:t>
            </w:r>
            <w:r w:rsidR="00660EA0" w:rsidRPr="00340BF3">
              <w:rPr>
                <w:rFonts w:ascii="Century Gothic" w:hAnsi="Century Gothic"/>
                <w:sz w:val="22"/>
                <w:szCs w:val="22"/>
              </w:rPr>
              <w:t xml:space="preserve"> de </w:t>
            </w:r>
            <w:r w:rsidR="00FC4DE1">
              <w:rPr>
                <w:rFonts w:ascii="Century Gothic" w:hAnsi="Century Gothic"/>
                <w:sz w:val="22"/>
                <w:szCs w:val="22"/>
              </w:rPr>
              <w:t>mayo</w:t>
            </w:r>
            <w:r w:rsidR="00660EA0" w:rsidRPr="00340BF3">
              <w:rPr>
                <w:rFonts w:ascii="Century Gothic" w:hAnsi="Century Gothic"/>
                <w:sz w:val="22"/>
                <w:szCs w:val="22"/>
              </w:rPr>
              <w:t xml:space="preserve"> </w:t>
            </w:r>
            <w:r w:rsidRPr="00340BF3">
              <w:rPr>
                <w:rFonts w:ascii="Century Gothic" w:hAnsi="Century Gothic"/>
                <w:sz w:val="22"/>
                <w:szCs w:val="22"/>
              </w:rPr>
              <w:t>de 202</w:t>
            </w:r>
            <w:r w:rsidR="00FC4DE1">
              <w:rPr>
                <w:rFonts w:ascii="Century Gothic" w:hAnsi="Century Gothic"/>
                <w:sz w:val="22"/>
                <w:szCs w:val="22"/>
              </w:rPr>
              <w:t>3</w:t>
            </w:r>
            <w:r w:rsidRPr="00340BF3">
              <w:rPr>
                <w:rFonts w:ascii="Century Gothic" w:hAnsi="Century Gothic"/>
                <w:sz w:val="22"/>
                <w:szCs w:val="22"/>
              </w:rPr>
              <w:t>, esto es, dentro de la vigencia de la póliza comprendida entre el 31 de diciembre de 202</w:t>
            </w:r>
            <w:r w:rsidR="00660EA0" w:rsidRPr="00340BF3">
              <w:rPr>
                <w:rFonts w:ascii="Century Gothic" w:hAnsi="Century Gothic"/>
                <w:sz w:val="22"/>
                <w:szCs w:val="22"/>
              </w:rPr>
              <w:t>3</w:t>
            </w:r>
            <w:r w:rsidRPr="00340BF3">
              <w:rPr>
                <w:rFonts w:ascii="Century Gothic" w:hAnsi="Century Gothic"/>
                <w:sz w:val="22"/>
                <w:szCs w:val="22"/>
              </w:rPr>
              <w:t xml:space="preserve"> y el 31 de diciembre de 202</w:t>
            </w:r>
            <w:r w:rsidR="00660EA0" w:rsidRPr="00340BF3">
              <w:rPr>
                <w:rFonts w:ascii="Century Gothic" w:hAnsi="Century Gothic"/>
                <w:sz w:val="22"/>
                <w:szCs w:val="22"/>
              </w:rPr>
              <w:t>4</w:t>
            </w:r>
            <w:r w:rsidRPr="00340BF3">
              <w:rPr>
                <w:rFonts w:ascii="Century Gothic" w:hAnsi="Century Gothic"/>
                <w:sz w:val="22"/>
                <w:szCs w:val="22"/>
              </w:rPr>
              <w:t xml:space="preserve">. Aunado a lo anterior, presta cobertura material, en tanto se orienta a amparar la responsabilidad civil profesional médica, que es precisamente la pretensión que se endilga al asegurado en esta causa. </w:t>
            </w:r>
          </w:p>
          <w:p w14:paraId="1EE891D9" w14:textId="77777777" w:rsidR="00EA05D3" w:rsidRPr="00340BF3" w:rsidRDefault="00EA05D3" w:rsidP="00EA05D3">
            <w:pPr>
              <w:spacing w:line="360" w:lineRule="auto"/>
              <w:jc w:val="both"/>
              <w:rPr>
                <w:rFonts w:ascii="Century Gothic" w:hAnsi="Century Gothic"/>
                <w:sz w:val="22"/>
                <w:szCs w:val="22"/>
              </w:rPr>
            </w:pPr>
          </w:p>
          <w:p w14:paraId="44D6ACEC" w14:textId="0BF5CFE3" w:rsidR="000F4708" w:rsidRPr="000F4708" w:rsidRDefault="000F4708" w:rsidP="000F4708">
            <w:pPr>
              <w:spacing w:line="360" w:lineRule="auto"/>
              <w:jc w:val="both"/>
              <w:rPr>
                <w:rFonts w:ascii="Century Gothic" w:hAnsi="Century Gothic"/>
                <w:sz w:val="22"/>
                <w:szCs w:val="22"/>
              </w:rPr>
            </w:pPr>
            <w:r w:rsidRPr="000F4708">
              <w:rPr>
                <w:rFonts w:ascii="Century Gothic" w:hAnsi="Century Gothic"/>
                <w:sz w:val="22"/>
                <w:szCs w:val="22"/>
              </w:rPr>
              <w:t xml:space="preserve">En cuanto a la responsabilidad del asegurado, del análisis integral del material probatorio allegado al expediente no se evidencia </w:t>
            </w:r>
            <w:r w:rsidR="0005362B">
              <w:rPr>
                <w:rFonts w:ascii="Century Gothic" w:hAnsi="Century Gothic"/>
                <w:sz w:val="22"/>
                <w:szCs w:val="22"/>
              </w:rPr>
              <w:t xml:space="preserve">elemento de prueba alguno que permita predicar alguna </w:t>
            </w:r>
            <w:r w:rsidRPr="000F4708">
              <w:rPr>
                <w:rFonts w:ascii="Century Gothic" w:hAnsi="Century Gothic"/>
                <w:sz w:val="22"/>
                <w:szCs w:val="22"/>
              </w:rPr>
              <w:t>actua</w:t>
            </w:r>
            <w:r w:rsidR="0005362B">
              <w:rPr>
                <w:rFonts w:ascii="Century Gothic" w:hAnsi="Century Gothic"/>
                <w:sz w:val="22"/>
                <w:szCs w:val="22"/>
              </w:rPr>
              <w:t>ción</w:t>
            </w:r>
            <w:r w:rsidRPr="000F4708">
              <w:rPr>
                <w:rFonts w:ascii="Century Gothic" w:hAnsi="Century Gothic"/>
                <w:sz w:val="22"/>
                <w:szCs w:val="22"/>
              </w:rPr>
              <w:t xml:space="preserve"> negligente atribuible a COMPENSAR EPS</w:t>
            </w:r>
            <w:r w:rsidR="0005362B">
              <w:rPr>
                <w:rFonts w:ascii="Century Gothic" w:hAnsi="Century Gothic"/>
                <w:sz w:val="22"/>
                <w:szCs w:val="22"/>
              </w:rPr>
              <w:t xml:space="preserve"> o de las IPS que atendieron a la señora Villamizar;</w:t>
            </w:r>
            <w:r w:rsidRPr="000F4708">
              <w:rPr>
                <w:rFonts w:ascii="Century Gothic" w:hAnsi="Century Gothic"/>
                <w:sz w:val="22"/>
                <w:szCs w:val="22"/>
              </w:rPr>
              <w:t xml:space="preserve"> </w:t>
            </w:r>
            <w:r w:rsidR="0005362B">
              <w:rPr>
                <w:rFonts w:ascii="Century Gothic" w:hAnsi="Century Gothic"/>
                <w:sz w:val="22"/>
                <w:szCs w:val="22"/>
              </w:rPr>
              <w:t>contrario a ello</w:t>
            </w:r>
            <w:r w:rsidRPr="000F4708">
              <w:rPr>
                <w:rFonts w:ascii="Century Gothic" w:hAnsi="Century Gothic"/>
                <w:sz w:val="22"/>
                <w:szCs w:val="22"/>
              </w:rPr>
              <w:t>, se observa que la entidad cumplió con sus obligaciones contractuales y legales, autorizando oportunamente los procedimientos prescritos por los profesionales tratantes, así como los servicios requeridos en el marco del contrato complementario. No se advierte obstrucción administrativa alguna que hubiera limitado el acceso a los servicios de salud; por el contrario, la paciente recibió atención continua, especializada y ajustada a su evolución clínica.</w:t>
            </w:r>
            <w:r>
              <w:rPr>
                <w:rFonts w:ascii="Century Gothic" w:hAnsi="Century Gothic"/>
                <w:sz w:val="22"/>
                <w:szCs w:val="22"/>
              </w:rPr>
              <w:t xml:space="preserve"> </w:t>
            </w:r>
            <w:r w:rsidRPr="000F4708">
              <w:rPr>
                <w:rFonts w:ascii="Century Gothic" w:hAnsi="Century Gothic"/>
                <w:sz w:val="22"/>
                <w:szCs w:val="22"/>
              </w:rPr>
              <w:t xml:space="preserve">La parte actora no acreditó que la pérdida fetal tuviera origen en una falla asistencial atribuible a la EPS o a su red prestadora. Por el contrario, la historia clínica muestra que la paciente, con embarazo de alto riesgo (edad materna avanzada, 25 semanas de gestación), consultó por dolor abdominal inespecífico. A su ingreso a la Clínica de la Mujer se identificaron hallazgos ecográficos sugestivos de </w:t>
            </w:r>
            <w:r w:rsidRPr="000F4708">
              <w:rPr>
                <w:rFonts w:ascii="Century Gothic" w:hAnsi="Century Gothic"/>
                <w:sz w:val="22"/>
                <w:szCs w:val="22"/>
              </w:rPr>
              <w:lastRenderedPageBreak/>
              <w:t xml:space="preserve">apendicitis, indicándose manejo quirúrgico urgente. En la apendicectomía abierta se encontró un apéndice macroscópicamente normal, útero grávido y líquido peritoneal turbio en pelvis, que fue drenado. Este hallazgo justificó plenamente la intervención inicial, que luego permitió identificar un cuadro séptico grave con peritonitis, seguido de </w:t>
            </w:r>
            <w:proofErr w:type="spellStart"/>
            <w:r w:rsidRPr="000F4708">
              <w:rPr>
                <w:rFonts w:ascii="Century Gothic" w:hAnsi="Century Gothic"/>
                <w:sz w:val="22"/>
                <w:szCs w:val="22"/>
              </w:rPr>
              <w:t>volvulus</w:t>
            </w:r>
            <w:proofErr w:type="spellEnd"/>
            <w:r w:rsidRPr="000F4708">
              <w:rPr>
                <w:rFonts w:ascii="Century Gothic" w:hAnsi="Century Gothic"/>
                <w:sz w:val="22"/>
                <w:szCs w:val="22"/>
              </w:rPr>
              <w:t xml:space="preserve"> intestinal y necrosis masiva, lo cual requirió resección extensa de intestino.</w:t>
            </w:r>
            <w:r>
              <w:rPr>
                <w:rFonts w:ascii="Century Gothic" w:hAnsi="Century Gothic"/>
                <w:sz w:val="22"/>
                <w:szCs w:val="22"/>
              </w:rPr>
              <w:t xml:space="preserve"> </w:t>
            </w:r>
            <w:r w:rsidRPr="000F4708">
              <w:rPr>
                <w:rFonts w:ascii="Century Gothic" w:hAnsi="Century Gothic"/>
                <w:sz w:val="22"/>
                <w:szCs w:val="22"/>
              </w:rPr>
              <w:t xml:space="preserve">Las afirmaciones de la parte actora, encaminadas a cuestionar la necesidad de la intervención quirúrgica, </w:t>
            </w:r>
            <w:r w:rsidR="0005362B">
              <w:rPr>
                <w:rFonts w:ascii="Century Gothic" w:hAnsi="Century Gothic"/>
                <w:sz w:val="22"/>
                <w:szCs w:val="22"/>
              </w:rPr>
              <w:t xml:space="preserve">por lo que a su parecer consistió en un diagnóstico errado, </w:t>
            </w:r>
            <w:r w:rsidRPr="000F4708">
              <w:rPr>
                <w:rFonts w:ascii="Century Gothic" w:hAnsi="Century Gothic"/>
                <w:sz w:val="22"/>
                <w:szCs w:val="22"/>
              </w:rPr>
              <w:t>carecen de sustento técnico y no explican cómo la atención brindada habría causado el desenlace fetal</w:t>
            </w:r>
            <w:r w:rsidR="0005362B">
              <w:rPr>
                <w:rFonts w:ascii="Century Gothic" w:hAnsi="Century Gothic"/>
                <w:sz w:val="22"/>
                <w:szCs w:val="22"/>
              </w:rPr>
              <w:t>, o que en su defecto, la sintomatología presentada por la señora Villamizar, en conjunto con la anamnesis realizada permitan concluir inequívocamente en el cuadro médico realmente presentado por la paciente, y no por un cuadro de apendicitis como el diagnosticado inicialmente</w:t>
            </w:r>
            <w:r w:rsidRPr="000F4708">
              <w:rPr>
                <w:rFonts w:ascii="Century Gothic" w:hAnsi="Century Gothic"/>
                <w:sz w:val="22"/>
                <w:szCs w:val="22"/>
              </w:rPr>
              <w:t>. La muerte intrauterina ocurrió en el contexto de un proceso clínico crítico y progresivo, y no como resultado de una actuación culposa o deficiente de la EPS.</w:t>
            </w:r>
            <w:r>
              <w:rPr>
                <w:rFonts w:ascii="Century Gothic" w:hAnsi="Century Gothic"/>
                <w:sz w:val="22"/>
                <w:szCs w:val="22"/>
              </w:rPr>
              <w:t xml:space="preserve"> </w:t>
            </w:r>
            <w:r w:rsidRPr="000F4708">
              <w:rPr>
                <w:rFonts w:ascii="Century Gothic" w:hAnsi="Century Gothic"/>
                <w:sz w:val="22"/>
                <w:szCs w:val="22"/>
              </w:rPr>
              <w:t xml:space="preserve">En ese contexto, </w:t>
            </w:r>
            <w:r w:rsidR="00252541">
              <w:rPr>
                <w:rFonts w:ascii="Century Gothic" w:hAnsi="Century Gothic"/>
                <w:sz w:val="22"/>
                <w:szCs w:val="22"/>
              </w:rPr>
              <w:t xml:space="preserve">y teniendo en cuenta que nos encontramos en el campo de la culpa o falla probada, comoquiera que los servicios de salud no estéticos corresponden a obligaciones de medio, era deber de la parte demandante </w:t>
            </w:r>
            <w:r w:rsidRPr="000F4708">
              <w:rPr>
                <w:rFonts w:ascii="Century Gothic" w:hAnsi="Century Gothic"/>
                <w:sz w:val="22"/>
                <w:szCs w:val="22"/>
              </w:rPr>
              <w:t xml:space="preserve">acreditar el nexo causal entre la conducta de COMPENSAR EPS o de su red prestadora y el daño alegado, </w:t>
            </w:r>
            <w:r w:rsidR="00252541">
              <w:rPr>
                <w:rFonts w:ascii="Century Gothic" w:hAnsi="Century Gothic"/>
                <w:sz w:val="22"/>
                <w:szCs w:val="22"/>
              </w:rPr>
              <w:t xml:space="preserve">carga que </w:t>
            </w:r>
            <w:r w:rsidRPr="000F4708">
              <w:rPr>
                <w:rFonts w:ascii="Century Gothic" w:hAnsi="Century Gothic"/>
                <w:sz w:val="22"/>
                <w:szCs w:val="22"/>
              </w:rPr>
              <w:t xml:space="preserve">no se </w:t>
            </w:r>
            <w:r w:rsidR="00252541">
              <w:rPr>
                <w:rFonts w:ascii="Century Gothic" w:hAnsi="Century Gothic"/>
                <w:sz w:val="22"/>
                <w:szCs w:val="22"/>
              </w:rPr>
              <w:t xml:space="preserve">encuentra satisfecha, siendo improcedente en esta etapa procesal </w:t>
            </w:r>
            <w:r w:rsidRPr="000F4708">
              <w:rPr>
                <w:rFonts w:ascii="Century Gothic" w:hAnsi="Century Gothic"/>
                <w:sz w:val="22"/>
                <w:szCs w:val="22"/>
              </w:rPr>
              <w:t>configura</w:t>
            </w:r>
            <w:r w:rsidR="00252541">
              <w:rPr>
                <w:rFonts w:ascii="Century Gothic" w:hAnsi="Century Gothic"/>
                <w:sz w:val="22"/>
                <w:szCs w:val="22"/>
              </w:rPr>
              <w:t>r</w:t>
            </w:r>
            <w:r w:rsidRPr="000F4708">
              <w:rPr>
                <w:rFonts w:ascii="Century Gothic" w:hAnsi="Century Gothic"/>
                <w:sz w:val="22"/>
                <w:szCs w:val="22"/>
              </w:rPr>
              <w:t xml:space="preserve"> </w:t>
            </w:r>
            <w:r w:rsidR="00252541">
              <w:rPr>
                <w:rFonts w:ascii="Century Gothic" w:hAnsi="Century Gothic"/>
                <w:sz w:val="22"/>
                <w:szCs w:val="22"/>
              </w:rPr>
              <w:t xml:space="preserve">la </w:t>
            </w:r>
            <w:r w:rsidRPr="000F4708">
              <w:rPr>
                <w:rFonts w:ascii="Century Gothic" w:hAnsi="Century Gothic"/>
                <w:sz w:val="22"/>
                <w:szCs w:val="22"/>
              </w:rPr>
              <w:t>responsabilidad civil médica</w:t>
            </w:r>
            <w:r w:rsidR="00252541">
              <w:rPr>
                <w:rFonts w:ascii="Century Gothic" w:hAnsi="Century Gothic"/>
                <w:sz w:val="22"/>
                <w:szCs w:val="22"/>
              </w:rPr>
              <w:t xml:space="preserve"> que se pretende imputar. </w:t>
            </w:r>
            <w:r w:rsidRPr="000F4708">
              <w:rPr>
                <w:rFonts w:ascii="Century Gothic" w:hAnsi="Century Gothic"/>
                <w:sz w:val="22"/>
                <w:szCs w:val="22"/>
              </w:rPr>
              <w:t xml:space="preserve">En consecuencia, no es posible estructurar obligación indemnizatoria alguna. </w:t>
            </w:r>
          </w:p>
          <w:p w14:paraId="56F89F52" w14:textId="77777777" w:rsidR="00EA05D3" w:rsidRPr="00340BF3" w:rsidRDefault="00EA05D3" w:rsidP="00EA05D3">
            <w:pPr>
              <w:jc w:val="both"/>
              <w:rPr>
                <w:rFonts w:ascii="Century Gothic" w:hAnsi="Century Gothic"/>
                <w:sz w:val="22"/>
                <w:szCs w:val="22"/>
              </w:rPr>
            </w:pPr>
          </w:p>
          <w:p w14:paraId="58FF1192" w14:textId="1B04E3EF" w:rsidR="00BA1E5F" w:rsidRPr="00340BF3" w:rsidRDefault="00EA05D3" w:rsidP="00340BF3">
            <w:pPr>
              <w:spacing w:line="360" w:lineRule="auto"/>
              <w:rPr>
                <w:rFonts w:ascii="Century Gothic" w:hAnsi="Century Gothic"/>
                <w:sz w:val="22"/>
                <w:szCs w:val="22"/>
              </w:rPr>
            </w:pPr>
            <w:r w:rsidRPr="00340BF3">
              <w:rPr>
                <w:rFonts w:ascii="Century Gothic" w:hAnsi="Century Gothic" w:cs="Arial"/>
                <w:bCs/>
                <w:sz w:val="22"/>
                <w:szCs w:val="22"/>
              </w:rPr>
              <w:t>Lo esgrimido sin perjuicio del carácter contingente del proceso</w:t>
            </w:r>
            <w:r w:rsidRPr="00340BF3">
              <w:rPr>
                <w:rFonts w:ascii="Century Gothic" w:hAnsi="Century Gothic"/>
                <w:b/>
                <w:bCs/>
                <w:sz w:val="22"/>
                <w:szCs w:val="22"/>
                <w:lang w:val="es-ES"/>
              </w:rPr>
              <w:t>.</w:t>
            </w:r>
          </w:p>
        </w:tc>
      </w:tr>
      <w:tr w:rsidR="00BA1E5F" w:rsidRPr="00340BF3" w14:paraId="6A3F4D91" w14:textId="77777777" w:rsidTr="000F4708">
        <w:trPr>
          <w:trHeight w:val="1361"/>
        </w:trPr>
        <w:tc>
          <w:tcPr>
            <w:tcW w:w="10065" w:type="dxa"/>
            <w:gridSpan w:val="2"/>
            <w:vAlign w:val="center"/>
          </w:tcPr>
          <w:p w14:paraId="4104DFFA" w14:textId="4C5C05DD" w:rsidR="00BA1E5F" w:rsidRDefault="00BA1E5F" w:rsidP="00BA1E5F">
            <w:pPr>
              <w:spacing w:line="360" w:lineRule="auto"/>
              <w:jc w:val="center"/>
              <w:rPr>
                <w:rFonts w:ascii="Century Gothic" w:hAnsi="Century Gothic"/>
                <w:b/>
                <w:bCs/>
                <w:sz w:val="22"/>
                <w:szCs w:val="22"/>
              </w:rPr>
            </w:pPr>
            <w:r w:rsidRPr="00340BF3">
              <w:rPr>
                <w:rFonts w:ascii="Century Gothic" w:hAnsi="Century Gothic"/>
                <w:b/>
                <w:bCs/>
                <w:sz w:val="22"/>
                <w:szCs w:val="22"/>
              </w:rPr>
              <w:t>Firma del abogado</w:t>
            </w:r>
          </w:p>
          <w:p w14:paraId="0159C95A" w14:textId="107D2384" w:rsidR="00B30F65" w:rsidRDefault="00B30F65" w:rsidP="00BA1E5F">
            <w:pPr>
              <w:spacing w:line="360" w:lineRule="auto"/>
              <w:jc w:val="center"/>
              <w:rPr>
                <w:rFonts w:ascii="Century Gothic" w:hAnsi="Century Gothic"/>
                <w:b/>
                <w:bCs/>
                <w:sz w:val="22"/>
                <w:szCs w:val="22"/>
              </w:rPr>
            </w:pPr>
            <w:r>
              <w:rPr>
                <w:rFonts w:ascii="Century Gothic" w:hAnsi="Century Gothic"/>
                <w:b/>
                <w:bCs/>
                <w:sz w:val="22"/>
                <w:szCs w:val="22"/>
              </w:rPr>
              <w:t>CSER</w:t>
            </w:r>
          </w:p>
          <w:p w14:paraId="2BC82C10" w14:textId="49CE1AE4" w:rsidR="00B30F65" w:rsidRDefault="00B30F65" w:rsidP="00BA1E5F">
            <w:pPr>
              <w:spacing w:line="360" w:lineRule="auto"/>
              <w:jc w:val="center"/>
              <w:rPr>
                <w:rFonts w:ascii="Century Gothic" w:hAnsi="Century Gothic"/>
                <w:b/>
                <w:bCs/>
                <w:sz w:val="22"/>
                <w:szCs w:val="22"/>
              </w:rPr>
            </w:pPr>
            <w:r>
              <w:rPr>
                <w:rFonts w:ascii="Century Gothic" w:hAnsi="Century Gothic"/>
                <w:b/>
                <w:bCs/>
                <w:sz w:val="22"/>
                <w:szCs w:val="22"/>
              </w:rPr>
              <w:t>G. HERRERA &amp; ASOCIADOS ABOGADOS SAS</w:t>
            </w:r>
          </w:p>
          <w:p w14:paraId="3A806213" w14:textId="1834EA15" w:rsidR="00B7507A" w:rsidRPr="00340BF3" w:rsidRDefault="00B7507A" w:rsidP="00BA1E5F">
            <w:pPr>
              <w:spacing w:line="360" w:lineRule="auto"/>
              <w:jc w:val="center"/>
              <w:rPr>
                <w:rFonts w:ascii="Century Gothic" w:hAnsi="Century Gothic"/>
                <w:b/>
                <w:bCs/>
                <w:sz w:val="22"/>
                <w:szCs w:val="22"/>
              </w:rPr>
            </w:pPr>
          </w:p>
        </w:tc>
      </w:tr>
    </w:tbl>
    <w:p w14:paraId="66CA6B89" w14:textId="77777777" w:rsidR="002633C0" w:rsidRPr="00340BF3" w:rsidRDefault="002633C0" w:rsidP="003314A2">
      <w:pPr>
        <w:spacing w:line="360" w:lineRule="auto"/>
        <w:rPr>
          <w:rFonts w:ascii="Century Gothic" w:hAnsi="Century Gothic"/>
          <w:sz w:val="22"/>
          <w:szCs w:val="22"/>
        </w:rPr>
      </w:pPr>
    </w:p>
    <w:sectPr w:rsidR="002633C0" w:rsidRPr="00340BF3"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5C84" w14:textId="77777777" w:rsidR="004C1DE6" w:rsidRDefault="004C1DE6" w:rsidP="00E7033F">
      <w:r>
        <w:separator/>
      </w:r>
    </w:p>
  </w:endnote>
  <w:endnote w:type="continuationSeparator" w:id="0">
    <w:p w14:paraId="3DA7B550" w14:textId="77777777" w:rsidR="004C1DE6" w:rsidRDefault="004C1DE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B972" w14:textId="77777777" w:rsidR="004C1DE6" w:rsidRDefault="004C1DE6" w:rsidP="00E7033F">
      <w:r>
        <w:separator/>
      </w:r>
    </w:p>
  </w:footnote>
  <w:footnote w:type="continuationSeparator" w:id="0">
    <w:p w14:paraId="66F560F5" w14:textId="77777777" w:rsidR="004C1DE6" w:rsidRDefault="004C1DE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C2C"/>
    <w:multiLevelType w:val="hybridMultilevel"/>
    <w:tmpl w:val="CB0CF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A087A"/>
    <w:multiLevelType w:val="hybridMultilevel"/>
    <w:tmpl w:val="75AE2C72"/>
    <w:lvl w:ilvl="0" w:tplc="9C7A885A">
      <w:start w:val="1"/>
      <w:numFmt w:val="decimal"/>
      <w:lvlText w:val="%1."/>
      <w:lvlJc w:val="left"/>
      <w:pPr>
        <w:ind w:left="360" w:hanging="360"/>
      </w:pPr>
      <w:rPr>
        <w:rFonts w:ascii="Century Gothic" w:eastAsiaTheme="majorEastAsia" w:hAnsi="Century Gothic" w:cs="Arial"/>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192DBB"/>
    <w:multiLevelType w:val="hybridMultilevel"/>
    <w:tmpl w:val="55D2CF9C"/>
    <w:lvl w:ilvl="0" w:tplc="16180D3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8391F"/>
    <w:multiLevelType w:val="hybridMultilevel"/>
    <w:tmpl w:val="22904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24373"/>
    <w:multiLevelType w:val="hybridMultilevel"/>
    <w:tmpl w:val="9E3621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646443"/>
    <w:multiLevelType w:val="hybridMultilevel"/>
    <w:tmpl w:val="E93C2230"/>
    <w:lvl w:ilvl="0" w:tplc="00B44CA8">
      <w:start w:val="1"/>
      <w:numFmt w:val="decimal"/>
      <w:lvlText w:val="%1."/>
      <w:lvlJc w:val="left"/>
      <w:pPr>
        <w:ind w:left="785"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2CB5BAD"/>
    <w:multiLevelType w:val="hybridMultilevel"/>
    <w:tmpl w:val="F0AC755A"/>
    <w:lvl w:ilvl="0" w:tplc="10DE6E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552AD0"/>
    <w:multiLevelType w:val="hybridMultilevel"/>
    <w:tmpl w:val="E93C2230"/>
    <w:lvl w:ilvl="0" w:tplc="00B44CA8">
      <w:start w:val="1"/>
      <w:numFmt w:val="decimal"/>
      <w:lvlText w:val="%1."/>
      <w:lvlJc w:val="left"/>
      <w:pPr>
        <w:ind w:left="785"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B265688"/>
    <w:multiLevelType w:val="hybridMultilevel"/>
    <w:tmpl w:val="C5362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DB0A17"/>
    <w:multiLevelType w:val="multilevel"/>
    <w:tmpl w:val="6C30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1023A"/>
    <w:multiLevelType w:val="hybridMultilevel"/>
    <w:tmpl w:val="2FA09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D3521"/>
    <w:multiLevelType w:val="hybridMultilevel"/>
    <w:tmpl w:val="C4D81CE0"/>
    <w:lvl w:ilvl="0" w:tplc="2C7A966E">
      <w:start w:val="1"/>
      <w:numFmt w:val="upperLetter"/>
      <w:lvlText w:val="%1."/>
      <w:lvlJc w:val="left"/>
      <w:pPr>
        <w:ind w:left="785" w:hanging="360"/>
      </w:pPr>
      <w:rPr>
        <w:rFonts w:ascii="Arial" w:eastAsiaTheme="majorEastAsia" w:hAnsi="Arial" w:cs="Arial"/>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8AB1EC2"/>
    <w:multiLevelType w:val="hybridMultilevel"/>
    <w:tmpl w:val="757C8AA8"/>
    <w:lvl w:ilvl="0" w:tplc="4CACD644">
      <w:start w:val="2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1D74FF"/>
    <w:multiLevelType w:val="hybridMultilevel"/>
    <w:tmpl w:val="59B4DCE8"/>
    <w:lvl w:ilvl="0" w:tplc="4CACD644">
      <w:start w:val="2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E9690A"/>
    <w:multiLevelType w:val="hybridMultilevel"/>
    <w:tmpl w:val="2320F59C"/>
    <w:lvl w:ilvl="0" w:tplc="E6A866A4">
      <w:start w:val="1"/>
      <w:numFmt w:val="decimal"/>
      <w:lvlText w:val="%1."/>
      <w:lvlJc w:val="left"/>
      <w:pPr>
        <w:ind w:left="720" w:hanging="360"/>
      </w:pPr>
      <w:rPr>
        <w:rFonts w:ascii="Century Gothic" w:eastAsia="Arial"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9F3A23"/>
    <w:multiLevelType w:val="hybridMultilevel"/>
    <w:tmpl w:val="658635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D568DE"/>
    <w:multiLevelType w:val="hybridMultilevel"/>
    <w:tmpl w:val="B6C65114"/>
    <w:lvl w:ilvl="0" w:tplc="CDE4278E">
      <w:start w:val="2"/>
      <w:numFmt w:val="upp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62F222AB"/>
    <w:multiLevelType w:val="hybridMultilevel"/>
    <w:tmpl w:val="E93C2230"/>
    <w:lvl w:ilvl="0" w:tplc="00B44CA8">
      <w:start w:val="1"/>
      <w:numFmt w:val="decimal"/>
      <w:lvlText w:val="%1."/>
      <w:lvlJc w:val="left"/>
      <w:pPr>
        <w:ind w:left="785"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5825945"/>
    <w:multiLevelType w:val="multilevel"/>
    <w:tmpl w:val="F52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964152">
    <w:abstractNumId w:val="18"/>
  </w:num>
  <w:num w:numId="2" w16cid:durableId="212011412">
    <w:abstractNumId w:val="12"/>
  </w:num>
  <w:num w:numId="3" w16cid:durableId="646082824">
    <w:abstractNumId w:val="11"/>
  </w:num>
  <w:num w:numId="4" w16cid:durableId="38405222">
    <w:abstractNumId w:val="17"/>
  </w:num>
  <w:num w:numId="5" w16cid:durableId="535890305">
    <w:abstractNumId w:val="5"/>
  </w:num>
  <w:num w:numId="6" w16cid:durableId="1336956087">
    <w:abstractNumId w:val="7"/>
  </w:num>
  <w:num w:numId="7" w16cid:durableId="78991553">
    <w:abstractNumId w:val="10"/>
  </w:num>
  <w:num w:numId="8" w16cid:durableId="946305366">
    <w:abstractNumId w:val="1"/>
  </w:num>
  <w:num w:numId="9" w16cid:durableId="422411762">
    <w:abstractNumId w:val="2"/>
  </w:num>
  <w:num w:numId="10" w16cid:durableId="983002263">
    <w:abstractNumId w:val="16"/>
  </w:num>
  <w:num w:numId="11" w16cid:durableId="1628244867">
    <w:abstractNumId w:val="14"/>
  </w:num>
  <w:num w:numId="12" w16cid:durableId="556093995">
    <w:abstractNumId w:val="15"/>
  </w:num>
  <w:num w:numId="13" w16cid:durableId="1415278847">
    <w:abstractNumId w:val="4"/>
  </w:num>
  <w:num w:numId="14" w16cid:durableId="1732458273">
    <w:abstractNumId w:val="8"/>
  </w:num>
  <w:num w:numId="15" w16cid:durableId="2120876612">
    <w:abstractNumId w:val="3"/>
  </w:num>
  <w:num w:numId="16" w16cid:durableId="350646944">
    <w:abstractNumId w:val="9"/>
  </w:num>
  <w:num w:numId="17" w16cid:durableId="2044017946">
    <w:abstractNumId w:val="0"/>
  </w:num>
  <w:num w:numId="18" w16cid:durableId="448472485">
    <w:abstractNumId w:val="6"/>
  </w:num>
  <w:num w:numId="19" w16cid:durableId="963534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362B"/>
    <w:rsid w:val="000554F9"/>
    <w:rsid w:val="00060489"/>
    <w:rsid w:val="0006560A"/>
    <w:rsid w:val="00072BFC"/>
    <w:rsid w:val="000D23FC"/>
    <w:rsid w:val="000E543B"/>
    <w:rsid w:val="000F4708"/>
    <w:rsid w:val="001129B6"/>
    <w:rsid w:val="0015737E"/>
    <w:rsid w:val="00181E11"/>
    <w:rsid w:val="001C44B4"/>
    <w:rsid w:val="001E096B"/>
    <w:rsid w:val="001E1616"/>
    <w:rsid w:val="001E5C79"/>
    <w:rsid w:val="00252541"/>
    <w:rsid w:val="00263011"/>
    <w:rsid w:val="002633C0"/>
    <w:rsid w:val="002A0E98"/>
    <w:rsid w:val="00311097"/>
    <w:rsid w:val="00314CAF"/>
    <w:rsid w:val="00324E27"/>
    <w:rsid w:val="003314A2"/>
    <w:rsid w:val="00340BF3"/>
    <w:rsid w:val="003827E1"/>
    <w:rsid w:val="003B44CB"/>
    <w:rsid w:val="003B7F1A"/>
    <w:rsid w:val="00403BFC"/>
    <w:rsid w:val="004152F4"/>
    <w:rsid w:val="00415879"/>
    <w:rsid w:val="00433758"/>
    <w:rsid w:val="00437455"/>
    <w:rsid w:val="00493936"/>
    <w:rsid w:val="00496BC3"/>
    <w:rsid w:val="004C1DE6"/>
    <w:rsid w:val="004C7D4E"/>
    <w:rsid w:val="00504FFB"/>
    <w:rsid w:val="0056372A"/>
    <w:rsid w:val="005F61D3"/>
    <w:rsid w:val="006056E7"/>
    <w:rsid w:val="006331A0"/>
    <w:rsid w:val="00660EA0"/>
    <w:rsid w:val="00694306"/>
    <w:rsid w:val="006A1563"/>
    <w:rsid w:val="006F0CAA"/>
    <w:rsid w:val="006F4A55"/>
    <w:rsid w:val="00761B63"/>
    <w:rsid w:val="007C37D7"/>
    <w:rsid w:val="008B59F4"/>
    <w:rsid w:val="008B61E5"/>
    <w:rsid w:val="008B685D"/>
    <w:rsid w:val="008E249B"/>
    <w:rsid w:val="008F6B57"/>
    <w:rsid w:val="00937F0F"/>
    <w:rsid w:val="00947B05"/>
    <w:rsid w:val="0095378E"/>
    <w:rsid w:val="009820E4"/>
    <w:rsid w:val="00987619"/>
    <w:rsid w:val="00992368"/>
    <w:rsid w:val="00996B7A"/>
    <w:rsid w:val="009A06ED"/>
    <w:rsid w:val="00AD7C85"/>
    <w:rsid w:val="00AE1D18"/>
    <w:rsid w:val="00B2787D"/>
    <w:rsid w:val="00B30F65"/>
    <w:rsid w:val="00B7507A"/>
    <w:rsid w:val="00B90E05"/>
    <w:rsid w:val="00BA0472"/>
    <w:rsid w:val="00BA1E5F"/>
    <w:rsid w:val="00BB65D9"/>
    <w:rsid w:val="00C92384"/>
    <w:rsid w:val="00D056EF"/>
    <w:rsid w:val="00D33414"/>
    <w:rsid w:val="00D35F0D"/>
    <w:rsid w:val="00D42EAB"/>
    <w:rsid w:val="00DD6A64"/>
    <w:rsid w:val="00DE5BEB"/>
    <w:rsid w:val="00E7033F"/>
    <w:rsid w:val="00E802BC"/>
    <w:rsid w:val="00EA05D3"/>
    <w:rsid w:val="00EA6432"/>
    <w:rsid w:val="00EB34F2"/>
    <w:rsid w:val="00EB5FFB"/>
    <w:rsid w:val="00EE687D"/>
    <w:rsid w:val="00F62D63"/>
    <w:rsid w:val="00F65615"/>
    <w:rsid w:val="00F67EF8"/>
    <w:rsid w:val="00F856C2"/>
    <w:rsid w:val="00F90650"/>
    <w:rsid w:val="00FA41B4"/>
    <w:rsid w:val="00FC01A7"/>
    <w:rsid w:val="00FC4DE1"/>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2">
    <w:name w:val="heading 2"/>
    <w:basedOn w:val="Normal"/>
    <w:next w:val="Normal"/>
    <w:link w:val="Ttulo2Car"/>
    <w:uiPriority w:val="9"/>
    <w:unhideWhenUsed/>
    <w:qFormat/>
    <w:rsid w:val="000E543B"/>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s-ES"/>
    </w:rPr>
  </w:style>
  <w:style w:type="paragraph" w:styleId="Ttulo4">
    <w:name w:val="heading 4"/>
    <w:basedOn w:val="Normal"/>
    <w:next w:val="Normal"/>
    <w:link w:val="Ttulo4Car"/>
    <w:uiPriority w:val="9"/>
    <w:unhideWhenUsed/>
    <w:qFormat/>
    <w:rsid w:val="000E543B"/>
    <w:pPr>
      <w:keepNext/>
      <w:keepLines/>
      <w:widowControl w:val="0"/>
      <w:autoSpaceDE w:val="0"/>
      <w:autoSpaceDN w:val="0"/>
      <w:spacing w:before="40"/>
      <w:outlineLvl w:val="3"/>
    </w:pPr>
    <w:rPr>
      <w:rFonts w:asciiTheme="majorHAnsi" w:eastAsiaTheme="majorEastAsia" w:hAnsiTheme="majorHAnsi" w:cstheme="majorBidi"/>
      <w:i/>
      <w:iCs/>
      <w:color w:val="2E74B5" w:themeColor="accent1" w:themeShade="BF"/>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433758"/>
  </w:style>
  <w:style w:type="paragraph" w:styleId="NormalWeb">
    <w:name w:val="Normal (Web)"/>
    <w:basedOn w:val="Normal"/>
    <w:uiPriority w:val="99"/>
    <w:semiHidden/>
    <w:unhideWhenUsed/>
    <w:rsid w:val="00433758"/>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0E543B"/>
    <w:rPr>
      <w:b/>
      <w:b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qFormat/>
    <w:rsid w:val="000E543B"/>
    <w:pPr>
      <w:ind w:left="720"/>
      <w:contextualSpacing/>
    </w:pPr>
  </w:style>
  <w:style w:type="character" w:customStyle="1" w:styleId="Ttulo4Car">
    <w:name w:val="Título 4 Car"/>
    <w:basedOn w:val="Fuentedeprrafopredeter"/>
    <w:link w:val="Ttulo4"/>
    <w:uiPriority w:val="9"/>
    <w:rsid w:val="000E543B"/>
    <w:rPr>
      <w:rFonts w:asciiTheme="majorHAnsi" w:eastAsiaTheme="majorEastAsia" w:hAnsiTheme="majorHAnsi" w:cstheme="majorBidi"/>
      <w:i/>
      <w:iCs/>
      <w:color w:val="2E74B5" w:themeColor="accent1" w:themeShade="BF"/>
      <w:sz w:val="22"/>
      <w:szCs w:val="22"/>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0E543B"/>
  </w:style>
  <w:style w:type="character" w:customStyle="1" w:styleId="Ttulo2Car">
    <w:name w:val="Título 2 Car"/>
    <w:basedOn w:val="Fuentedeprrafopredeter"/>
    <w:link w:val="Ttulo2"/>
    <w:uiPriority w:val="9"/>
    <w:rsid w:val="000E543B"/>
    <w:rPr>
      <w:rFonts w:asciiTheme="majorHAnsi" w:eastAsiaTheme="majorEastAsia" w:hAnsiTheme="majorHAnsi" w:cstheme="majorBidi"/>
      <w:color w:val="2E74B5" w:themeColor="accent1" w:themeShade="BF"/>
      <w:sz w:val="26"/>
      <w:szCs w:val="26"/>
      <w:lang w:val="es-ES"/>
    </w:rPr>
  </w:style>
  <w:style w:type="paragraph" w:styleId="Revisin">
    <w:name w:val="Revision"/>
    <w:hidden/>
    <w:uiPriority w:val="99"/>
    <w:semiHidden/>
    <w:rsid w:val="00496BC3"/>
  </w:style>
  <w:style w:type="character" w:styleId="Refdecomentario">
    <w:name w:val="annotation reference"/>
    <w:basedOn w:val="Fuentedeprrafopredeter"/>
    <w:uiPriority w:val="99"/>
    <w:semiHidden/>
    <w:unhideWhenUsed/>
    <w:rsid w:val="0005362B"/>
    <w:rPr>
      <w:sz w:val="16"/>
      <w:szCs w:val="16"/>
    </w:rPr>
  </w:style>
  <w:style w:type="paragraph" w:styleId="Textocomentario">
    <w:name w:val="annotation text"/>
    <w:basedOn w:val="Normal"/>
    <w:link w:val="TextocomentarioCar"/>
    <w:uiPriority w:val="99"/>
    <w:unhideWhenUsed/>
    <w:rsid w:val="0005362B"/>
    <w:rPr>
      <w:sz w:val="20"/>
      <w:szCs w:val="20"/>
    </w:rPr>
  </w:style>
  <w:style w:type="character" w:customStyle="1" w:styleId="TextocomentarioCar">
    <w:name w:val="Texto comentario Car"/>
    <w:basedOn w:val="Fuentedeprrafopredeter"/>
    <w:link w:val="Textocomentario"/>
    <w:uiPriority w:val="99"/>
    <w:rsid w:val="0005362B"/>
    <w:rPr>
      <w:sz w:val="20"/>
      <w:szCs w:val="20"/>
    </w:rPr>
  </w:style>
  <w:style w:type="paragraph" w:styleId="Asuntodelcomentario">
    <w:name w:val="annotation subject"/>
    <w:basedOn w:val="Textocomentario"/>
    <w:next w:val="Textocomentario"/>
    <w:link w:val="AsuntodelcomentarioCar"/>
    <w:uiPriority w:val="99"/>
    <w:semiHidden/>
    <w:unhideWhenUsed/>
    <w:rsid w:val="0005362B"/>
    <w:rPr>
      <w:b/>
      <w:bCs/>
    </w:rPr>
  </w:style>
  <w:style w:type="character" w:customStyle="1" w:styleId="AsuntodelcomentarioCar">
    <w:name w:val="Asunto del comentario Car"/>
    <w:basedOn w:val="TextocomentarioCar"/>
    <w:link w:val="Asuntodelcomentario"/>
    <w:uiPriority w:val="99"/>
    <w:semiHidden/>
    <w:rsid w:val="00053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545">
      <w:bodyDiv w:val="1"/>
      <w:marLeft w:val="0"/>
      <w:marRight w:val="0"/>
      <w:marTop w:val="0"/>
      <w:marBottom w:val="0"/>
      <w:divBdr>
        <w:top w:val="none" w:sz="0" w:space="0" w:color="auto"/>
        <w:left w:val="none" w:sz="0" w:space="0" w:color="auto"/>
        <w:bottom w:val="none" w:sz="0" w:space="0" w:color="auto"/>
        <w:right w:val="none" w:sz="0" w:space="0" w:color="auto"/>
      </w:divBdr>
    </w:div>
    <w:div w:id="218133013">
      <w:bodyDiv w:val="1"/>
      <w:marLeft w:val="0"/>
      <w:marRight w:val="0"/>
      <w:marTop w:val="0"/>
      <w:marBottom w:val="0"/>
      <w:divBdr>
        <w:top w:val="none" w:sz="0" w:space="0" w:color="auto"/>
        <w:left w:val="none" w:sz="0" w:space="0" w:color="auto"/>
        <w:bottom w:val="none" w:sz="0" w:space="0" w:color="auto"/>
        <w:right w:val="none" w:sz="0" w:space="0" w:color="auto"/>
      </w:divBdr>
    </w:div>
    <w:div w:id="795830396">
      <w:bodyDiv w:val="1"/>
      <w:marLeft w:val="0"/>
      <w:marRight w:val="0"/>
      <w:marTop w:val="0"/>
      <w:marBottom w:val="0"/>
      <w:divBdr>
        <w:top w:val="none" w:sz="0" w:space="0" w:color="auto"/>
        <w:left w:val="none" w:sz="0" w:space="0" w:color="auto"/>
        <w:bottom w:val="none" w:sz="0" w:space="0" w:color="auto"/>
        <w:right w:val="none" w:sz="0" w:space="0" w:color="auto"/>
      </w:divBdr>
      <w:divsChild>
        <w:div w:id="170030377">
          <w:marLeft w:val="0"/>
          <w:marRight w:val="0"/>
          <w:marTop w:val="240"/>
          <w:marBottom w:val="240"/>
          <w:divBdr>
            <w:top w:val="none" w:sz="0" w:space="0" w:color="auto"/>
            <w:left w:val="none" w:sz="0" w:space="0" w:color="auto"/>
            <w:bottom w:val="none" w:sz="0" w:space="0" w:color="auto"/>
            <w:right w:val="none" w:sz="0" w:space="0" w:color="auto"/>
          </w:divBdr>
        </w:div>
        <w:div w:id="1069156067">
          <w:marLeft w:val="0"/>
          <w:marRight w:val="0"/>
          <w:marTop w:val="240"/>
          <w:marBottom w:val="240"/>
          <w:divBdr>
            <w:top w:val="none" w:sz="0" w:space="0" w:color="auto"/>
            <w:left w:val="none" w:sz="0" w:space="0" w:color="auto"/>
            <w:bottom w:val="none" w:sz="0" w:space="0" w:color="auto"/>
            <w:right w:val="none" w:sz="0" w:space="0" w:color="auto"/>
          </w:divBdr>
        </w:div>
        <w:div w:id="1069964411">
          <w:marLeft w:val="0"/>
          <w:marRight w:val="0"/>
          <w:marTop w:val="240"/>
          <w:marBottom w:val="240"/>
          <w:divBdr>
            <w:top w:val="none" w:sz="0" w:space="0" w:color="auto"/>
            <w:left w:val="none" w:sz="0" w:space="0" w:color="auto"/>
            <w:bottom w:val="none" w:sz="0" w:space="0" w:color="auto"/>
            <w:right w:val="none" w:sz="0" w:space="0" w:color="auto"/>
          </w:divBdr>
        </w:div>
        <w:div w:id="160700781">
          <w:marLeft w:val="0"/>
          <w:marRight w:val="0"/>
          <w:marTop w:val="240"/>
          <w:marBottom w:val="240"/>
          <w:divBdr>
            <w:top w:val="none" w:sz="0" w:space="0" w:color="auto"/>
            <w:left w:val="none" w:sz="0" w:space="0" w:color="auto"/>
            <w:bottom w:val="none" w:sz="0" w:space="0" w:color="auto"/>
            <w:right w:val="none" w:sz="0" w:space="0" w:color="auto"/>
          </w:divBdr>
        </w:div>
        <w:div w:id="36467021">
          <w:marLeft w:val="0"/>
          <w:marRight w:val="0"/>
          <w:marTop w:val="240"/>
          <w:marBottom w:val="240"/>
          <w:divBdr>
            <w:top w:val="none" w:sz="0" w:space="0" w:color="auto"/>
            <w:left w:val="none" w:sz="0" w:space="0" w:color="auto"/>
            <w:bottom w:val="none" w:sz="0" w:space="0" w:color="auto"/>
            <w:right w:val="none" w:sz="0" w:space="0" w:color="auto"/>
          </w:divBdr>
        </w:div>
        <w:div w:id="956183488">
          <w:marLeft w:val="0"/>
          <w:marRight w:val="0"/>
          <w:marTop w:val="240"/>
          <w:marBottom w:val="240"/>
          <w:divBdr>
            <w:top w:val="none" w:sz="0" w:space="0" w:color="auto"/>
            <w:left w:val="none" w:sz="0" w:space="0" w:color="auto"/>
            <w:bottom w:val="none" w:sz="0" w:space="0" w:color="auto"/>
            <w:right w:val="none" w:sz="0" w:space="0" w:color="auto"/>
          </w:divBdr>
        </w:div>
        <w:div w:id="1563634712">
          <w:marLeft w:val="0"/>
          <w:marRight w:val="0"/>
          <w:marTop w:val="240"/>
          <w:marBottom w:val="240"/>
          <w:divBdr>
            <w:top w:val="none" w:sz="0" w:space="0" w:color="auto"/>
            <w:left w:val="none" w:sz="0" w:space="0" w:color="auto"/>
            <w:bottom w:val="none" w:sz="0" w:space="0" w:color="auto"/>
            <w:right w:val="none" w:sz="0" w:space="0" w:color="auto"/>
          </w:divBdr>
        </w:div>
      </w:divsChild>
    </w:div>
    <w:div w:id="899748619">
      <w:bodyDiv w:val="1"/>
      <w:marLeft w:val="0"/>
      <w:marRight w:val="0"/>
      <w:marTop w:val="0"/>
      <w:marBottom w:val="0"/>
      <w:divBdr>
        <w:top w:val="none" w:sz="0" w:space="0" w:color="auto"/>
        <w:left w:val="none" w:sz="0" w:space="0" w:color="auto"/>
        <w:bottom w:val="none" w:sz="0" w:space="0" w:color="auto"/>
        <w:right w:val="none" w:sz="0" w:space="0" w:color="auto"/>
      </w:divBdr>
    </w:div>
    <w:div w:id="1097406054">
      <w:bodyDiv w:val="1"/>
      <w:marLeft w:val="0"/>
      <w:marRight w:val="0"/>
      <w:marTop w:val="0"/>
      <w:marBottom w:val="0"/>
      <w:divBdr>
        <w:top w:val="none" w:sz="0" w:space="0" w:color="auto"/>
        <w:left w:val="none" w:sz="0" w:space="0" w:color="auto"/>
        <w:bottom w:val="none" w:sz="0" w:space="0" w:color="auto"/>
        <w:right w:val="none" w:sz="0" w:space="0" w:color="auto"/>
      </w:divBdr>
    </w:div>
    <w:div w:id="1395086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1867</Words>
  <Characters>10273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2025-09-01T13:44:00Z</dcterms:created>
  <dcterms:modified xsi:type="dcterms:W3CDTF">2025-09-01T14:22:00Z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2025-09-01T13:44:47Z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ab4b4cc3-9567-4a0e-82fc-0899c4ea9479</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