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2761" w14:textId="77777777" w:rsidR="005D4C89" w:rsidRPr="005F26EA" w:rsidRDefault="005D4C89" w:rsidP="00140B13">
      <w:pPr>
        <w:shd w:val="clear" w:color="auto" w:fill="FFFFFF"/>
        <w:spacing w:line="360" w:lineRule="auto"/>
        <w:textAlignment w:val="baseline"/>
        <w:rPr>
          <w:rFonts w:ascii="Arial" w:hAnsi="Arial" w:cs="Arial"/>
          <w:lang w:eastAsia="es-MX"/>
        </w:rPr>
      </w:pPr>
      <w:bookmarkStart w:id="0" w:name="_Hlk75977645"/>
      <w:r w:rsidRPr="004C5D8B">
        <w:rPr>
          <w:rFonts w:ascii="Arial" w:hAnsi="Arial" w:cs="Arial"/>
          <w:bdr w:val="none" w:sz="0" w:space="0" w:color="auto" w:frame="1"/>
          <w:lang w:eastAsia="es-MX"/>
        </w:rPr>
        <w:t>Señores  </w:t>
      </w:r>
    </w:p>
    <w:p w14:paraId="653E6B29" w14:textId="642C1A11" w:rsidR="005D4C89" w:rsidRPr="005F26EA" w:rsidRDefault="004C5D8B" w:rsidP="00140B13">
      <w:pPr>
        <w:shd w:val="clear" w:color="auto" w:fill="FFFFFF"/>
        <w:spacing w:line="360" w:lineRule="auto"/>
        <w:textAlignment w:val="baseline"/>
        <w:rPr>
          <w:rFonts w:ascii="Arial" w:hAnsi="Arial" w:cs="Arial"/>
          <w:b/>
          <w:bCs/>
          <w:bdr w:val="none" w:sz="0" w:space="0" w:color="auto" w:frame="1"/>
          <w:lang w:eastAsia="es-MX"/>
        </w:rPr>
      </w:pPr>
      <w:bookmarkStart w:id="1" w:name="_Hlk196124351"/>
      <w:r w:rsidRPr="005F26EA">
        <w:rPr>
          <w:rFonts w:ascii="Arial" w:hAnsi="Arial" w:cs="Arial"/>
          <w:b/>
          <w:bCs/>
          <w:bdr w:val="none" w:sz="0" w:space="0" w:color="auto" w:frame="1"/>
          <w:lang w:eastAsia="es-MX"/>
        </w:rPr>
        <w:t>SUPERINTENDENCIA FINANCIERA DE COLOMBIA</w:t>
      </w:r>
    </w:p>
    <w:p w14:paraId="0AF0FB29" w14:textId="7D08D605" w:rsidR="004C5D8B" w:rsidRPr="005F26EA" w:rsidRDefault="004C5D8B" w:rsidP="00140B13">
      <w:pPr>
        <w:shd w:val="clear" w:color="auto" w:fill="FFFFFF"/>
        <w:spacing w:line="360" w:lineRule="auto"/>
        <w:textAlignment w:val="baseline"/>
        <w:rPr>
          <w:rFonts w:ascii="Arial" w:hAnsi="Arial" w:cs="Arial"/>
          <w:b/>
          <w:bCs/>
          <w:bdr w:val="none" w:sz="0" w:space="0" w:color="auto" w:frame="1"/>
          <w:lang w:eastAsia="es-MX"/>
        </w:rPr>
      </w:pPr>
      <w:r w:rsidRPr="004C5D8B">
        <w:rPr>
          <w:rFonts w:ascii="Arial" w:eastAsia="Times New Roman" w:hAnsi="Arial" w:cs="Arial"/>
          <w:lang w:val="es-CO" w:eastAsia="es-CO"/>
        </w:rPr>
        <w:t>DELEGATURA PARA FUNCIONES JURISDICCIONALES</w:t>
      </w:r>
    </w:p>
    <w:bookmarkEnd w:id="1"/>
    <w:p w14:paraId="5768C151" w14:textId="6C328761" w:rsidR="004C5D8B" w:rsidRPr="005F26EA" w:rsidRDefault="00D14109" w:rsidP="00140B13">
      <w:pPr>
        <w:shd w:val="clear" w:color="auto" w:fill="FFFFFF"/>
        <w:spacing w:line="360" w:lineRule="auto"/>
        <w:textAlignment w:val="baseline"/>
        <w:rPr>
          <w:rFonts w:ascii="Arial" w:hAnsi="Arial" w:cs="Arial"/>
        </w:rPr>
      </w:pPr>
      <w:r w:rsidRPr="00D14109">
        <w:rPr>
          <w:rFonts w:ascii="Arial" w:hAnsi="Arial" w:cs="Arial"/>
        </w:rPr>
        <w:t>jurisdiccionales@superfinanciera.gov.co</w:t>
      </w:r>
    </w:p>
    <w:p w14:paraId="2B961D88" w14:textId="57078AE8" w:rsidR="005D4C89" w:rsidRPr="005F26EA" w:rsidRDefault="005D4C89" w:rsidP="00140B13">
      <w:pPr>
        <w:shd w:val="clear" w:color="auto" w:fill="FFFFFF"/>
        <w:spacing w:line="360" w:lineRule="auto"/>
        <w:textAlignment w:val="baseline"/>
        <w:rPr>
          <w:rFonts w:ascii="Arial" w:hAnsi="Arial" w:cs="Arial"/>
          <w:bdr w:val="none" w:sz="0" w:space="0" w:color="auto" w:frame="1"/>
          <w:lang w:eastAsia="es-MX"/>
        </w:rPr>
      </w:pPr>
      <w:r w:rsidRPr="005F26EA">
        <w:rPr>
          <w:rFonts w:ascii="Arial" w:hAnsi="Arial" w:cs="Arial"/>
          <w:bdr w:val="none" w:sz="0" w:space="0" w:color="auto" w:frame="1"/>
          <w:lang w:eastAsia="es-MX"/>
        </w:rPr>
        <w:t>E.        S.        D.   </w:t>
      </w:r>
    </w:p>
    <w:p w14:paraId="38F7A381" w14:textId="77777777" w:rsidR="005D4C89" w:rsidRPr="005F26EA" w:rsidRDefault="005D4C89" w:rsidP="00140B13">
      <w:pPr>
        <w:shd w:val="clear" w:color="auto" w:fill="FFFFFF"/>
        <w:spacing w:line="360" w:lineRule="auto"/>
        <w:jc w:val="both"/>
        <w:textAlignment w:val="baseline"/>
        <w:rPr>
          <w:rFonts w:ascii="Arial" w:hAnsi="Arial" w:cs="Arial"/>
          <w:lang w:eastAsia="es-MX"/>
        </w:rPr>
      </w:pPr>
      <w:r w:rsidRPr="005F26EA">
        <w:rPr>
          <w:rFonts w:ascii="Arial" w:hAnsi="Arial" w:cs="Arial"/>
          <w:bdr w:val="none" w:sz="0" w:space="0" w:color="auto" w:frame="1"/>
          <w:lang w:eastAsia="es-MX"/>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10"/>
        <w:gridCol w:w="6428"/>
      </w:tblGrid>
      <w:tr w:rsidR="005F26EA" w:rsidRPr="005F26EA" w14:paraId="16FD6039" w14:textId="77777777" w:rsidTr="003E7821">
        <w:trPr>
          <w:trHeight w:val="301"/>
        </w:trPr>
        <w:tc>
          <w:tcPr>
            <w:tcW w:w="2410" w:type="dxa"/>
            <w:tcMar>
              <w:top w:w="0" w:type="dxa"/>
              <w:left w:w="108" w:type="dxa"/>
              <w:bottom w:w="0" w:type="dxa"/>
              <w:right w:w="108" w:type="dxa"/>
            </w:tcMar>
            <w:hideMark/>
          </w:tcPr>
          <w:p w14:paraId="0F484F14" w14:textId="77777777" w:rsidR="005D4C89" w:rsidRPr="005F26EA" w:rsidRDefault="005D4C89" w:rsidP="00140B13">
            <w:pPr>
              <w:spacing w:line="360" w:lineRule="auto"/>
              <w:jc w:val="both"/>
              <w:rPr>
                <w:rFonts w:ascii="Arial" w:hAnsi="Arial" w:cs="Arial"/>
                <w:lang w:eastAsia="es-MX"/>
              </w:rPr>
            </w:pPr>
            <w:r w:rsidRPr="005F26EA">
              <w:rPr>
                <w:rFonts w:ascii="Arial" w:hAnsi="Arial" w:cs="Arial"/>
                <w:b/>
                <w:bCs/>
                <w:bdr w:val="none" w:sz="0" w:space="0" w:color="auto" w:frame="1"/>
                <w:lang w:eastAsia="es-MX"/>
              </w:rPr>
              <w:t>PROCESO:   </w:t>
            </w:r>
            <w:r w:rsidRPr="005F26EA">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640E631E" w14:textId="1B72CCDC" w:rsidR="005D4C89" w:rsidRPr="005F26EA" w:rsidRDefault="004C5D8B" w:rsidP="00140B13">
            <w:pPr>
              <w:spacing w:line="360" w:lineRule="auto"/>
              <w:jc w:val="both"/>
              <w:rPr>
                <w:rFonts w:ascii="Arial" w:hAnsi="Arial" w:cs="Arial"/>
                <w:lang w:eastAsia="es-MX"/>
              </w:rPr>
            </w:pPr>
            <w:r w:rsidRPr="004C5D8B">
              <w:rPr>
                <w:rFonts w:ascii="Arial" w:eastAsia="Times New Roman" w:hAnsi="Arial" w:cs="Arial"/>
                <w:lang w:val="es-CO" w:eastAsia="es-CO"/>
              </w:rPr>
              <w:t>ACCIÓN DE PROTECCIÓN AL CONSUMIDOR FINANCIERO</w:t>
            </w:r>
          </w:p>
        </w:tc>
      </w:tr>
      <w:tr w:rsidR="005F26EA" w:rsidRPr="005F26EA" w14:paraId="19C75EE7" w14:textId="77777777" w:rsidTr="003E7821">
        <w:tc>
          <w:tcPr>
            <w:tcW w:w="2410" w:type="dxa"/>
            <w:tcMar>
              <w:top w:w="0" w:type="dxa"/>
              <w:left w:w="108" w:type="dxa"/>
              <w:bottom w:w="0" w:type="dxa"/>
              <w:right w:w="108" w:type="dxa"/>
            </w:tcMar>
          </w:tcPr>
          <w:p w14:paraId="11613AE2" w14:textId="77777777" w:rsidR="005D4C89" w:rsidRPr="005F26EA" w:rsidRDefault="005D4C89" w:rsidP="00140B13">
            <w:pPr>
              <w:spacing w:line="360" w:lineRule="auto"/>
              <w:jc w:val="both"/>
              <w:rPr>
                <w:rFonts w:ascii="Arial" w:hAnsi="Arial" w:cs="Arial"/>
                <w:b/>
                <w:bCs/>
                <w:bdr w:val="none" w:sz="0" w:space="0" w:color="auto" w:frame="1"/>
                <w:lang w:eastAsia="es-MX"/>
              </w:rPr>
            </w:pPr>
            <w:r w:rsidRPr="005F26EA">
              <w:rPr>
                <w:rFonts w:ascii="Arial" w:hAnsi="Arial" w:cs="Arial"/>
                <w:b/>
                <w:bCs/>
                <w:bdr w:val="none" w:sz="0" w:space="0" w:color="auto" w:frame="1"/>
                <w:lang w:eastAsia="es-MX"/>
              </w:rPr>
              <w:t>RADICADO:</w:t>
            </w:r>
          </w:p>
        </w:tc>
        <w:tc>
          <w:tcPr>
            <w:tcW w:w="6428" w:type="dxa"/>
            <w:tcMar>
              <w:top w:w="0" w:type="dxa"/>
              <w:left w:w="108" w:type="dxa"/>
              <w:bottom w:w="0" w:type="dxa"/>
              <w:right w:w="108" w:type="dxa"/>
            </w:tcMar>
          </w:tcPr>
          <w:p w14:paraId="5A1CB137" w14:textId="68674510" w:rsidR="005D4C89" w:rsidRPr="005F26EA" w:rsidRDefault="004C5D8B" w:rsidP="00140B13">
            <w:pPr>
              <w:shd w:val="clear" w:color="auto" w:fill="FFFFFF"/>
              <w:spacing w:line="360" w:lineRule="auto"/>
              <w:jc w:val="both"/>
              <w:rPr>
                <w:rFonts w:ascii="Arial" w:hAnsi="Arial" w:cs="Arial"/>
                <w:bdr w:val="none" w:sz="0" w:space="0" w:color="auto" w:frame="1"/>
                <w:lang w:eastAsia="es-MX"/>
              </w:rPr>
            </w:pPr>
            <w:r w:rsidRPr="004C5D8B">
              <w:rPr>
                <w:rFonts w:ascii="Arial" w:eastAsia="Times New Roman" w:hAnsi="Arial" w:cs="Arial"/>
                <w:lang w:val="es-CO" w:eastAsia="es-CO"/>
              </w:rPr>
              <w:t>2024-003608, EXP. 2024-0198</w:t>
            </w:r>
          </w:p>
        </w:tc>
      </w:tr>
      <w:tr w:rsidR="005F26EA" w:rsidRPr="005F26EA" w14:paraId="0A5F83B0" w14:textId="77777777" w:rsidTr="003E7821">
        <w:trPr>
          <w:trHeight w:val="309"/>
        </w:trPr>
        <w:tc>
          <w:tcPr>
            <w:tcW w:w="2410" w:type="dxa"/>
            <w:tcMar>
              <w:top w:w="0" w:type="dxa"/>
              <w:left w:w="108" w:type="dxa"/>
              <w:bottom w:w="0" w:type="dxa"/>
              <w:right w:w="108" w:type="dxa"/>
            </w:tcMar>
            <w:hideMark/>
          </w:tcPr>
          <w:p w14:paraId="1090882E" w14:textId="77777777" w:rsidR="005D4C89" w:rsidRPr="005F26EA" w:rsidRDefault="005D4C89" w:rsidP="00140B13">
            <w:pPr>
              <w:spacing w:line="360" w:lineRule="auto"/>
              <w:jc w:val="both"/>
              <w:rPr>
                <w:rFonts w:ascii="Arial" w:hAnsi="Arial" w:cs="Arial"/>
                <w:lang w:eastAsia="es-MX"/>
              </w:rPr>
            </w:pPr>
            <w:r w:rsidRPr="005F26EA">
              <w:rPr>
                <w:rFonts w:ascii="Arial" w:hAnsi="Arial" w:cs="Arial"/>
                <w:b/>
                <w:bCs/>
                <w:bdr w:val="none" w:sz="0" w:space="0" w:color="auto" w:frame="1"/>
                <w:lang w:eastAsia="es-MX"/>
              </w:rPr>
              <w:t>DEMANDANTE:</w:t>
            </w:r>
            <w:r w:rsidRPr="005F26EA">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13C51266" w14:textId="2EF6EECF" w:rsidR="005D4C89" w:rsidRPr="005F26EA" w:rsidRDefault="004C5D8B" w:rsidP="00140B13">
            <w:pPr>
              <w:shd w:val="clear" w:color="auto" w:fill="FFFFFF"/>
              <w:spacing w:line="360" w:lineRule="auto"/>
              <w:jc w:val="both"/>
              <w:rPr>
                <w:rFonts w:ascii="Arial" w:hAnsi="Arial" w:cs="Arial"/>
                <w:lang w:eastAsia="es-MX"/>
              </w:rPr>
            </w:pPr>
            <w:r w:rsidRPr="004C5D8B">
              <w:rPr>
                <w:rFonts w:ascii="Arial" w:eastAsia="Times New Roman" w:hAnsi="Arial" w:cs="Arial"/>
                <w:bdr w:val="none" w:sz="0" w:space="0" w:color="auto" w:frame="1"/>
                <w:lang w:val="es-CO" w:eastAsia="es-CO"/>
              </w:rPr>
              <w:t>ELIECER</w:t>
            </w:r>
            <w:r w:rsidRPr="004C5D8B">
              <w:rPr>
                <w:rFonts w:ascii="Arial" w:eastAsia="Times New Roman" w:hAnsi="Arial" w:cs="Arial"/>
                <w:lang w:val="es-CO" w:eastAsia="es-CO"/>
              </w:rPr>
              <w:t> RIAÑO CONSTRUCCIONES Y SERVICIOS SAS </w:t>
            </w:r>
          </w:p>
        </w:tc>
      </w:tr>
      <w:tr w:rsidR="005F26EA" w:rsidRPr="005F26EA" w14:paraId="6FE9348C" w14:textId="77777777" w:rsidTr="003E7821">
        <w:tc>
          <w:tcPr>
            <w:tcW w:w="2410" w:type="dxa"/>
            <w:tcMar>
              <w:top w:w="0" w:type="dxa"/>
              <w:left w:w="108" w:type="dxa"/>
              <w:bottom w:w="0" w:type="dxa"/>
              <w:right w:w="108" w:type="dxa"/>
            </w:tcMar>
            <w:hideMark/>
          </w:tcPr>
          <w:p w14:paraId="0D4BA5FF" w14:textId="77777777" w:rsidR="005D4C89" w:rsidRPr="005F26EA" w:rsidRDefault="005D4C89" w:rsidP="00140B13">
            <w:pPr>
              <w:spacing w:line="360" w:lineRule="auto"/>
              <w:jc w:val="both"/>
              <w:rPr>
                <w:rFonts w:ascii="Arial" w:hAnsi="Arial" w:cs="Arial"/>
                <w:lang w:eastAsia="es-MX"/>
              </w:rPr>
            </w:pPr>
            <w:r w:rsidRPr="005F26EA">
              <w:rPr>
                <w:rFonts w:ascii="Arial" w:hAnsi="Arial" w:cs="Arial"/>
                <w:b/>
                <w:bCs/>
                <w:bdr w:val="none" w:sz="0" w:space="0" w:color="auto" w:frame="1"/>
                <w:lang w:eastAsia="es-MX"/>
              </w:rPr>
              <w:t>DEMANDADO:</w:t>
            </w:r>
            <w:r w:rsidRPr="005F26EA">
              <w:rPr>
                <w:rFonts w:ascii="Arial" w:hAnsi="Arial" w:cs="Arial"/>
                <w:bdr w:val="none" w:sz="0" w:space="0" w:color="auto" w:frame="1"/>
                <w:lang w:eastAsia="es-MX"/>
              </w:rPr>
              <w:t>        </w:t>
            </w:r>
          </w:p>
        </w:tc>
        <w:tc>
          <w:tcPr>
            <w:tcW w:w="6428" w:type="dxa"/>
            <w:tcMar>
              <w:top w:w="0" w:type="dxa"/>
              <w:left w:w="108" w:type="dxa"/>
              <w:bottom w:w="0" w:type="dxa"/>
              <w:right w:w="108" w:type="dxa"/>
            </w:tcMar>
            <w:hideMark/>
          </w:tcPr>
          <w:p w14:paraId="2A2BDDD0" w14:textId="0E387E5F" w:rsidR="005D4C89" w:rsidRPr="005F26EA" w:rsidRDefault="004C5D8B" w:rsidP="00140B13">
            <w:pPr>
              <w:spacing w:line="360" w:lineRule="auto"/>
              <w:jc w:val="both"/>
              <w:rPr>
                <w:rFonts w:ascii="Arial" w:hAnsi="Arial" w:cs="Arial"/>
                <w:lang w:eastAsia="es-MX"/>
              </w:rPr>
            </w:pPr>
            <w:r w:rsidRPr="004C5D8B">
              <w:rPr>
                <w:rFonts w:ascii="Arial" w:eastAsia="Times New Roman" w:hAnsi="Arial" w:cs="Arial"/>
                <w:lang w:val="es-CO" w:eastAsia="es-CO"/>
              </w:rPr>
              <w:t>LA EQUIDAD SEGUROS GENERALES O.C.</w:t>
            </w:r>
          </w:p>
        </w:tc>
      </w:tr>
    </w:tbl>
    <w:p w14:paraId="6091E3B5" w14:textId="77777777" w:rsidR="005D4C89" w:rsidRPr="005F26EA" w:rsidRDefault="005D4C89" w:rsidP="00140B13">
      <w:pPr>
        <w:shd w:val="clear" w:color="auto" w:fill="FFFFFF"/>
        <w:spacing w:line="360" w:lineRule="auto"/>
        <w:jc w:val="right"/>
        <w:textAlignment w:val="baseline"/>
        <w:rPr>
          <w:rFonts w:ascii="Arial" w:hAnsi="Arial" w:cs="Arial"/>
          <w:b/>
          <w:bCs/>
          <w:bdr w:val="none" w:sz="0" w:space="0" w:color="auto" w:frame="1"/>
          <w:lang w:eastAsia="es-MX"/>
        </w:rPr>
      </w:pPr>
    </w:p>
    <w:p w14:paraId="4C0C0587" w14:textId="4223DE99" w:rsidR="005D4C89" w:rsidRPr="005F26EA" w:rsidRDefault="005D4C89" w:rsidP="00140B13">
      <w:pPr>
        <w:shd w:val="clear" w:color="auto" w:fill="FFFFFF"/>
        <w:spacing w:line="360" w:lineRule="auto"/>
        <w:jc w:val="right"/>
        <w:textAlignment w:val="baseline"/>
        <w:rPr>
          <w:rFonts w:ascii="Arial" w:hAnsi="Arial" w:cs="Arial"/>
          <w:lang w:eastAsia="es-MX"/>
        </w:rPr>
      </w:pPr>
      <w:r w:rsidRPr="005F26EA">
        <w:rPr>
          <w:rFonts w:ascii="Arial" w:hAnsi="Arial" w:cs="Arial"/>
          <w:b/>
          <w:bCs/>
          <w:bdr w:val="none" w:sz="0" w:space="0" w:color="auto" w:frame="1"/>
          <w:lang w:eastAsia="es-MX"/>
        </w:rPr>
        <w:t>ASUNTO: ACREDITA CUMPLIMIENTO PAGO DE CONDENA</w:t>
      </w:r>
      <w:r w:rsidRPr="005F26EA">
        <w:rPr>
          <w:rFonts w:ascii="Arial" w:hAnsi="Arial" w:cs="Arial"/>
          <w:b/>
          <w:bCs/>
          <w:bdr w:val="none" w:sz="0" w:space="0" w:color="auto" w:frame="1"/>
          <w:lang w:eastAsia="es-MX"/>
        </w:rPr>
        <w:br/>
      </w:r>
    </w:p>
    <w:p w14:paraId="043CED61" w14:textId="10692DBB" w:rsidR="005D4C89" w:rsidRPr="005F26EA" w:rsidRDefault="005D4C89" w:rsidP="00140B13">
      <w:pPr>
        <w:shd w:val="clear" w:color="auto" w:fill="FFFFFF"/>
        <w:spacing w:line="360" w:lineRule="auto"/>
        <w:jc w:val="both"/>
        <w:textAlignment w:val="baseline"/>
        <w:rPr>
          <w:rFonts w:ascii="Arial" w:hAnsi="Arial" w:cs="Arial"/>
          <w:bdr w:val="none" w:sz="0" w:space="0" w:color="auto" w:frame="1"/>
          <w:lang w:eastAsia="es-MX"/>
        </w:rPr>
      </w:pPr>
      <w:r w:rsidRPr="005F26EA">
        <w:rPr>
          <w:rFonts w:ascii="Arial" w:hAnsi="Arial" w:cs="Arial"/>
          <w:b/>
          <w:bCs/>
          <w:bdr w:val="none" w:sz="0" w:space="0" w:color="auto" w:frame="1"/>
          <w:lang w:eastAsia="es-MX"/>
        </w:rPr>
        <w:t>GUSTAVO ALBERTO HERRERA ÁVILA</w:t>
      </w:r>
      <w:r w:rsidRPr="005F26EA">
        <w:rPr>
          <w:rFonts w:ascii="Arial" w:hAnsi="Arial" w:cs="Arial"/>
          <w:bdr w:val="none" w:sz="0" w:space="0" w:color="auto" w:frame="1"/>
          <w:lang w:eastAsia="es-MX"/>
        </w:rPr>
        <w:t xml:space="preserve">, mayor de edad vecino de Cali, identificado con cédula de ciudadanía No. 19.395.114 de Bogotá́ D.C., abogado titulado y en ejercicio, portador de la Tarjeta Profesional No. 39.116 del Consejo Superior de la Judicatura, reasumiendo el poder, obrando como apoderado judicial de </w:t>
      </w:r>
      <w:r w:rsidRPr="005F26EA">
        <w:rPr>
          <w:rFonts w:ascii="Arial" w:hAnsi="Arial" w:cs="Arial"/>
          <w:b/>
          <w:bCs/>
          <w:bdr w:val="none" w:sz="0" w:space="0" w:color="auto" w:frame="1"/>
          <w:lang w:eastAsia="es-MX"/>
        </w:rPr>
        <w:t>LA EQUIDAD SEGUROS GENERALES</w:t>
      </w:r>
      <w:r w:rsidRPr="005F26EA">
        <w:rPr>
          <w:rFonts w:ascii="Arial" w:hAnsi="Arial" w:cs="Arial"/>
          <w:bdr w:val="none" w:sz="0" w:space="0" w:color="auto" w:frame="1"/>
          <w:lang w:eastAsia="es-MX"/>
        </w:rPr>
        <w:t xml:space="preserve">, con el debido respeto procedo a aportar al despacho COMPROBANTE que acredita el cumplimiento de la condena impuesta, mediante la Sentencia de segunda Instancia emitida el </w:t>
      </w:r>
      <w:r w:rsidR="00DE2628" w:rsidRPr="005F26EA">
        <w:rPr>
          <w:rFonts w:ascii="Arial" w:hAnsi="Arial" w:cs="Arial"/>
          <w:bdr w:val="none" w:sz="0" w:space="0" w:color="auto" w:frame="1"/>
          <w:lang w:eastAsia="es-MX"/>
        </w:rPr>
        <w:t>4 de julio</w:t>
      </w:r>
      <w:r w:rsidRPr="005F26EA">
        <w:rPr>
          <w:rFonts w:ascii="Arial" w:hAnsi="Arial" w:cs="Arial"/>
          <w:bdr w:val="none" w:sz="0" w:space="0" w:color="auto" w:frame="1"/>
          <w:lang w:eastAsia="es-MX"/>
        </w:rPr>
        <w:t xml:space="preserve"> de 2025, notificada en estados el </w:t>
      </w:r>
      <w:r w:rsidR="00DE2628" w:rsidRPr="005F26EA">
        <w:rPr>
          <w:rFonts w:ascii="Arial" w:hAnsi="Arial" w:cs="Arial"/>
          <w:bdr w:val="none" w:sz="0" w:space="0" w:color="auto" w:frame="1"/>
          <w:lang w:eastAsia="es-MX"/>
        </w:rPr>
        <w:t xml:space="preserve">7 julio </w:t>
      </w:r>
      <w:r w:rsidR="00D14109">
        <w:rPr>
          <w:rFonts w:ascii="Arial" w:hAnsi="Arial" w:cs="Arial"/>
          <w:bdr w:val="none" w:sz="0" w:space="0" w:color="auto" w:frame="1"/>
          <w:lang w:eastAsia="es-MX"/>
        </w:rPr>
        <w:t xml:space="preserve">de </w:t>
      </w:r>
      <w:r w:rsidR="00DE2628" w:rsidRPr="005F26EA">
        <w:rPr>
          <w:rFonts w:ascii="Arial" w:hAnsi="Arial" w:cs="Arial"/>
          <w:bdr w:val="none" w:sz="0" w:space="0" w:color="auto" w:frame="1"/>
          <w:lang w:eastAsia="es-MX"/>
        </w:rPr>
        <w:t xml:space="preserve">2025 por la </w:t>
      </w:r>
      <w:r w:rsidR="00D14109" w:rsidRPr="005F26EA">
        <w:rPr>
          <w:rFonts w:ascii="Arial" w:hAnsi="Arial" w:cs="Arial"/>
          <w:bdr w:val="none" w:sz="0" w:space="0" w:color="auto" w:frame="1"/>
          <w:lang w:eastAsia="es-MX"/>
        </w:rPr>
        <w:t xml:space="preserve">Sala Civil Del Tribunal Superior De Bogotá, </w:t>
      </w:r>
      <w:r w:rsidR="00DE2628" w:rsidRPr="005F26EA">
        <w:rPr>
          <w:rFonts w:ascii="Arial" w:hAnsi="Arial" w:cs="Arial"/>
          <w:bdr w:val="none" w:sz="0" w:space="0" w:color="auto" w:frame="1"/>
          <w:lang w:eastAsia="es-MX"/>
        </w:rPr>
        <w:t>bajo el RAD. 11001319900320240019801, notificada en estados el 7 julio 2025, la cual fue susceptible de solicitud de aclaración por lo que adquirió ejecutoria el 23 de julio de 2025, de acuerdo con el Auto que resuelve aclaraciones, notificado en estados el 17 julio 2025, en esta sentencia fue modificatoria y</w:t>
      </w:r>
      <w:r w:rsidRPr="005F26EA">
        <w:rPr>
          <w:rFonts w:ascii="Arial" w:hAnsi="Arial" w:cs="Arial"/>
          <w:bdr w:val="none" w:sz="0" w:space="0" w:color="auto" w:frame="1"/>
          <w:lang w:eastAsia="es-MX"/>
        </w:rPr>
        <w:t xml:space="preserve"> resolvió:</w:t>
      </w:r>
    </w:p>
    <w:p w14:paraId="306B53D8" w14:textId="77777777" w:rsidR="005D4C89" w:rsidRPr="005F26EA" w:rsidRDefault="005D4C89" w:rsidP="00140B13">
      <w:pPr>
        <w:pStyle w:val="Default"/>
        <w:spacing w:line="360" w:lineRule="auto"/>
        <w:rPr>
          <w:color w:val="auto"/>
          <w:sz w:val="22"/>
          <w:szCs w:val="22"/>
        </w:rPr>
      </w:pPr>
    </w:p>
    <w:p w14:paraId="207C4263" w14:textId="193FE487" w:rsidR="005D4C89" w:rsidRPr="005F26EA" w:rsidRDefault="005D4C89" w:rsidP="00140B13">
      <w:pPr>
        <w:pStyle w:val="Default"/>
        <w:spacing w:line="360" w:lineRule="auto"/>
        <w:ind w:left="851" w:right="843"/>
        <w:jc w:val="center"/>
        <w:rPr>
          <w:i/>
          <w:iCs/>
          <w:color w:val="auto"/>
          <w:sz w:val="22"/>
          <w:szCs w:val="22"/>
        </w:rPr>
      </w:pPr>
      <w:r w:rsidRPr="005F26EA">
        <w:rPr>
          <w:i/>
          <w:iCs/>
          <w:color w:val="auto"/>
          <w:sz w:val="22"/>
          <w:szCs w:val="22"/>
        </w:rPr>
        <w:t>“DECISIÓN</w:t>
      </w:r>
    </w:p>
    <w:p w14:paraId="30AF6F58" w14:textId="77777777" w:rsidR="00DE2628" w:rsidRPr="005F26EA" w:rsidRDefault="00DE2628" w:rsidP="00140B13">
      <w:pPr>
        <w:pStyle w:val="Default"/>
        <w:spacing w:line="360" w:lineRule="auto"/>
        <w:ind w:left="851" w:right="843"/>
        <w:jc w:val="center"/>
        <w:rPr>
          <w:i/>
          <w:iCs/>
          <w:color w:val="auto"/>
          <w:sz w:val="22"/>
          <w:szCs w:val="22"/>
        </w:rPr>
      </w:pPr>
    </w:p>
    <w:p w14:paraId="7D60D191" w14:textId="554F47AD" w:rsidR="00DE2628" w:rsidRPr="005F26EA" w:rsidRDefault="00DE2628" w:rsidP="00140B13">
      <w:pPr>
        <w:pStyle w:val="Default"/>
        <w:spacing w:line="360" w:lineRule="auto"/>
        <w:ind w:left="851" w:right="843" w:firstLine="565"/>
        <w:jc w:val="both"/>
        <w:rPr>
          <w:i/>
          <w:iCs/>
          <w:color w:val="auto"/>
          <w:sz w:val="22"/>
          <w:szCs w:val="22"/>
        </w:rPr>
      </w:pPr>
      <w:r w:rsidRPr="005F26EA">
        <w:rPr>
          <w:i/>
          <w:iCs/>
          <w:color w:val="auto"/>
          <w:sz w:val="22"/>
          <w:szCs w:val="22"/>
        </w:rPr>
        <w:t>Analizadas la naturaleza y circunstancias de los eventos, el Tribunal Superior de Bogotá, en Sala Primera Civil de Decisión, administrando Justicia en nombre de la República de Colombia y por autoridad de la ley MODIFICA el numeral TERCERO, primer inciso, de la sentencia que el 10 de diciembre de 2024 profirió la Superintendencia Financiera de Colombia, Delegatura para funciones Jurisdiccionales, así:</w:t>
      </w:r>
    </w:p>
    <w:p w14:paraId="5D7DA757" w14:textId="77777777" w:rsidR="00DE2628" w:rsidRPr="005F26EA" w:rsidRDefault="00DE2628" w:rsidP="00140B13">
      <w:pPr>
        <w:pStyle w:val="Default"/>
        <w:spacing w:line="360" w:lineRule="auto"/>
        <w:ind w:left="851" w:right="843" w:firstLine="565"/>
        <w:jc w:val="both"/>
        <w:rPr>
          <w:i/>
          <w:iCs/>
          <w:color w:val="auto"/>
          <w:sz w:val="22"/>
          <w:szCs w:val="22"/>
        </w:rPr>
      </w:pPr>
    </w:p>
    <w:p w14:paraId="0654A5A2" w14:textId="610353B3" w:rsidR="00DE2628" w:rsidRPr="005F26EA" w:rsidRDefault="00DE2628" w:rsidP="00140B13">
      <w:pPr>
        <w:pStyle w:val="Default"/>
        <w:tabs>
          <w:tab w:val="left" w:pos="8931"/>
        </w:tabs>
        <w:spacing w:line="360" w:lineRule="auto"/>
        <w:ind w:left="1416" w:right="1523" w:firstLine="565"/>
        <w:jc w:val="both"/>
        <w:rPr>
          <w:i/>
          <w:iCs/>
          <w:color w:val="auto"/>
          <w:sz w:val="22"/>
          <w:szCs w:val="22"/>
        </w:rPr>
      </w:pPr>
      <w:r w:rsidRPr="005F26EA">
        <w:rPr>
          <w:i/>
          <w:iCs/>
          <w:color w:val="auto"/>
          <w:sz w:val="22"/>
          <w:szCs w:val="22"/>
        </w:rPr>
        <w:lastRenderedPageBreak/>
        <w:t>«TERCERO: CONDENAR a LA EQUIDAD SEGUROS GENERALES. a pagar a la parte demandante la suma de DOSCIENTOS VEINTISEIS MILLONES CUATROSCIENTOS OCHENTA Y SEIS MIL OCHOSCIENTOS DIECINUEVE PESOS ($226 486 819.), dentro de los quince (15) días calendario siguientes a la ejecutoria de esta decisión»</w:t>
      </w:r>
    </w:p>
    <w:p w14:paraId="57AED404" w14:textId="77777777" w:rsidR="00DE2628" w:rsidRPr="005F26EA" w:rsidRDefault="00DE2628" w:rsidP="00140B13">
      <w:pPr>
        <w:pStyle w:val="Default"/>
        <w:spacing w:line="360" w:lineRule="auto"/>
        <w:ind w:left="851" w:right="843" w:firstLine="565"/>
        <w:jc w:val="both"/>
        <w:rPr>
          <w:i/>
          <w:iCs/>
          <w:color w:val="auto"/>
          <w:sz w:val="22"/>
          <w:szCs w:val="22"/>
        </w:rPr>
      </w:pPr>
    </w:p>
    <w:p w14:paraId="1C0FF786" w14:textId="77777777" w:rsidR="00DE2628" w:rsidRPr="005F26EA" w:rsidRDefault="00DE2628" w:rsidP="00140B13">
      <w:pPr>
        <w:pStyle w:val="Default"/>
        <w:spacing w:line="360" w:lineRule="auto"/>
        <w:ind w:left="851" w:right="843" w:firstLine="565"/>
        <w:jc w:val="both"/>
        <w:rPr>
          <w:i/>
          <w:iCs/>
          <w:color w:val="auto"/>
          <w:sz w:val="22"/>
          <w:szCs w:val="22"/>
        </w:rPr>
      </w:pPr>
      <w:r w:rsidRPr="005F26EA">
        <w:rPr>
          <w:i/>
          <w:iCs/>
          <w:color w:val="auto"/>
          <w:sz w:val="22"/>
          <w:szCs w:val="22"/>
        </w:rPr>
        <w:t>En lo demás, se CONFIRMA, la providencia en cuestión.</w:t>
      </w:r>
    </w:p>
    <w:p w14:paraId="725AFB7D" w14:textId="77777777" w:rsidR="00DE2628" w:rsidRPr="005F26EA" w:rsidRDefault="00DE2628" w:rsidP="00140B13">
      <w:pPr>
        <w:pStyle w:val="Default"/>
        <w:spacing w:line="360" w:lineRule="auto"/>
        <w:ind w:left="851" w:right="843" w:firstLine="565"/>
        <w:jc w:val="both"/>
        <w:rPr>
          <w:i/>
          <w:iCs/>
          <w:color w:val="auto"/>
          <w:sz w:val="22"/>
          <w:szCs w:val="22"/>
        </w:rPr>
      </w:pPr>
    </w:p>
    <w:p w14:paraId="7072801B" w14:textId="493BE152" w:rsidR="005D4C89" w:rsidRPr="005F26EA" w:rsidRDefault="005D4C89" w:rsidP="00140B13">
      <w:pPr>
        <w:pStyle w:val="Default"/>
        <w:spacing w:line="360" w:lineRule="auto"/>
        <w:ind w:left="851" w:right="843" w:firstLine="565"/>
        <w:jc w:val="both"/>
        <w:rPr>
          <w:i/>
          <w:iCs/>
          <w:color w:val="auto"/>
          <w:sz w:val="22"/>
          <w:szCs w:val="22"/>
        </w:rPr>
      </w:pPr>
      <w:r w:rsidRPr="005F26EA">
        <w:rPr>
          <w:i/>
          <w:iCs/>
          <w:color w:val="auto"/>
          <w:sz w:val="22"/>
          <w:szCs w:val="22"/>
        </w:rPr>
        <w:t xml:space="preserve"> </w:t>
      </w:r>
      <w:r w:rsidR="00DE2628" w:rsidRPr="005F26EA">
        <w:rPr>
          <w:i/>
          <w:iCs/>
          <w:color w:val="auto"/>
          <w:sz w:val="22"/>
          <w:szCs w:val="22"/>
        </w:rPr>
        <w:t>Sin condena en costas para el recurrente por la prosperidad parcial de su moción.”</w:t>
      </w:r>
    </w:p>
    <w:p w14:paraId="73A98557" w14:textId="77777777" w:rsidR="005D4C89" w:rsidRPr="005F26EA" w:rsidRDefault="005D4C89" w:rsidP="00140B13">
      <w:pPr>
        <w:shd w:val="clear" w:color="auto" w:fill="FFFFFF"/>
        <w:spacing w:line="360" w:lineRule="auto"/>
        <w:ind w:right="843"/>
        <w:jc w:val="both"/>
        <w:textAlignment w:val="baseline"/>
        <w:rPr>
          <w:rFonts w:ascii="Arial" w:hAnsi="Arial" w:cs="Arial"/>
          <w:bdr w:val="none" w:sz="0" w:space="0" w:color="auto" w:frame="1"/>
          <w:lang w:eastAsia="es-MX"/>
        </w:rPr>
      </w:pPr>
    </w:p>
    <w:p w14:paraId="29A18030" w14:textId="01E86CD3" w:rsidR="005D4C89" w:rsidRPr="005F26EA" w:rsidRDefault="005D4C89" w:rsidP="00140B13">
      <w:pPr>
        <w:shd w:val="clear" w:color="auto" w:fill="FFFFFF"/>
        <w:spacing w:line="360" w:lineRule="auto"/>
        <w:ind w:right="-36"/>
        <w:jc w:val="both"/>
        <w:textAlignment w:val="baseline"/>
        <w:rPr>
          <w:rFonts w:ascii="Arial" w:hAnsi="Arial" w:cs="Arial"/>
          <w:bdr w:val="none" w:sz="0" w:space="0" w:color="auto" w:frame="1"/>
          <w:lang w:eastAsia="es-MX"/>
        </w:rPr>
      </w:pPr>
      <w:r w:rsidRPr="005F26EA">
        <w:rPr>
          <w:rFonts w:ascii="Arial" w:hAnsi="Arial" w:cs="Arial"/>
          <w:bdr w:val="none" w:sz="0" w:space="0" w:color="auto" w:frame="1"/>
          <w:lang w:eastAsia="es-MX"/>
        </w:rPr>
        <w:t xml:space="preserve">De acuerdo con lo anterior, </w:t>
      </w:r>
      <w:r w:rsidR="00DE2628" w:rsidRPr="005F26EA">
        <w:rPr>
          <w:rFonts w:ascii="Arial" w:hAnsi="Arial" w:cs="Arial"/>
          <w:bdr w:val="none" w:sz="0" w:space="0" w:color="auto" w:frame="1"/>
          <w:lang w:eastAsia="es-MX"/>
        </w:rPr>
        <w:t>EQUIDAD</w:t>
      </w:r>
      <w:r w:rsidRPr="005F26EA">
        <w:rPr>
          <w:rFonts w:ascii="Arial" w:hAnsi="Arial" w:cs="Arial"/>
          <w:bdr w:val="none" w:sz="0" w:space="0" w:color="auto" w:frame="1"/>
          <w:lang w:eastAsia="es-MX"/>
        </w:rPr>
        <w:t xml:space="preserve"> SEGUROS</w:t>
      </w:r>
      <w:r w:rsidR="00DE2628" w:rsidRPr="005F26EA">
        <w:rPr>
          <w:rFonts w:ascii="Arial" w:hAnsi="Arial" w:cs="Arial"/>
          <w:bdr w:val="none" w:sz="0" w:space="0" w:color="auto" w:frame="1"/>
          <w:lang w:eastAsia="es-MX"/>
        </w:rPr>
        <w:t xml:space="preserve"> GENERALES</w:t>
      </w:r>
      <w:r w:rsidRPr="005F26EA">
        <w:rPr>
          <w:rFonts w:ascii="Arial" w:hAnsi="Arial" w:cs="Arial"/>
          <w:bdr w:val="none" w:sz="0" w:space="0" w:color="auto" w:frame="1"/>
          <w:lang w:eastAsia="es-MX"/>
        </w:rPr>
        <w:t xml:space="preserve"> S.A. en estricto cumplimiento de lo dispuesto por la instancia judicial, ha procedido a efectuar el pago total correspondiente a la suma de </w:t>
      </w:r>
      <w:r w:rsidR="00DE2628" w:rsidRPr="005F26EA">
        <w:rPr>
          <w:rFonts w:ascii="Arial" w:hAnsi="Arial" w:cs="Arial"/>
          <w:bdr w:val="none" w:sz="0" w:space="0" w:color="auto" w:frame="1"/>
          <w:lang w:eastAsia="es-MX"/>
        </w:rPr>
        <w:t>DOSCIENTOS VEINTISEIS MILLONES CUATROSCIENTOS OCHENTA Y SEIS MIL OCHOSCIENTOS DIECINUEVE PESOS ($226 486 819.), previa solicitud de la</w:t>
      </w:r>
      <w:r w:rsidR="005F26EA" w:rsidRPr="005F26EA">
        <w:rPr>
          <w:rFonts w:ascii="Arial" w:hAnsi="Arial" w:cs="Arial"/>
          <w:bdr w:val="none" w:sz="0" w:space="0" w:color="auto" w:frame="1"/>
          <w:lang w:eastAsia="es-MX"/>
        </w:rPr>
        <w:t xml:space="preserve"> certificación de la cuenta bancaria a</w:t>
      </w:r>
      <w:r w:rsidR="00DE2628" w:rsidRPr="005F26EA">
        <w:rPr>
          <w:rFonts w:ascii="Arial" w:hAnsi="Arial" w:cs="Arial"/>
          <w:bdr w:val="none" w:sz="0" w:space="0" w:color="auto" w:frame="1"/>
          <w:lang w:eastAsia="es-MX"/>
        </w:rPr>
        <w:t xml:space="preserve"> la parte accionante. </w:t>
      </w:r>
      <w:r w:rsidRPr="005F26EA">
        <w:rPr>
          <w:rFonts w:ascii="Arial" w:hAnsi="Arial" w:cs="Arial"/>
          <w:bdr w:val="none" w:sz="0" w:space="0" w:color="auto" w:frame="1"/>
          <w:lang w:eastAsia="es-MX"/>
        </w:rPr>
        <w:t>En este sentido, por medio del presente escrito, me permito informar con el debido respeto a</w:t>
      </w:r>
      <w:r w:rsidR="00DE2628" w:rsidRPr="005F26EA">
        <w:rPr>
          <w:rFonts w:ascii="Arial" w:hAnsi="Arial" w:cs="Arial"/>
          <w:bdr w:val="none" w:sz="0" w:space="0" w:color="auto" w:frame="1"/>
          <w:lang w:eastAsia="es-MX"/>
        </w:rPr>
        <w:t xml:space="preserve"> </w:t>
      </w:r>
      <w:r w:rsidRPr="005F26EA">
        <w:rPr>
          <w:rFonts w:ascii="Arial" w:hAnsi="Arial" w:cs="Arial"/>
          <w:bdr w:val="none" w:sz="0" w:space="0" w:color="auto" w:frame="1"/>
          <w:lang w:eastAsia="es-MX"/>
        </w:rPr>
        <w:t>l</w:t>
      </w:r>
      <w:r w:rsidR="00DE2628" w:rsidRPr="005F26EA">
        <w:rPr>
          <w:rFonts w:ascii="Arial" w:hAnsi="Arial" w:cs="Arial"/>
          <w:bdr w:val="none" w:sz="0" w:space="0" w:color="auto" w:frame="1"/>
          <w:lang w:eastAsia="es-MX"/>
        </w:rPr>
        <w:t>a</w:t>
      </w:r>
      <w:r w:rsidRPr="005F26EA">
        <w:rPr>
          <w:rFonts w:ascii="Arial" w:hAnsi="Arial" w:cs="Arial"/>
          <w:bdr w:val="none" w:sz="0" w:space="0" w:color="auto" w:frame="1"/>
          <w:lang w:eastAsia="es-MX"/>
        </w:rPr>
        <w:t xml:space="preserve"> Honorable De</w:t>
      </w:r>
      <w:r w:rsidR="00DE2628" w:rsidRPr="005F26EA">
        <w:rPr>
          <w:rFonts w:ascii="Arial" w:hAnsi="Arial" w:cs="Arial"/>
          <w:bdr w:val="none" w:sz="0" w:space="0" w:color="auto" w:frame="1"/>
          <w:lang w:eastAsia="es-MX"/>
        </w:rPr>
        <w:t>legatura</w:t>
      </w:r>
      <w:r w:rsidRPr="005F26EA">
        <w:rPr>
          <w:rFonts w:ascii="Arial" w:hAnsi="Arial" w:cs="Arial"/>
          <w:bdr w:val="none" w:sz="0" w:space="0" w:color="auto" w:frame="1"/>
          <w:lang w:eastAsia="es-MX"/>
        </w:rPr>
        <w:t xml:space="preserve"> que, de acuerdo con lo estipulado en la sentencia de segunda instancia emitida en el marco del proceso verbal de responsabilidad civil, se realizó </w:t>
      </w:r>
      <w:r w:rsidR="005F26EA" w:rsidRPr="005F26EA">
        <w:rPr>
          <w:rFonts w:ascii="Arial" w:hAnsi="Arial" w:cs="Arial"/>
          <w:bdr w:val="none" w:sz="0" w:space="0" w:color="auto" w:frame="1"/>
          <w:lang w:eastAsia="es-MX"/>
        </w:rPr>
        <w:t>pago</w:t>
      </w:r>
      <w:r w:rsidRPr="005F26EA">
        <w:rPr>
          <w:rFonts w:ascii="Arial" w:hAnsi="Arial" w:cs="Arial"/>
          <w:bdr w:val="none" w:sz="0" w:space="0" w:color="auto" w:frame="1"/>
          <w:lang w:eastAsia="es-MX"/>
        </w:rPr>
        <w:t xml:space="preserve"> el día </w:t>
      </w:r>
      <w:r w:rsidR="005F26EA" w:rsidRPr="005F26EA">
        <w:rPr>
          <w:rFonts w:ascii="Arial" w:hAnsi="Arial" w:cs="Arial"/>
          <w:bdr w:val="none" w:sz="0" w:space="0" w:color="auto" w:frame="1"/>
          <w:lang w:eastAsia="es-MX"/>
        </w:rPr>
        <w:t>15 de agosto</w:t>
      </w:r>
      <w:r w:rsidRPr="005F26EA">
        <w:rPr>
          <w:rFonts w:ascii="Arial" w:hAnsi="Arial" w:cs="Arial"/>
          <w:bdr w:val="none" w:sz="0" w:space="0" w:color="auto" w:frame="1"/>
          <w:lang w:eastAsia="es-MX"/>
        </w:rPr>
        <w:t xml:space="preserve"> de 2025 en la cuenta designada del Banco </w:t>
      </w:r>
      <w:r w:rsidR="005F26EA" w:rsidRPr="005F26EA">
        <w:rPr>
          <w:rFonts w:ascii="Arial" w:hAnsi="Arial" w:cs="Arial"/>
          <w:bdr w:val="none" w:sz="0" w:space="0" w:color="auto" w:frame="1"/>
          <w:lang w:eastAsia="es-MX"/>
        </w:rPr>
        <w:t>Caja Social</w:t>
      </w:r>
      <w:r w:rsidRPr="005F26EA">
        <w:rPr>
          <w:rFonts w:ascii="Arial" w:hAnsi="Arial" w:cs="Arial"/>
          <w:bdr w:val="none" w:sz="0" w:space="0" w:color="auto" w:frame="1"/>
          <w:lang w:eastAsia="es-MX"/>
        </w:rPr>
        <w:t>, perteneciente a</w:t>
      </w:r>
      <w:r w:rsidR="005F26EA" w:rsidRPr="005F26EA">
        <w:rPr>
          <w:rFonts w:ascii="Arial" w:hAnsi="Arial" w:cs="Arial"/>
          <w:bdr w:val="none" w:sz="0" w:space="0" w:color="auto" w:frame="1"/>
          <w:lang w:eastAsia="es-MX"/>
        </w:rPr>
        <w:t xml:space="preserve"> ELIECER RIAÑO CONSTRUCCIONES Y SERVICIOS</w:t>
      </w:r>
      <w:r w:rsidRPr="005F26EA">
        <w:rPr>
          <w:rFonts w:ascii="Arial" w:hAnsi="Arial" w:cs="Arial"/>
          <w:bdr w:val="none" w:sz="0" w:space="0" w:color="auto" w:frame="1"/>
          <w:lang w:eastAsia="es-MX"/>
        </w:rPr>
        <w:t xml:space="preserve"> por el monto previamente mencionado, tal como se verifica en la documentación adjunta:</w:t>
      </w:r>
    </w:p>
    <w:p w14:paraId="33BF84FC" w14:textId="77777777" w:rsidR="005D4C89" w:rsidRPr="005F26EA" w:rsidRDefault="005D4C89" w:rsidP="00140B13">
      <w:pPr>
        <w:shd w:val="clear" w:color="auto" w:fill="FFFFFF"/>
        <w:spacing w:line="360" w:lineRule="auto"/>
        <w:jc w:val="both"/>
        <w:textAlignment w:val="baseline"/>
        <w:rPr>
          <w:rFonts w:ascii="Arial" w:hAnsi="Arial" w:cs="Arial"/>
          <w:bdr w:val="none" w:sz="0" w:space="0" w:color="auto" w:frame="1"/>
          <w:lang w:eastAsia="es-MX"/>
        </w:rPr>
      </w:pPr>
    </w:p>
    <w:p w14:paraId="555D7F54" w14:textId="2B732767" w:rsidR="005D4C89" w:rsidRPr="005F26EA" w:rsidRDefault="005F26EA" w:rsidP="00140B13">
      <w:pPr>
        <w:shd w:val="clear" w:color="auto" w:fill="FFFFFF"/>
        <w:spacing w:line="360" w:lineRule="auto"/>
        <w:jc w:val="center"/>
        <w:textAlignment w:val="baseline"/>
        <w:rPr>
          <w:rFonts w:ascii="Arial" w:hAnsi="Arial" w:cs="Arial"/>
          <w:bdr w:val="none" w:sz="0" w:space="0" w:color="auto" w:frame="1"/>
          <w:lang w:eastAsia="es-MX"/>
        </w:rPr>
      </w:pPr>
      <w:r w:rsidRPr="005F26EA">
        <w:rPr>
          <w:rFonts w:ascii="Arial" w:hAnsi="Arial" w:cs="Arial"/>
          <w:noProof/>
          <w:bdr w:val="none" w:sz="0" w:space="0" w:color="auto" w:frame="1"/>
          <w:lang w:eastAsia="es-MX"/>
        </w:rPr>
        <w:drawing>
          <wp:inline distT="0" distB="0" distL="0" distR="0" wp14:anchorId="7BBB54C9" wp14:editId="4D0405E3">
            <wp:extent cx="6548120" cy="2390140"/>
            <wp:effectExtent l="152400" t="152400" r="367030" b="3530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48120" cy="2390140"/>
                    </a:xfrm>
                    <a:prstGeom prst="rect">
                      <a:avLst/>
                    </a:prstGeom>
                    <a:ln>
                      <a:noFill/>
                    </a:ln>
                    <a:effectLst>
                      <a:outerShdw blurRad="292100" dist="139700" dir="2700000" algn="tl" rotWithShape="0">
                        <a:srgbClr val="333333">
                          <a:alpha val="65000"/>
                        </a:srgbClr>
                      </a:outerShdw>
                    </a:effectLst>
                  </pic:spPr>
                </pic:pic>
              </a:graphicData>
            </a:graphic>
          </wp:inline>
        </w:drawing>
      </w:r>
    </w:p>
    <w:p w14:paraId="7EEA93CD" w14:textId="77777777" w:rsidR="005D4C89" w:rsidRPr="005F26EA" w:rsidRDefault="005D4C89" w:rsidP="00140B13">
      <w:pPr>
        <w:shd w:val="clear" w:color="auto" w:fill="FFFFFF"/>
        <w:spacing w:line="360" w:lineRule="auto"/>
        <w:jc w:val="both"/>
        <w:textAlignment w:val="baseline"/>
        <w:rPr>
          <w:rFonts w:ascii="Arial" w:hAnsi="Arial" w:cs="Arial"/>
        </w:rPr>
      </w:pPr>
    </w:p>
    <w:p w14:paraId="08351AF5" w14:textId="77777777" w:rsidR="005D4C89" w:rsidRPr="005F26EA" w:rsidRDefault="005D4C89" w:rsidP="00140B13">
      <w:pPr>
        <w:shd w:val="clear" w:color="auto" w:fill="FFFFFF"/>
        <w:spacing w:line="360" w:lineRule="auto"/>
        <w:jc w:val="both"/>
        <w:textAlignment w:val="baseline"/>
        <w:rPr>
          <w:rFonts w:ascii="Arial" w:hAnsi="Arial" w:cs="Arial"/>
          <w:bdr w:val="none" w:sz="0" w:space="0" w:color="auto" w:frame="1"/>
          <w:lang w:eastAsia="es-MX"/>
        </w:rPr>
      </w:pPr>
      <w:r w:rsidRPr="005F26EA">
        <w:rPr>
          <w:rFonts w:ascii="Arial" w:hAnsi="Arial" w:cs="Arial"/>
        </w:rPr>
        <w:lastRenderedPageBreak/>
        <w:t xml:space="preserve">En consideración a lo anterior, mi representada cumplió con la carga que le correspondía y, </w:t>
      </w:r>
      <w:r w:rsidRPr="005F26EA">
        <w:rPr>
          <w:rFonts w:ascii="Arial" w:hAnsi="Arial" w:cs="Arial"/>
          <w:bdr w:val="none" w:sz="0" w:space="0" w:color="auto" w:frame="1"/>
          <w:lang w:eastAsia="es-MX"/>
        </w:rPr>
        <w:t xml:space="preserve">al haber cumplido, se solicita se ordene archivar el expediente. </w:t>
      </w:r>
    </w:p>
    <w:p w14:paraId="7857E9AA" w14:textId="77777777" w:rsidR="005D4C89" w:rsidRPr="005F26EA" w:rsidRDefault="005D4C89" w:rsidP="00140B13">
      <w:pPr>
        <w:shd w:val="clear" w:color="auto" w:fill="FFFFFF"/>
        <w:spacing w:line="360" w:lineRule="auto"/>
        <w:jc w:val="both"/>
        <w:textAlignment w:val="baseline"/>
        <w:rPr>
          <w:rFonts w:ascii="Arial" w:hAnsi="Arial" w:cs="Arial"/>
          <w:bdr w:val="none" w:sz="0" w:space="0" w:color="auto" w:frame="1"/>
          <w:lang w:eastAsia="es-MX"/>
        </w:rPr>
      </w:pPr>
    </w:p>
    <w:p w14:paraId="5FAC1598" w14:textId="77777777" w:rsidR="005D4C89" w:rsidRPr="005F26EA" w:rsidRDefault="005D4C89" w:rsidP="00140B13">
      <w:pPr>
        <w:shd w:val="clear" w:color="auto" w:fill="FFFFFF"/>
        <w:spacing w:line="360" w:lineRule="auto"/>
        <w:jc w:val="both"/>
        <w:textAlignment w:val="baseline"/>
        <w:rPr>
          <w:rFonts w:ascii="Arial" w:hAnsi="Arial" w:cs="Arial"/>
          <w:lang w:eastAsia="es-MX"/>
        </w:rPr>
      </w:pPr>
      <w:r w:rsidRPr="005F26EA">
        <w:rPr>
          <w:rFonts w:ascii="Arial" w:hAnsi="Arial" w:cs="Arial"/>
          <w:bdr w:val="none" w:sz="0" w:space="0" w:color="auto" w:frame="1"/>
          <w:lang w:eastAsia="es-MX"/>
        </w:rPr>
        <w:t>Se anexa archivo en formato PDF con el soporte.</w:t>
      </w:r>
    </w:p>
    <w:p w14:paraId="67C5455A" w14:textId="77777777" w:rsidR="005D4C89" w:rsidRPr="005F26EA" w:rsidRDefault="005D4C89" w:rsidP="00140B13">
      <w:pPr>
        <w:spacing w:line="360" w:lineRule="auto"/>
        <w:jc w:val="both"/>
        <w:rPr>
          <w:rFonts w:ascii="Arial" w:hAnsi="Arial" w:cs="Arial"/>
          <w:bdr w:val="none" w:sz="0" w:space="0" w:color="auto" w:frame="1"/>
          <w:lang w:eastAsia="es-MX"/>
        </w:rPr>
      </w:pPr>
    </w:p>
    <w:p w14:paraId="1602856F" w14:textId="77777777" w:rsidR="005D4C89" w:rsidRPr="005F26EA" w:rsidRDefault="005D4C89" w:rsidP="00140B13">
      <w:pPr>
        <w:spacing w:line="360" w:lineRule="auto"/>
        <w:jc w:val="both"/>
        <w:rPr>
          <w:rFonts w:ascii="Arial" w:hAnsi="Arial" w:cs="Arial"/>
          <w:b/>
        </w:rPr>
      </w:pPr>
      <w:r w:rsidRPr="005F26EA">
        <w:rPr>
          <w:rFonts w:ascii="Arial" w:hAnsi="Arial" w:cs="Arial"/>
        </w:rPr>
        <w:t>Respetuosamente,</w:t>
      </w:r>
    </w:p>
    <w:p w14:paraId="79C5B0D6" w14:textId="77777777" w:rsidR="005D4C89" w:rsidRPr="005F26EA" w:rsidRDefault="005D4C89" w:rsidP="00140B13">
      <w:pPr>
        <w:pStyle w:val="NormalWeb"/>
        <w:spacing w:line="360" w:lineRule="auto"/>
        <w:jc w:val="both"/>
        <w:rPr>
          <w:rFonts w:ascii="Arial" w:hAnsi="Arial" w:cs="Arial"/>
          <w:b/>
          <w:sz w:val="22"/>
          <w:szCs w:val="22"/>
        </w:rPr>
      </w:pPr>
      <w:r w:rsidRPr="005F26EA">
        <w:rPr>
          <w:rFonts w:ascii="Arial" w:hAnsi="Arial" w:cs="Arial"/>
          <w:noProof/>
          <w:sz w:val="22"/>
          <w:szCs w:val="22"/>
          <w:lang w:eastAsia="es-CO"/>
        </w:rPr>
        <w:drawing>
          <wp:anchor distT="0" distB="0" distL="114300" distR="114300" simplePos="0" relativeHeight="251659264" behindDoc="1" locked="0" layoutInCell="1" allowOverlap="1" wp14:anchorId="531FDC07" wp14:editId="0848CCD7">
            <wp:simplePos x="0" y="0"/>
            <wp:positionH relativeFrom="margin">
              <wp:posOffset>46517</wp:posOffset>
            </wp:positionH>
            <wp:positionV relativeFrom="paragraph">
              <wp:posOffset>7250</wp:posOffset>
            </wp:positionV>
            <wp:extent cx="2276475" cy="885825"/>
            <wp:effectExtent l="0" t="0" r="9525" b="9525"/>
            <wp:wrapNone/>
            <wp:docPr id="1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7.png" descr="Texto, Pizarra&#10;&#10;Descripción generada automáticamente"/>
                    <pic:cNvPicPr preferRelativeResize="0"/>
                  </pic:nvPicPr>
                  <pic:blipFill>
                    <a:blip r:embed="rId9"/>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01E06D1" w14:textId="77777777" w:rsidR="005D4C89" w:rsidRPr="005F26EA" w:rsidRDefault="005D4C89" w:rsidP="00140B13">
      <w:pPr>
        <w:pStyle w:val="NormalWeb"/>
        <w:spacing w:line="360" w:lineRule="auto"/>
        <w:jc w:val="both"/>
        <w:rPr>
          <w:rFonts w:ascii="Arial" w:hAnsi="Arial" w:cs="Arial"/>
          <w:b/>
          <w:sz w:val="22"/>
          <w:szCs w:val="22"/>
        </w:rPr>
      </w:pPr>
    </w:p>
    <w:p w14:paraId="0AF84A2F" w14:textId="77777777" w:rsidR="005D4C89" w:rsidRPr="005F26EA" w:rsidRDefault="005D4C89" w:rsidP="00140B13">
      <w:pPr>
        <w:pStyle w:val="NormalWeb"/>
        <w:spacing w:line="360" w:lineRule="auto"/>
        <w:jc w:val="both"/>
        <w:rPr>
          <w:rFonts w:ascii="Arial" w:hAnsi="Arial" w:cs="Arial"/>
          <w:b/>
          <w:sz w:val="22"/>
          <w:szCs w:val="22"/>
        </w:rPr>
      </w:pPr>
      <w:r w:rsidRPr="005F26EA">
        <w:rPr>
          <w:rFonts w:ascii="Arial" w:hAnsi="Arial" w:cs="Arial"/>
          <w:b/>
          <w:sz w:val="22"/>
          <w:szCs w:val="22"/>
        </w:rPr>
        <w:t xml:space="preserve">GUSTAVO ALBERTO HERRERA ÁVILA </w:t>
      </w:r>
    </w:p>
    <w:p w14:paraId="7242A0C6" w14:textId="77777777" w:rsidR="005D4C89" w:rsidRPr="005F26EA" w:rsidRDefault="005D4C89" w:rsidP="00140B13">
      <w:pPr>
        <w:pStyle w:val="NormalWeb"/>
        <w:spacing w:line="360" w:lineRule="auto"/>
        <w:jc w:val="both"/>
        <w:rPr>
          <w:rFonts w:ascii="Arial" w:hAnsi="Arial" w:cs="Arial"/>
          <w:sz w:val="22"/>
          <w:szCs w:val="22"/>
        </w:rPr>
      </w:pPr>
      <w:r w:rsidRPr="005F26EA">
        <w:rPr>
          <w:rFonts w:ascii="Arial" w:hAnsi="Arial" w:cs="Arial"/>
          <w:sz w:val="22"/>
          <w:szCs w:val="22"/>
        </w:rPr>
        <w:t>C.C. No 19.395.114 de Bogotá D.C.</w:t>
      </w:r>
    </w:p>
    <w:p w14:paraId="011EB283" w14:textId="77777777" w:rsidR="005D4C89" w:rsidRPr="005F26EA" w:rsidRDefault="005D4C89" w:rsidP="00140B13">
      <w:pPr>
        <w:spacing w:line="360" w:lineRule="auto"/>
        <w:jc w:val="both"/>
        <w:rPr>
          <w:rFonts w:ascii="Arial" w:hAnsi="Arial" w:cs="Arial"/>
        </w:rPr>
      </w:pPr>
      <w:r w:rsidRPr="005F26EA">
        <w:rPr>
          <w:rFonts w:ascii="Arial" w:hAnsi="Arial" w:cs="Arial"/>
        </w:rPr>
        <w:t>T.P. No. 39.116 del C.S. de la J.</w:t>
      </w:r>
      <w:bookmarkEnd w:id="0"/>
    </w:p>
    <w:p w14:paraId="01BF8BAC" w14:textId="77777777" w:rsidR="00F871E3" w:rsidRPr="005D4C89" w:rsidRDefault="00F871E3" w:rsidP="00140B13">
      <w:pPr>
        <w:spacing w:line="360" w:lineRule="auto"/>
        <w:rPr>
          <w:color w:val="FF0000"/>
        </w:rPr>
      </w:pPr>
    </w:p>
    <w:sectPr w:rsidR="00F871E3" w:rsidRPr="005D4C89" w:rsidSect="00457E6B">
      <w:headerReference w:type="default" r:id="rId10"/>
      <w:footerReference w:type="default" r:id="rId11"/>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1A19" w14:textId="77777777" w:rsidR="00F21AA0" w:rsidRDefault="00F21AA0" w:rsidP="0025591F">
      <w:r>
        <w:separator/>
      </w:r>
    </w:p>
  </w:endnote>
  <w:endnote w:type="continuationSeparator" w:id="0">
    <w:p w14:paraId="1BF3ABFE" w14:textId="77777777" w:rsidR="00F21AA0" w:rsidRDefault="00F21AA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8C63"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7FBE7D00" wp14:editId="49CE5605">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B7978"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E7D00"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1C6B7978"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0BC6E2C0" wp14:editId="67F58690">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1381F99" wp14:editId="71210FE3">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08E61"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81F99"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73C08E61"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7807" w14:textId="77777777" w:rsidR="00F21AA0" w:rsidRDefault="00F21AA0" w:rsidP="0025591F">
      <w:r>
        <w:separator/>
      </w:r>
    </w:p>
  </w:footnote>
  <w:footnote w:type="continuationSeparator" w:id="0">
    <w:p w14:paraId="03E9A04F" w14:textId="77777777" w:rsidR="00F21AA0" w:rsidRDefault="00F21AA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423D" w14:textId="77777777" w:rsidR="00FA4FFB" w:rsidRDefault="00957ECF">
    <w:pPr>
      <w:pStyle w:val="Encabezado"/>
    </w:pPr>
    <w:r>
      <w:rPr>
        <w:noProof/>
      </w:rPr>
      <w:drawing>
        <wp:anchor distT="0" distB="0" distL="114300" distR="114300" simplePos="0" relativeHeight="251666432" behindDoc="0" locked="0" layoutInCell="1" allowOverlap="1" wp14:anchorId="64041BF2" wp14:editId="0CB10FF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6EB"/>
    <w:multiLevelType w:val="hybridMultilevel"/>
    <w:tmpl w:val="1368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5F2249"/>
    <w:multiLevelType w:val="hybridMultilevel"/>
    <w:tmpl w:val="E32C9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50F2564"/>
    <w:multiLevelType w:val="hybridMultilevel"/>
    <w:tmpl w:val="6F0A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FE110B"/>
    <w:multiLevelType w:val="hybridMultilevel"/>
    <w:tmpl w:val="B5E0D082"/>
    <w:lvl w:ilvl="0" w:tplc="89063BFA">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204A7B04"/>
    <w:multiLevelType w:val="multilevel"/>
    <w:tmpl w:val="597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3C0D0C"/>
    <w:multiLevelType w:val="hybridMultilevel"/>
    <w:tmpl w:val="D1E85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773323"/>
    <w:multiLevelType w:val="hybridMultilevel"/>
    <w:tmpl w:val="8BB41C0E"/>
    <w:lvl w:ilvl="0" w:tplc="20000E6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E783714"/>
    <w:multiLevelType w:val="hybridMultilevel"/>
    <w:tmpl w:val="64F81356"/>
    <w:lvl w:ilvl="0" w:tplc="89063BF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5953384"/>
    <w:multiLevelType w:val="hybridMultilevel"/>
    <w:tmpl w:val="BF82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ED40AB"/>
    <w:multiLevelType w:val="hybridMultilevel"/>
    <w:tmpl w:val="266A03B4"/>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48930423"/>
    <w:multiLevelType w:val="hybridMultilevel"/>
    <w:tmpl w:val="9F26E51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2" w15:restartNumberingAfterBreak="0">
    <w:nsid w:val="54B85FD9"/>
    <w:multiLevelType w:val="hybridMultilevel"/>
    <w:tmpl w:val="C4F478C4"/>
    <w:lvl w:ilvl="0" w:tplc="240A000B">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3" w15:restartNumberingAfterBreak="0">
    <w:nsid w:val="5D246C4A"/>
    <w:multiLevelType w:val="hybridMultilevel"/>
    <w:tmpl w:val="9FEEE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824862"/>
    <w:multiLevelType w:val="hybridMultilevel"/>
    <w:tmpl w:val="3C18DC60"/>
    <w:lvl w:ilvl="0" w:tplc="2AB4AF1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5" w15:restartNumberingAfterBreak="0">
    <w:nsid w:val="7E2E0426"/>
    <w:multiLevelType w:val="multilevel"/>
    <w:tmpl w:val="22742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5"/>
  </w:num>
  <w:num w:numId="3">
    <w:abstractNumId w:val="3"/>
  </w:num>
  <w:num w:numId="4">
    <w:abstractNumId w:val="2"/>
  </w:num>
  <w:num w:numId="5">
    <w:abstractNumId w:val="4"/>
  </w:num>
  <w:num w:numId="6">
    <w:abstractNumId w:val="6"/>
  </w:num>
  <w:num w:numId="7">
    <w:abstractNumId w:val="7"/>
  </w:num>
  <w:num w:numId="8">
    <w:abstractNumId w:val="8"/>
  </w:num>
  <w:num w:numId="9">
    <w:abstractNumId w:val="5"/>
  </w:num>
  <w:num w:numId="10">
    <w:abstractNumId w:val="12"/>
  </w:num>
  <w:num w:numId="11">
    <w:abstractNumId w:val="10"/>
  </w:num>
  <w:num w:numId="12">
    <w:abstractNumId w:val="11"/>
  </w:num>
  <w:num w:numId="13">
    <w:abstractNumId w:val="9"/>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95E56"/>
    <w:rsid w:val="000B00A8"/>
    <w:rsid w:val="000C2815"/>
    <w:rsid w:val="00131B8E"/>
    <w:rsid w:val="00140B13"/>
    <w:rsid w:val="001925A0"/>
    <w:rsid w:val="00194DAC"/>
    <w:rsid w:val="001977BB"/>
    <w:rsid w:val="001D6015"/>
    <w:rsid w:val="001F7FE8"/>
    <w:rsid w:val="00234F3F"/>
    <w:rsid w:val="00254E27"/>
    <w:rsid w:val="0025591F"/>
    <w:rsid w:val="00267DDC"/>
    <w:rsid w:val="00281D90"/>
    <w:rsid w:val="00294CC7"/>
    <w:rsid w:val="002B5E76"/>
    <w:rsid w:val="002C38D2"/>
    <w:rsid w:val="003141B0"/>
    <w:rsid w:val="0037043E"/>
    <w:rsid w:val="00374FB5"/>
    <w:rsid w:val="00375AFE"/>
    <w:rsid w:val="00395D72"/>
    <w:rsid w:val="003A306A"/>
    <w:rsid w:val="003C5BCE"/>
    <w:rsid w:val="003D2930"/>
    <w:rsid w:val="003F26B0"/>
    <w:rsid w:val="00416F84"/>
    <w:rsid w:val="0042497F"/>
    <w:rsid w:val="00424DB6"/>
    <w:rsid w:val="00457E6B"/>
    <w:rsid w:val="00470810"/>
    <w:rsid w:val="0048616E"/>
    <w:rsid w:val="004A356B"/>
    <w:rsid w:val="004C01CE"/>
    <w:rsid w:val="004C5D8B"/>
    <w:rsid w:val="00505F3C"/>
    <w:rsid w:val="00543F6F"/>
    <w:rsid w:val="0057143F"/>
    <w:rsid w:val="00594D47"/>
    <w:rsid w:val="005A0A03"/>
    <w:rsid w:val="005A27BB"/>
    <w:rsid w:val="005A3F2C"/>
    <w:rsid w:val="005C5EE0"/>
    <w:rsid w:val="005D4C89"/>
    <w:rsid w:val="005D7117"/>
    <w:rsid w:val="005F26EA"/>
    <w:rsid w:val="00624BC9"/>
    <w:rsid w:val="00637020"/>
    <w:rsid w:val="006459E7"/>
    <w:rsid w:val="00654782"/>
    <w:rsid w:val="00672FA0"/>
    <w:rsid w:val="00692283"/>
    <w:rsid w:val="006A0FDA"/>
    <w:rsid w:val="006A68EE"/>
    <w:rsid w:val="006B3568"/>
    <w:rsid w:val="006C3935"/>
    <w:rsid w:val="006E7F45"/>
    <w:rsid w:val="006F3F7B"/>
    <w:rsid w:val="00762B3A"/>
    <w:rsid w:val="0077451A"/>
    <w:rsid w:val="00783103"/>
    <w:rsid w:val="00793C8E"/>
    <w:rsid w:val="007C1A65"/>
    <w:rsid w:val="007F632D"/>
    <w:rsid w:val="007F6A39"/>
    <w:rsid w:val="008830A7"/>
    <w:rsid w:val="008A3EE5"/>
    <w:rsid w:val="008D5B3A"/>
    <w:rsid w:val="008E4E08"/>
    <w:rsid w:val="008F01B3"/>
    <w:rsid w:val="008F1E2F"/>
    <w:rsid w:val="00934146"/>
    <w:rsid w:val="00957ECF"/>
    <w:rsid w:val="009928FD"/>
    <w:rsid w:val="00997C0E"/>
    <w:rsid w:val="009F14A7"/>
    <w:rsid w:val="00A45CAB"/>
    <w:rsid w:val="00A7220B"/>
    <w:rsid w:val="00A877E6"/>
    <w:rsid w:val="00AA15B1"/>
    <w:rsid w:val="00AB3A2C"/>
    <w:rsid w:val="00AD03AA"/>
    <w:rsid w:val="00AE19CE"/>
    <w:rsid w:val="00B20189"/>
    <w:rsid w:val="00B54DCC"/>
    <w:rsid w:val="00B56807"/>
    <w:rsid w:val="00B90EDF"/>
    <w:rsid w:val="00B9473D"/>
    <w:rsid w:val="00BA33E1"/>
    <w:rsid w:val="00BB7105"/>
    <w:rsid w:val="00BD192A"/>
    <w:rsid w:val="00BE6214"/>
    <w:rsid w:val="00BF1A90"/>
    <w:rsid w:val="00C254FB"/>
    <w:rsid w:val="00C53500"/>
    <w:rsid w:val="00C70FF5"/>
    <w:rsid w:val="00CD3B19"/>
    <w:rsid w:val="00D14109"/>
    <w:rsid w:val="00D23A48"/>
    <w:rsid w:val="00DB34C9"/>
    <w:rsid w:val="00DE2628"/>
    <w:rsid w:val="00DF71AF"/>
    <w:rsid w:val="00E034A7"/>
    <w:rsid w:val="00E23DED"/>
    <w:rsid w:val="00E43BA7"/>
    <w:rsid w:val="00E63CC0"/>
    <w:rsid w:val="00EB06B6"/>
    <w:rsid w:val="00EC2B3D"/>
    <w:rsid w:val="00EC434B"/>
    <w:rsid w:val="00EE40E3"/>
    <w:rsid w:val="00EE6FD8"/>
    <w:rsid w:val="00F21AA0"/>
    <w:rsid w:val="00F47664"/>
    <w:rsid w:val="00F871E3"/>
    <w:rsid w:val="00F95354"/>
    <w:rsid w:val="00FA146F"/>
    <w:rsid w:val="00FA4FFB"/>
    <w:rsid w:val="00FC435D"/>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5872"/>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F871E3"/>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NormalWeb">
    <w:name w:val="Normal (Web)"/>
    <w:basedOn w:val="Normal"/>
    <w:uiPriority w:val="99"/>
    <w:unhideWhenUsed/>
    <w:rsid w:val="005D4C89"/>
    <w:pPr>
      <w:widowControl/>
      <w:autoSpaceDE/>
      <w:autoSpaceDN/>
    </w:pPr>
    <w:rPr>
      <w:rFonts w:ascii="Times New Roman" w:eastAsia="Times New Roman" w:hAnsi="Times New Roman" w:cs="Times New Roman"/>
      <w:sz w:val="24"/>
      <w:szCs w:val="24"/>
      <w:lang w:val="es-CO" w:eastAsia="es-ES_tradnl"/>
    </w:rPr>
  </w:style>
  <w:style w:type="paragraph" w:customStyle="1" w:styleId="Default">
    <w:name w:val="Default"/>
    <w:rsid w:val="005D4C89"/>
    <w:pPr>
      <w:autoSpaceDE w:val="0"/>
      <w:autoSpaceDN w:val="0"/>
      <w:adjustRightInd w:val="0"/>
      <w:spacing w:after="0" w:line="240" w:lineRule="auto"/>
    </w:pPr>
    <w:rPr>
      <w:rFonts w:ascii="Arial" w:hAnsi="Arial" w:cs="Arial"/>
      <w:color w:val="000000"/>
      <w:sz w:val="24"/>
      <w:szCs w:val="24"/>
    </w:rPr>
  </w:style>
  <w:style w:type="character" w:customStyle="1" w:styleId="markb5wjzuuvg">
    <w:name w:val="markb5wjzuuvg"/>
    <w:basedOn w:val="Fuentedeprrafopredeter"/>
    <w:rsid w:val="004C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4</cp:revision>
  <cp:lastPrinted>2025-08-22T21:05:00Z</cp:lastPrinted>
  <dcterms:created xsi:type="dcterms:W3CDTF">2025-08-22T15:12:00Z</dcterms:created>
  <dcterms:modified xsi:type="dcterms:W3CDTF">2025-08-22T21:05:00Z</dcterms:modified>
</cp:coreProperties>
</file>