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DAE4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REPÚBLICA DE COLOMBIA</w:t>
      </w:r>
    </w:p>
    <w:p w14:paraId="28760C42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RAMA JUDICIAL DEL PODER PÚBLICO</w:t>
      </w:r>
    </w:p>
    <w:p w14:paraId="53C118FE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JUZGADO CUARENTA Y NUEVE CIVIL DEL CIRCUITO</w:t>
      </w:r>
    </w:p>
    <w:p w14:paraId="31E89A05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Bogotá D.C., diecinueve (19) de abril de dos mil veinticuatro (2024)</w:t>
      </w:r>
    </w:p>
    <w:p w14:paraId="77DD665C" w14:textId="77777777" w:rsidR="001B3370" w:rsidRDefault="001B3370" w:rsidP="005E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  <w:lang w:val="es-CO"/>
        </w:rPr>
      </w:pPr>
    </w:p>
    <w:p w14:paraId="4369922D" w14:textId="470076E1" w:rsidR="005E2892" w:rsidRDefault="005E2892" w:rsidP="001B33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RADICADO: 11001-31-03-049-</w:t>
      </w: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2024-00126</w:t>
      </w:r>
      <w:r>
        <w:rPr>
          <w:rFonts w:ascii="Arial" w:hAnsi="Arial" w:cs="Arial"/>
          <w:kern w:val="0"/>
          <w:sz w:val="25"/>
          <w:szCs w:val="25"/>
          <w:lang w:val="es-CO"/>
        </w:rPr>
        <w:t>-00</w:t>
      </w:r>
    </w:p>
    <w:p w14:paraId="15A88B9A" w14:textId="77777777" w:rsidR="001B3370" w:rsidRDefault="001B3370" w:rsidP="005E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  <w:lang w:val="es-CO"/>
        </w:rPr>
      </w:pPr>
    </w:p>
    <w:p w14:paraId="28667159" w14:textId="77777777" w:rsidR="001B3370" w:rsidRDefault="001B3370" w:rsidP="005E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5"/>
          <w:szCs w:val="25"/>
          <w:lang w:val="es-CO"/>
        </w:rPr>
      </w:pPr>
    </w:p>
    <w:p w14:paraId="08B14A48" w14:textId="7E480186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 xml:space="preserve">Subsanada oportunamente </w:t>
      </w:r>
      <w:r>
        <w:rPr>
          <w:rFonts w:ascii="Arial" w:hAnsi="Arial" w:cs="Arial"/>
          <w:kern w:val="0"/>
          <w:sz w:val="24"/>
          <w:szCs w:val="24"/>
          <w:lang w:val="es-CO"/>
        </w:rPr>
        <w:t>y satisfechos los requisitos formales, s</w:t>
      </w:r>
      <w:r>
        <w:rPr>
          <w:rFonts w:ascii="Arial" w:hAnsi="Arial" w:cs="Arial"/>
          <w:kern w:val="0"/>
          <w:sz w:val="25"/>
          <w:szCs w:val="25"/>
          <w:lang w:val="es-CO"/>
        </w:rPr>
        <w:t>e ADMITE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la demanda VERBAL de RESPONSABILIDAD CIVIL EXTRACONTRACTUAL de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 xml:space="preserve">MAYOR CUANTÍA formulada por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ROSANNA YANETH CUTIVA GUTIERREZ,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LEIDY VIVIANA AYA CUTIVA, ANYELI ESTEPHANY AYA CUTIVA, GUSTAVO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ADOLFO AYA CUTIVA, JULIO CESAR AYA CUTIVA, SANDRA PATRICIA CUTIVA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GUTIERREZ, SERGIO FELIPE GALVIS CUTIVA, SANTIAGO GALVIS CUTIVA,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SANDRA PATRICIA CUTIVA GUTIERREZ en representación del menor TOMAS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GALVIS CUTIVA, MARTHA LILIANA CUTIVA GUTIERREZ y LUIS HERNANDO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LOSADA CUTIVA </w:t>
      </w:r>
      <w:r>
        <w:rPr>
          <w:rFonts w:ascii="Arial" w:hAnsi="Arial" w:cs="Arial"/>
          <w:kern w:val="0"/>
          <w:sz w:val="25"/>
          <w:szCs w:val="25"/>
          <w:lang w:val="es-CO"/>
        </w:rPr>
        <w:t xml:space="preserve">en contra de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ARACELY VIDAL IBARRA, JORGE ENRIQUE</w:t>
      </w:r>
      <w:r w:rsidR="001B3370">
        <w:rPr>
          <w:rFonts w:ascii="Arial" w:hAnsi="Arial" w:cs="Arial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VARGAS OCAMPO y ALLIANZ SEGUROS COLOMBIA.</w:t>
      </w:r>
    </w:p>
    <w:p w14:paraId="3635BF81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</w:p>
    <w:p w14:paraId="147B5D3D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Imprímasele a este asunto el trámite correspondiente al proceso declarativo</w:t>
      </w:r>
    </w:p>
    <w:p w14:paraId="5BB49FA9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previsto en el artículo 368 del Código General del Proceso.</w:t>
      </w:r>
    </w:p>
    <w:p w14:paraId="6F7FE207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</w:p>
    <w:p w14:paraId="2048A347" w14:textId="6F6AA616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De la demanda y sus anexos córrase traslado a la parte demandada por el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término legal de veinte (20) días.</w:t>
      </w:r>
    </w:p>
    <w:p w14:paraId="16AA9205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</w:p>
    <w:p w14:paraId="4D3FE643" w14:textId="5E4205EA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5"/>
          <w:szCs w:val="25"/>
          <w:lang w:val="es-CO"/>
        </w:rPr>
      </w:pPr>
      <w:r>
        <w:rPr>
          <w:rFonts w:ascii="Arial" w:hAnsi="Arial" w:cs="Arial"/>
          <w:kern w:val="0"/>
          <w:sz w:val="25"/>
          <w:szCs w:val="25"/>
          <w:lang w:val="es-CO"/>
        </w:rPr>
        <w:t>Notifíquese la presente providencia en los términos de los artículos 291 y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 xml:space="preserve">292 del C.G.P. la que </w:t>
      </w: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 xml:space="preserve">también </w:t>
      </w:r>
      <w:r>
        <w:rPr>
          <w:rFonts w:ascii="Arial" w:hAnsi="Arial" w:cs="Arial"/>
          <w:kern w:val="0"/>
          <w:sz w:val="25"/>
          <w:szCs w:val="25"/>
          <w:lang w:val="es-CO"/>
        </w:rPr>
        <w:t>podr</w:t>
      </w:r>
      <w:r>
        <w:rPr>
          <w:rFonts w:ascii="ArialMT" w:hAnsi="ArialMT" w:cs="ArialMT"/>
          <w:kern w:val="0"/>
          <w:sz w:val="25"/>
          <w:szCs w:val="25"/>
          <w:lang w:val="es-CO"/>
        </w:rPr>
        <w:t xml:space="preserve">á́ </w:t>
      </w:r>
      <w:r>
        <w:rPr>
          <w:rFonts w:ascii="Arial" w:hAnsi="Arial" w:cs="Arial"/>
          <w:kern w:val="0"/>
          <w:sz w:val="25"/>
          <w:szCs w:val="25"/>
          <w:lang w:val="es-CO"/>
        </w:rPr>
        <w:t>efectuarse con el envío de la providencia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respectiva como mensaje de datos a la dirección electrónica o sitio que suministre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el interesado en que se realice la notificación, sin necesidad del envío de previa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citación o aviso físico o virtual. Los anexos que deban entregarse para un traslado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se enviarán por el mismo medio, atendiendo las previsiones de que trata el canon</w:t>
      </w:r>
      <w:r w:rsidR="001B3370">
        <w:rPr>
          <w:rFonts w:ascii="Arial" w:hAnsi="Arial" w:cs="Arial"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kern w:val="0"/>
          <w:sz w:val="25"/>
          <w:szCs w:val="25"/>
          <w:lang w:val="es-CO"/>
        </w:rPr>
        <w:t>8 de la Ley 2213 de 2022.</w:t>
      </w:r>
    </w:p>
    <w:p w14:paraId="62C422A4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</w:p>
    <w:p w14:paraId="1428EA35" w14:textId="650019CE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Se le ordena a la parte demandante que, en el término de diez (10) días,</w:t>
      </w:r>
      <w:r w:rsidR="001B3370">
        <w:rPr>
          <w:rFonts w:ascii="Arial" w:hAnsi="Arial" w:cs="Arial"/>
          <w:b/>
          <w:bCs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 xml:space="preserve">contados a partir de la notificación de </w:t>
      </w:r>
      <w:proofErr w:type="gramStart"/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éste</w:t>
      </w:r>
      <w:proofErr w:type="gramEnd"/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 xml:space="preserve"> auto, proceda a llegar los</w:t>
      </w:r>
      <w:r w:rsidR="001B3370">
        <w:rPr>
          <w:rFonts w:ascii="Arial" w:hAnsi="Arial" w:cs="Arial"/>
          <w:b/>
          <w:bCs/>
          <w:kern w:val="0"/>
          <w:sz w:val="25"/>
          <w:szCs w:val="25"/>
          <w:lang w:val="es-CO"/>
        </w:rPr>
        <w:t xml:space="preserve"> </w:t>
      </w: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documentos originales anunciados en la acción declarativa.</w:t>
      </w:r>
    </w:p>
    <w:p w14:paraId="00AD9F2B" w14:textId="1971CC3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CO"/>
        </w:rPr>
      </w:pPr>
    </w:p>
    <w:p w14:paraId="66D8FC46" w14:textId="496EE126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Se reconoce personería para actuar al abogado GUILLERMO SEGURA</w:t>
      </w:r>
      <w:r w:rsidR="001B3370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MARTINEZ como apoderada judicial de la parte demandante, en los términos y para</w:t>
      </w:r>
      <w:r w:rsidR="001B3370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los efectos de los poderes que le fueron conferidos.</w:t>
      </w:r>
      <w:r w:rsidR="001B3370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</w:p>
    <w:p w14:paraId="17813E9F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2D52EE3F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NOTIFÍQUESE,</w:t>
      </w:r>
    </w:p>
    <w:p w14:paraId="03967AFE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</w:p>
    <w:p w14:paraId="618ABCC1" w14:textId="544C0631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HERMAN TRUJILLO GARCÍA</w:t>
      </w:r>
    </w:p>
    <w:p w14:paraId="22781819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5"/>
          <w:szCs w:val="25"/>
          <w:lang w:val="es-CO"/>
        </w:rPr>
      </w:pPr>
      <w:r>
        <w:rPr>
          <w:rFonts w:ascii="Arial" w:hAnsi="Arial" w:cs="Arial"/>
          <w:b/>
          <w:bCs/>
          <w:kern w:val="0"/>
          <w:sz w:val="25"/>
          <w:szCs w:val="25"/>
          <w:lang w:val="es-CO"/>
        </w:rPr>
        <w:t>JUEZ</w:t>
      </w:r>
    </w:p>
    <w:p w14:paraId="7542B2BB" w14:textId="77777777" w:rsidR="001B3370" w:rsidRDefault="001B3370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val="es-CO"/>
        </w:rPr>
      </w:pPr>
    </w:p>
    <w:p w14:paraId="744144B4" w14:textId="3EF9190C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bCs/>
          <w:kern w:val="0"/>
          <w:sz w:val="16"/>
          <w:szCs w:val="16"/>
          <w:lang w:val="es-CO"/>
        </w:rPr>
        <w:lastRenderedPageBreak/>
        <w:t>JUZGADO CUARENTA Y NUEVE CIVIL DEL</w:t>
      </w:r>
    </w:p>
    <w:p w14:paraId="06F5B47D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bCs/>
          <w:kern w:val="0"/>
          <w:sz w:val="16"/>
          <w:szCs w:val="16"/>
          <w:lang w:val="es-CO"/>
        </w:rPr>
        <w:t>CIRCUITO</w:t>
      </w:r>
    </w:p>
    <w:p w14:paraId="1B19E612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s-CO"/>
        </w:rPr>
      </w:pPr>
      <w:r>
        <w:rPr>
          <w:rFonts w:ascii="Times New Roman" w:hAnsi="Times New Roman" w:cs="Times New Roman"/>
          <w:kern w:val="0"/>
          <w:sz w:val="16"/>
          <w:szCs w:val="16"/>
          <w:lang w:val="es-CO"/>
        </w:rPr>
        <w:t>Secretaría</w:t>
      </w:r>
    </w:p>
    <w:p w14:paraId="4B9BFF07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s-CO"/>
        </w:rPr>
      </w:pPr>
      <w:r>
        <w:rPr>
          <w:rFonts w:ascii="Times New Roman" w:hAnsi="Times New Roman" w:cs="Times New Roman"/>
          <w:kern w:val="0"/>
          <w:sz w:val="16"/>
          <w:szCs w:val="16"/>
          <w:lang w:val="es-CO"/>
        </w:rPr>
        <w:t>Notificación por Estado</w:t>
      </w:r>
    </w:p>
    <w:p w14:paraId="3A939C1D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La providencia anterior se notificó por anotación en</w:t>
      </w:r>
    </w:p>
    <w:p w14:paraId="4BD8E5F1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estado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  <w:lang w:val="es-CO"/>
        </w:rPr>
        <w:t>N°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  <w:lang w:val="es-CO"/>
        </w:rPr>
        <w:t xml:space="preserve"> ____________</w:t>
      </w:r>
      <w:r>
        <w:rPr>
          <w:rFonts w:ascii="Arial" w:hAnsi="Arial" w:cs="Arial"/>
          <w:kern w:val="0"/>
          <w:sz w:val="16"/>
          <w:szCs w:val="16"/>
          <w:lang w:val="es-CO"/>
        </w:rPr>
        <w:t>, fijado</w:t>
      </w:r>
    </w:p>
    <w:p w14:paraId="5AFA2D7C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Hoy </w:t>
      </w:r>
      <w:r>
        <w:rPr>
          <w:rFonts w:ascii="Arial" w:hAnsi="Arial" w:cs="Arial"/>
          <w:b/>
          <w:bCs/>
          <w:kern w:val="0"/>
          <w:sz w:val="16"/>
          <w:szCs w:val="16"/>
          <w:lang w:val="es-CO"/>
        </w:rPr>
        <w:t>___________________________</w:t>
      </w:r>
      <w:r>
        <w:rPr>
          <w:rFonts w:ascii="Arial" w:hAnsi="Arial" w:cs="Arial"/>
          <w:kern w:val="0"/>
          <w:sz w:val="16"/>
          <w:szCs w:val="16"/>
          <w:lang w:val="es-CO"/>
        </w:rPr>
        <w:t>a la hora de</w:t>
      </w:r>
    </w:p>
    <w:p w14:paraId="4AAFCD35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las 8.00 A.M.</w:t>
      </w:r>
    </w:p>
    <w:p w14:paraId="556037F4" w14:textId="77777777" w:rsidR="005E2892" w:rsidRDefault="005E2892" w:rsidP="001B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6"/>
          <w:szCs w:val="16"/>
          <w:lang w:val="es-CO"/>
        </w:rPr>
      </w:pPr>
      <w:r>
        <w:rPr>
          <w:rFonts w:ascii="Times New Roman" w:hAnsi="Times New Roman" w:cs="Times New Roman"/>
          <w:kern w:val="0"/>
          <w:sz w:val="16"/>
          <w:szCs w:val="16"/>
          <w:lang w:val="es-CO"/>
        </w:rPr>
        <w:t>MARGARITA ROSA OYOLA GARCÍA</w:t>
      </w:r>
    </w:p>
    <w:p w14:paraId="27295B27" w14:textId="674F7357" w:rsidR="00B9243D" w:rsidRDefault="005E2892" w:rsidP="001B3370">
      <w:pPr>
        <w:jc w:val="both"/>
      </w:pPr>
      <w:r>
        <w:rPr>
          <w:rFonts w:ascii="Times New Roman" w:hAnsi="Times New Roman" w:cs="Times New Roman"/>
          <w:kern w:val="0"/>
          <w:sz w:val="16"/>
          <w:szCs w:val="16"/>
          <w:lang w:val="es-CO"/>
        </w:rPr>
        <w:t>Secretaria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2"/>
    <w:rsid w:val="001B3370"/>
    <w:rsid w:val="005E2892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CEE"/>
  <w15:chartTrackingRefBased/>
  <w15:docId w15:val="{A7DE2BA8-6D00-47EB-8E6C-8BBD058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2024-04-22T20:04:00Z</dcterms:created>
  <dcterms:modified xsi:type="dcterms:W3CDTF">2024-04-22T20:07:00Z</dcterms:modified>
</cp:coreProperties>
</file>