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193CD8F4" w:rsidR="00A06D0B" w:rsidRPr="00B94ABF" w:rsidRDefault="005E486D" w:rsidP="00D5455D">
            <w:pPr>
              <w:spacing w:after="0" w:line="267" w:lineRule="exact"/>
              <w:ind w:right="-20"/>
              <w:rPr>
                <w:rFonts w:ascii="Calibri" w:eastAsia="Calibri" w:hAnsi="Calibri" w:cs="Calibri"/>
                <w:sz w:val="24"/>
                <w:szCs w:val="24"/>
              </w:rPr>
            </w:pPr>
            <w:r w:rsidRPr="005E486D">
              <w:rPr>
                <w:rFonts w:ascii="Calibri" w:eastAsia="Calibri" w:hAnsi="Calibri" w:cs="Calibri"/>
                <w:sz w:val="24"/>
                <w:szCs w:val="24"/>
              </w:rPr>
              <w:t>12-377851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CA53ACF" w:rsidR="00A06D0B" w:rsidRPr="00B94ABF" w:rsidRDefault="00A06916" w:rsidP="005212FF">
            <w:pPr>
              <w:spacing w:after="0" w:line="264" w:lineRule="exact"/>
              <w:ind w:left="59" w:right="-20"/>
              <w:rPr>
                <w:rFonts w:ascii="Calibri" w:eastAsia="Calibri" w:hAnsi="Calibri" w:cs="Calibri"/>
                <w:sz w:val="24"/>
                <w:szCs w:val="24"/>
              </w:rPr>
            </w:pPr>
            <w:r w:rsidRPr="00A06916">
              <w:rPr>
                <w:rFonts w:ascii="Calibri" w:eastAsia="Calibri" w:hAnsi="Calibri" w:cs="Calibri"/>
                <w:sz w:val="24"/>
                <w:szCs w:val="24"/>
              </w:rPr>
              <w:t>76001333301220230001000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3150B6D5"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A06916">
              <w:rPr>
                <w:rFonts w:ascii="Calibri" w:eastAsia="Calibri" w:hAnsi="Calibri" w:cs="Calibri"/>
                <w:lang w:val="es-CO"/>
              </w:rPr>
              <w:t>12</w:t>
            </w:r>
            <w:r w:rsidR="00197EB5">
              <w:rPr>
                <w:rFonts w:ascii="Calibri" w:eastAsia="Calibri" w:hAnsi="Calibri" w:cs="Calibri"/>
                <w:lang w:val="es-CO"/>
              </w:rPr>
              <w:t xml:space="preserve"> ADMINISTRATIVO DEL CIRCUITO DE </w:t>
            </w:r>
            <w:r w:rsidR="00155474">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8C178EA" w:rsidR="00A06D0B" w:rsidRDefault="00197EB5">
            <w:pPr>
              <w:spacing w:after="0" w:line="267" w:lineRule="exact"/>
              <w:ind w:left="59" w:right="-20"/>
              <w:rPr>
                <w:rFonts w:ascii="Calibri" w:eastAsia="Calibri" w:hAnsi="Calibri" w:cs="Calibri"/>
              </w:rPr>
            </w:pPr>
            <w:r>
              <w:rPr>
                <w:rFonts w:ascii="Calibri" w:eastAsia="Calibri" w:hAnsi="Calibri" w:cs="Calibri"/>
              </w:rPr>
              <w:t>REPARACIÓN DIRECTA</w:t>
            </w:r>
            <w:r w:rsidR="00A66142">
              <w:rPr>
                <w:rFonts w:ascii="Calibri" w:eastAsia="Calibri" w:hAnsi="Calibri" w:cs="Calibri"/>
              </w:rPr>
              <w:t xml:space="preserve">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B8A20DE" w:rsidR="007E3E69" w:rsidRPr="003637A1" w:rsidRDefault="00AF693D"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DIANA CAROLINA BARRAGAN RINCON, LUIS ENRIQUE BARRAGAN RINCON Y MARTHA ESPERANZA RINCON.  </w:t>
            </w:r>
            <w:r w:rsidR="00492707">
              <w:rPr>
                <w:rFonts w:ascii="Calibri" w:eastAsia="Calibri" w:hAnsi="Calibri" w:cs="Calibri"/>
                <w:lang w:val="es-CO"/>
              </w:rPr>
              <w:t xml:space="preserve"> </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BF10061" w:rsidR="007E3E69" w:rsidRPr="00AB19D8" w:rsidRDefault="00AF693D" w:rsidP="00E60A7A">
            <w:pPr>
              <w:spacing w:after="0" w:line="264" w:lineRule="exact"/>
              <w:ind w:right="-20"/>
              <w:jc w:val="both"/>
              <w:rPr>
                <w:rFonts w:ascii="Calibri" w:eastAsia="Calibri" w:hAnsi="Calibri" w:cs="Calibri"/>
                <w:lang w:val="es-CO"/>
              </w:rPr>
            </w:pPr>
            <w:r>
              <w:rPr>
                <w:rFonts w:ascii="Calibri" w:eastAsia="Calibri" w:hAnsi="Calibri" w:cs="Calibri"/>
                <w:lang w:val="es-CO"/>
              </w:rPr>
              <w:t>DISTRITO ESPECIAL SANTIAGO DE CALI</w:t>
            </w:r>
            <w:r w:rsidR="0017785F">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707A19" w:rsidRDefault="0083734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LLAMAMIENTO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D62637E" w:rsidR="007E3E69" w:rsidRDefault="008026C0" w:rsidP="007E3E69">
            <w:pPr>
              <w:spacing w:after="0" w:line="264" w:lineRule="exact"/>
              <w:ind w:left="59" w:right="-20"/>
              <w:rPr>
                <w:rFonts w:ascii="Calibri" w:eastAsia="Calibri" w:hAnsi="Calibri" w:cs="Calibri"/>
              </w:rPr>
            </w:pPr>
            <w:r>
              <w:rPr>
                <w:rFonts w:ascii="Calibri" w:eastAsia="Calibri" w:hAnsi="Calibri" w:cs="Calibri"/>
              </w:rPr>
              <w:t>25/01/2023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8C905E5" w:rsidR="00796B62" w:rsidRPr="00675B7A" w:rsidRDefault="003A1EBB" w:rsidP="00F2006A">
            <w:pPr>
              <w:spacing w:after="0" w:line="264" w:lineRule="exact"/>
              <w:ind w:right="-20"/>
              <w:rPr>
                <w:rFonts w:ascii="Calibri" w:eastAsia="Calibri" w:hAnsi="Calibri" w:cs="Calibri"/>
                <w:lang w:val="es-CO"/>
              </w:rPr>
            </w:pPr>
            <w:r>
              <w:rPr>
                <w:rFonts w:ascii="Calibri" w:eastAsia="Calibri" w:hAnsi="Calibri" w:cs="Calibri"/>
                <w:lang w:val="es-CO"/>
              </w:rPr>
              <w:t>01/08/2023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4C10F107" w:rsidR="007E3E69" w:rsidRPr="00AB19D8" w:rsidRDefault="00852EA4" w:rsidP="00B91A88">
            <w:pPr>
              <w:spacing w:after="0" w:line="264" w:lineRule="exact"/>
              <w:ind w:right="-20"/>
              <w:rPr>
                <w:rFonts w:ascii="Calibri" w:eastAsia="Calibri" w:hAnsi="Calibri" w:cs="Calibri"/>
                <w:lang w:val="es-CO"/>
              </w:rPr>
            </w:pPr>
            <w:r>
              <w:rPr>
                <w:rFonts w:ascii="Calibri" w:eastAsia="Calibri" w:hAnsi="Calibri" w:cs="Calibri"/>
                <w:lang w:val="es-CO"/>
              </w:rPr>
              <w:t>13/02/2024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9AC1F2B" w:rsidR="007E3E69" w:rsidRPr="00696A44" w:rsidRDefault="00852EA4" w:rsidP="00B91A88">
            <w:pPr>
              <w:spacing w:after="0" w:line="267" w:lineRule="exact"/>
              <w:ind w:right="-20"/>
              <w:rPr>
                <w:rFonts w:ascii="Calibri" w:eastAsia="Calibri" w:hAnsi="Calibri" w:cs="Calibri"/>
                <w:lang w:val="es-CO"/>
              </w:rPr>
            </w:pPr>
            <w:r>
              <w:rPr>
                <w:rFonts w:ascii="Calibri" w:eastAsia="Calibri" w:hAnsi="Calibri" w:cs="Calibri"/>
                <w:lang w:val="es-CO"/>
              </w:rPr>
              <w:t>15/10/2022</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55125785"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852EA4">
              <w:rPr>
                <w:rFonts w:ascii="Calibri" w:eastAsia="Calibri" w:hAnsi="Calibri" w:cs="Calibri"/>
              </w:rPr>
              <w:t>15/10/2022</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00EF7DC7" w:rsidR="007E3E69" w:rsidRPr="009939C0" w:rsidRDefault="00196957" w:rsidP="00B4333D">
            <w:pPr>
              <w:widowControl/>
              <w:shd w:val="clear" w:color="auto" w:fill="FFFFFF"/>
              <w:spacing w:after="0" w:line="240" w:lineRule="auto"/>
              <w:jc w:val="both"/>
              <w:rPr>
                <w:rFonts w:ascii="Calibri" w:eastAsia="Calibri" w:hAnsi="Calibri" w:cs="Calibri"/>
                <w:lang w:val="es-CO"/>
              </w:rPr>
            </w:pPr>
            <w:r w:rsidRPr="009939C0">
              <w:rPr>
                <w:rFonts w:ascii="Calibri" w:eastAsia="Calibri" w:hAnsi="Calibri" w:cs="Calibri"/>
                <w:lang w:val="es-CO"/>
              </w:rPr>
              <w:t>El día 1</w:t>
            </w:r>
            <w:r w:rsidR="002A6146" w:rsidRPr="009939C0">
              <w:rPr>
                <w:rFonts w:ascii="Calibri" w:eastAsia="Calibri" w:hAnsi="Calibri" w:cs="Calibri"/>
                <w:lang w:val="es-CO"/>
              </w:rPr>
              <w:t>5</w:t>
            </w:r>
            <w:r w:rsidRPr="009939C0">
              <w:rPr>
                <w:rFonts w:ascii="Calibri" w:eastAsia="Calibri" w:hAnsi="Calibri" w:cs="Calibri"/>
                <w:lang w:val="es-CO"/>
              </w:rPr>
              <w:t>/10/2022, la señora Diana Barragán Rincón, conducía su motocicleta de placas AWP-48G- modelo 2023, por la calle 16 con carrera 73 de la ciudad de Cali (Valle), cuando sufrió un accidente al tropezar y atascarse su llanta delantera en un hueco que había sobre la vía causándole múltiples lesiones. La parte actora atribuye el suceso a la falla en el servicio del Distrito Especial de Santiago de Cali por la presunta falta de mantenimiento y señalización de la vía. Por lo anterior, solicitan se reconozca los perjuicios materiales en la modalidad de daño emergente y lucro cesante, e inmateriales en la modalidad de daño moral y daño a la salud.</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55170721" w:rsidR="007E3E69" w:rsidRPr="00F56E1E" w:rsidRDefault="009939C0" w:rsidP="00B4333D">
            <w:pPr>
              <w:jc w:val="both"/>
              <w:rPr>
                <w:rFonts w:ascii="Calibri" w:eastAsia="Calibri" w:hAnsi="Calibri" w:cs="Calibri"/>
                <w:lang w:val="es-CO"/>
              </w:rPr>
            </w:pPr>
            <w:r w:rsidRPr="009939C0">
              <w:rPr>
                <w:rFonts w:ascii="Calibri" w:eastAsia="Calibri" w:hAnsi="Calibri" w:cs="Calibri"/>
                <w:lang w:val="es-CO"/>
              </w:rPr>
              <w:t xml:space="preserve">Las pretensiones van encaminadas a obtener por lucro cesante la suma de $304.140.744, por año emergente $3.000.000, por daño moral 290 SMMLV, por daño a la </w:t>
            </w:r>
            <w:proofErr w:type="gramStart"/>
            <w:r w:rsidRPr="009939C0">
              <w:rPr>
                <w:rFonts w:ascii="Calibri" w:eastAsia="Calibri" w:hAnsi="Calibri" w:cs="Calibri"/>
                <w:lang w:val="es-CO"/>
              </w:rPr>
              <w:t>salud  100</w:t>
            </w:r>
            <w:proofErr w:type="gramEnd"/>
            <w:r w:rsidRPr="009939C0">
              <w:rPr>
                <w:rFonts w:ascii="Calibri" w:eastAsia="Calibri" w:hAnsi="Calibri" w:cs="Calibri"/>
                <w:lang w:val="es-CO"/>
              </w:rPr>
              <w:t xml:space="preserve"> </w:t>
            </w:r>
            <w:proofErr w:type="spellStart"/>
            <w:r w:rsidRPr="009939C0">
              <w:rPr>
                <w:rFonts w:ascii="Calibri" w:eastAsia="Calibri" w:hAnsi="Calibri" w:cs="Calibri"/>
                <w:lang w:val="es-CO"/>
              </w:rPr>
              <w:t>smmlv</w:t>
            </w:r>
            <w:proofErr w:type="spellEnd"/>
            <w:r w:rsidRPr="009939C0">
              <w:rPr>
                <w:rFonts w:ascii="Calibri" w:eastAsia="Calibri" w:hAnsi="Calibri" w:cs="Calibri"/>
                <w:lang w:val="es-CO"/>
              </w:rPr>
              <w:t xml:space="preserve">, por perjuicio estético 200 </w:t>
            </w:r>
            <w:proofErr w:type="spellStart"/>
            <w:r w:rsidRPr="009939C0">
              <w:rPr>
                <w:rFonts w:ascii="Calibri" w:eastAsia="Calibri" w:hAnsi="Calibri" w:cs="Calibri"/>
                <w:lang w:val="es-CO"/>
              </w:rPr>
              <w:t>smmlv</w:t>
            </w:r>
            <w:proofErr w:type="spellEnd"/>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2846BA7"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895C5F">
              <w:rPr>
                <w:rFonts w:ascii="Calibri" w:eastAsia="Calibri" w:hAnsi="Calibri" w:cs="Calibri"/>
                <w:lang w:val="es-CO"/>
              </w:rPr>
              <w:t>1.</w:t>
            </w:r>
            <w:r w:rsidR="008F7272">
              <w:rPr>
                <w:rFonts w:ascii="Calibri" w:eastAsia="Calibri" w:hAnsi="Calibri" w:cs="Calibri"/>
                <w:lang w:val="es-CO"/>
              </w:rPr>
              <w:t>147.005.</w:t>
            </w:r>
            <w:proofErr w:type="gramStart"/>
            <w:r w:rsidR="008F7272">
              <w:rPr>
                <w:rFonts w:ascii="Calibri" w:eastAsia="Calibri" w:hAnsi="Calibri" w:cs="Calibri"/>
                <w:lang w:val="es-CO"/>
              </w:rPr>
              <w:t>744</w:t>
            </w:r>
            <w:r w:rsidR="00895C5F">
              <w:rPr>
                <w:rFonts w:ascii="Calibri" w:eastAsia="Calibri" w:hAnsi="Calibri" w:cs="Calibri"/>
                <w:lang w:val="es-CO"/>
              </w:rPr>
              <w:t xml:space="preserve"> </w:t>
            </w:r>
            <w:r w:rsidR="009608C8">
              <w:rPr>
                <w:rFonts w:ascii="Calibri" w:eastAsia="Calibri" w:hAnsi="Calibri" w:cs="Calibri"/>
                <w:lang w:val="es-CO"/>
              </w:rPr>
              <w:t xml:space="preserve"> (</w:t>
            </w:r>
            <w:proofErr w:type="gramEnd"/>
            <w:r w:rsidR="009608C8">
              <w:rPr>
                <w:rFonts w:ascii="Calibri" w:eastAsia="Calibri" w:hAnsi="Calibri" w:cs="Calibri"/>
                <w:lang w:val="es-CO"/>
              </w:rPr>
              <w:t>ACTUALIZADO AÑO 202</w:t>
            </w:r>
            <w:r w:rsidR="008F7272">
              <w:rPr>
                <w:rFonts w:ascii="Calibri" w:eastAsia="Calibri" w:hAnsi="Calibri" w:cs="Calibri"/>
                <w:lang w:val="es-CO"/>
              </w:rPr>
              <w:t>5</w:t>
            </w:r>
            <w:r w:rsidR="009608C8">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61D69A46"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8F7272">
              <w:rPr>
                <w:rFonts w:ascii="Calibri" w:eastAsia="Calibri" w:hAnsi="Calibri" w:cs="Calibri"/>
                <w:lang w:val="es-CO"/>
              </w:rPr>
              <w:t>206.684.124</w:t>
            </w:r>
          </w:p>
          <w:p w14:paraId="4E3871E5" w14:textId="4F26D6EC"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8F7272">
              <w:rPr>
                <w:rFonts w:ascii="Calibri" w:eastAsia="Calibri" w:hAnsi="Calibri" w:cs="Calibri"/>
                <w:lang w:val="es-CO"/>
              </w:rPr>
              <w:t>10.334.206</w:t>
            </w:r>
          </w:p>
          <w:p w14:paraId="5DD5C3E0" w14:textId="47619131"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446B6">
              <w:rPr>
                <w:rFonts w:ascii="Calibri" w:eastAsia="Calibri" w:hAnsi="Calibri" w:cs="Calibri"/>
                <w:lang w:val="es-CO"/>
              </w:rPr>
              <w:t>28%</w:t>
            </w:r>
          </w:p>
          <w:p w14:paraId="2B9135C6" w14:textId="5C42C2D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8F7272">
              <w:rPr>
                <w:rFonts w:ascii="Calibri" w:eastAsia="Calibri" w:hAnsi="Calibri" w:cs="Calibri"/>
                <w:lang w:val="es-CO"/>
              </w:rPr>
              <w:t>54.977.976</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2146FD40"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6E17C3">
              <w:rPr>
                <w:rFonts w:ascii="Calibri" w:eastAsia="Calibri" w:hAnsi="Calibri" w:cs="Calibri"/>
                <w:position w:val="1"/>
                <w:lang w:val="pt-BR"/>
              </w:rPr>
              <w:t>55391</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7A30FDDF"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30CD34CB"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8A009D">
              <w:rPr>
                <w:rFonts w:ascii="Calibri" w:eastAsia="Calibri" w:hAnsi="Calibri" w:cs="Calibri"/>
                <w:lang w:val="es-CO"/>
              </w:rPr>
              <w:t>.</w:t>
            </w:r>
            <w:r w:rsidR="009D7001">
              <w:rPr>
                <w:rFonts w:ascii="Calibri" w:eastAsia="Calibri" w:hAnsi="Calibri" w:cs="Calibri"/>
                <w:lang w:val="es-CO"/>
              </w:rPr>
              <w:t xml:space="preserve">5% </w:t>
            </w:r>
            <w:proofErr w:type="spellStart"/>
            <w:r w:rsidR="009D7001">
              <w:rPr>
                <w:rFonts w:ascii="Calibri" w:eastAsia="Calibri" w:hAnsi="Calibri" w:cs="Calibri"/>
                <w:lang w:val="es-CO"/>
              </w:rPr>
              <w:t>perd</w:t>
            </w:r>
            <w:proofErr w:type="spellEnd"/>
            <w:r w:rsidR="009D7001">
              <w:rPr>
                <w:rFonts w:ascii="Calibri" w:eastAsia="Calibri" w:hAnsi="Calibri" w:cs="Calibri"/>
                <w:lang w:val="es-CO"/>
              </w:rPr>
              <w:t xml:space="preserve"> min </w:t>
            </w:r>
            <w:r w:rsidR="00E738CD">
              <w:rPr>
                <w:rFonts w:ascii="Calibri" w:eastAsia="Calibri" w:hAnsi="Calibri" w:cs="Calibri"/>
                <w:lang w:val="es-CO"/>
              </w:rPr>
              <w:t>3</w:t>
            </w:r>
            <w:r w:rsidR="009D7001">
              <w:rPr>
                <w:rFonts w:ascii="Calibri" w:eastAsia="Calibri" w:hAnsi="Calibri" w:cs="Calibri"/>
                <w:lang w:val="es-CO"/>
              </w:rPr>
              <w:t>SMMLV</w:t>
            </w:r>
          </w:p>
          <w:p w14:paraId="385160F1" w14:textId="7874CBD6"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BC6D63">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5C138CE6"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6620EE">
              <w:rPr>
                <w:rFonts w:ascii="Calibri" w:eastAsia="Calibri" w:hAnsi="Calibri" w:cs="Calibri"/>
                <w:lang w:val="es-CO"/>
              </w:rPr>
              <w:t>SBS</w:t>
            </w:r>
            <w:r w:rsidR="00BC6D63">
              <w:rPr>
                <w:rFonts w:ascii="Calibri" w:eastAsia="Calibri" w:hAnsi="Calibri" w:cs="Calibri"/>
                <w:lang w:val="es-CO"/>
              </w:rPr>
              <w:t xml:space="preserve"> </w:t>
            </w:r>
            <w:r w:rsidR="006620EE">
              <w:rPr>
                <w:rFonts w:ascii="Calibri" w:eastAsia="Calibri" w:hAnsi="Calibri" w:cs="Calibri"/>
                <w:lang w:val="es-CO"/>
              </w:rPr>
              <w:t>20</w:t>
            </w:r>
            <w:r w:rsidR="00BC6D63">
              <w:rPr>
                <w:rFonts w:ascii="Calibri" w:eastAsia="Calibri" w:hAnsi="Calibri" w:cs="Calibri"/>
                <w:lang w:val="es-CO"/>
              </w:rPr>
              <w:t xml:space="preserve">%, </w:t>
            </w:r>
            <w:r w:rsidR="006620EE">
              <w:rPr>
                <w:rFonts w:ascii="Calibri" w:eastAsia="Calibri" w:hAnsi="Calibri" w:cs="Calibri"/>
                <w:lang w:val="es-CO"/>
              </w:rPr>
              <w:t>SOLIDARIA 22</w:t>
            </w:r>
            <w:proofErr w:type="gramStart"/>
            <w:r w:rsidR="006620EE">
              <w:rPr>
                <w:rFonts w:ascii="Calibri" w:eastAsia="Calibri" w:hAnsi="Calibri" w:cs="Calibri"/>
                <w:lang w:val="es-CO"/>
              </w:rPr>
              <w:t>%,  CHUBB</w:t>
            </w:r>
            <w:proofErr w:type="gramEnd"/>
            <w:r w:rsidR="006620EE">
              <w:rPr>
                <w:rFonts w:ascii="Calibri" w:eastAsia="Calibri" w:hAnsi="Calibri" w:cs="Calibri"/>
                <w:lang w:val="es-CO"/>
              </w:rPr>
              <w:t xml:space="preserve"> 28</w:t>
            </w:r>
            <w:r w:rsidR="00BC6D63">
              <w:rPr>
                <w:rFonts w:ascii="Calibri" w:eastAsia="Calibri" w:hAnsi="Calibri" w:cs="Calibri"/>
                <w:lang w:val="es-CO"/>
              </w:rPr>
              <w:t>%,</w:t>
            </w:r>
            <w:r w:rsidR="006620EE">
              <w:rPr>
                <w:rFonts w:ascii="Calibri" w:eastAsia="Calibri" w:hAnsi="Calibri" w:cs="Calibri"/>
                <w:lang w:val="es-CO"/>
              </w:rPr>
              <w:t xml:space="preserve"> MAPFRE 30%</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531B2CAA" w14:textId="77777777" w:rsidR="00C25552" w:rsidRDefault="00C8336D"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del nexo causal entre el accidente y el actuar del Distrito Especial de Santiago de Cali</w:t>
            </w:r>
          </w:p>
          <w:p w14:paraId="26EEFEA7" w14:textId="77777777" w:rsidR="00C8336D" w:rsidRDefault="00C8336D"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Carencia de prueba de los supuestos perjuicios materiales e inmateriales y exagerada tasación de los mismos.</w:t>
            </w:r>
          </w:p>
          <w:p w14:paraId="63EDAB62" w14:textId="77777777" w:rsidR="00C8336D" w:rsidRDefault="00C8336D"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Ausencia de pruebas para determinar la responsabilidad al Distrito Especial de Santiago de Cali</w:t>
            </w:r>
          </w:p>
          <w:p w14:paraId="48255129" w14:textId="77777777" w:rsidR="00C8336D" w:rsidRDefault="00C8336D"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 xml:space="preserve">Inexistencia de responsabilidad por parte del Distrito </w:t>
            </w:r>
            <w:r w:rsidR="001C27B7">
              <w:rPr>
                <w:rFonts w:ascii="Calibri" w:eastAsia="Calibri" w:hAnsi="Calibri" w:cs="Calibri"/>
                <w:lang w:val="es-419"/>
              </w:rPr>
              <w:t>Especial de Santiago de Cali</w:t>
            </w:r>
          </w:p>
          <w:p w14:paraId="7CAD6BD7" w14:textId="77777777" w:rsidR="001C27B7" w:rsidRDefault="001C27B7"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Hecho exclusivo y determinante de la víctima como eximente de responsabilidad.</w:t>
            </w:r>
          </w:p>
          <w:p w14:paraId="7021BE54" w14:textId="77777777" w:rsidR="001C27B7" w:rsidRDefault="001C27B7"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Enriquecimiento sin causa</w:t>
            </w:r>
          </w:p>
          <w:p w14:paraId="35224E7B" w14:textId="77777777" w:rsidR="001C27B7" w:rsidRDefault="001C27B7"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Cobro de lo no debido</w:t>
            </w:r>
          </w:p>
          <w:p w14:paraId="0ED5C04B" w14:textId="308165FC" w:rsidR="001C27B7" w:rsidRPr="00C8336D" w:rsidRDefault="00477230" w:rsidP="00C8336D">
            <w:pPr>
              <w:pStyle w:val="Prrafodelista"/>
              <w:numPr>
                <w:ilvl w:val="0"/>
                <w:numId w:val="45"/>
              </w:numPr>
              <w:spacing w:after="0" w:line="266" w:lineRule="exact"/>
              <w:ind w:right="-20"/>
              <w:jc w:val="both"/>
              <w:rPr>
                <w:rFonts w:ascii="Calibri" w:eastAsia="Calibri" w:hAnsi="Calibri" w:cs="Calibri"/>
                <w:lang w:val="es-419"/>
              </w:rPr>
            </w:pPr>
            <w:r>
              <w:rPr>
                <w:rFonts w:ascii="Calibri" w:eastAsia="Calibri" w:hAnsi="Calibri" w:cs="Calibri"/>
                <w:lang w:val="es-419"/>
              </w:rPr>
              <w:t>Genérica</w:t>
            </w:r>
            <w:r w:rsidR="001C27B7">
              <w:rPr>
                <w:rFonts w:ascii="Calibri" w:eastAsia="Calibri" w:hAnsi="Calibri" w:cs="Calibri"/>
                <w:lang w:val="es-419"/>
              </w:rPr>
              <w:t xml:space="preserve"> o innominada</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 LA DEMANDA </w:t>
            </w:r>
          </w:p>
          <w:p w14:paraId="5B3A9B34" w14:textId="77777777" w:rsidR="00297C1E" w:rsidRPr="00297C1E" w:rsidRDefault="00297C1E" w:rsidP="00297C1E">
            <w:pPr>
              <w:spacing w:after="0" w:line="240" w:lineRule="auto"/>
              <w:ind w:right="-20"/>
              <w:jc w:val="both"/>
              <w:rPr>
                <w:rFonts w:ascii="Calibri" w:eastAsia="Calibri" w:hAnsi="Calibri" w:cs="Calibri"/>
                <w:lang w:val="es-CO"/>
              </w:rPr>
            </w:pPr>
          </w:p>
          <w:p w14:paraId="72610E8D"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 xml:space="preserve">1.No existen pruebas de la ocurrencia del accidente y/o de las circunstancias de tiempo, modo y lugar en que supuestamente acaeció - la parte actora no aportó ninguna prueba que soporte los hechos de la demanda. </w:t>
            </w:r>
          </w:p>
          <w:p w14:paraId="1078304F"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lastRenderedPageBreak/>
              <w:t xml:space="preserve">2.Inexistencia del nexo causal por la ausencia total de pruebas que acrediten la ocurrencia del accidente. </w:t>
            </w:r>
          </w:p>
          <w:p w14:paraId="3DE8ADF8" w14:textId="6DE20E8E" w:rsidR="00FA425C" w:rsidRPr="00FA425C"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3.El daño sufrido por el lesionado no es indemnizable porque no es imputable al asegurado y, además, no se probaron los perjuicios patrimoniales y extrapatrimoniales y exagerada tasación de los mismos.</w:t>
            </w:r>
          </w:p>
          <w:p w14:paraId="2266CD5A" w14:textId="77777777" w:rsidR="00FA425C" w:rsidRPr="00FA425C" w:rsidRDefault="00FA425C" w:rsidP="00FA425C">
            <w:pPr>
              <w:spacing w:after="0" w:line="240" w:lineRule="auto"/>
              <w:ind w:right="-20"/>
              <w:jc w:val="both"/>
              <w:rPr>
                <w:rFonts w:ascii="Calibri" w:eastAsia="Calibri" w:hAnsi="Calibri" w:cs="Calibri"/>
                <w:lang w:val="es-CO"/>
              </w:rPr>
            </w:pPr>
          </w:p>
          <w:p w14:paraId="5CE0A965"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AL LLAMAMIENTO EN GARANTÍA. </w:t>
            </w:r>
          </w:p>
          <w:p w14:paraId="31CF6E45" w14:textId="77777777" w:rsidR="00FA425C" w:rsidRPr="00FA425C" w:rsidRDefault="00FA425C" w:rsidP="00FA425C">
            <w:pPr>
              <w:spacing w:after="0" w:line="240" w:lineRule="auto"/>
              <w:ind w:right="-20"/>
              <w:jc w:val="both"/>
              <w:rPr>
                <w:rFonts w:ascii="Calibri" w:eastAsia="Calibri" w:hAnsi="Calibri" w:cs="Calibri"/>
                <w:lang w:val="es-CO"/>
              </w:rPr>
            </w:pPr>
          </w:p>
          <w:p w14:paraId="73117C26"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1. No se ha realizado el riesgo asegurado en tanto no hay responsabilidad del asegurado en los hechos materia de debate, por lo que la obligación condicional de la aseguradora es inexigible</w:t>
            </w:r>
          </w:p>
          <w:p w14:paraId="00D4B924"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2. La obligación de CHUBB SEGUROS S.A., se circunscribe al porcentaje de participación, teniendo en cuenta el coaseguro y la inexistencia de solidaridad entre las coaseguradoras.</w:t>
            </w:r>
          </w:p>
          <w:p w14:paraId="7BCF4CF3"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3. Existencia de un límite máximo de responsabilidad sujeto a la disponibilidad del valor asegurado en la póliza de responsabilidad civil extracontractual no. 1507222001226, certificado 0.</w:t>
            </w:r>
          </w:p>
          <w:p w14:paraId="5AC8134B"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4. En el contrato de seguro no. 1507222001226, se pactó un deducible a cargo del asegurado DISTRITO ESPECIAL DE SANTIAGO DE CALI</w:t>
            </w:r>
          </w:p>
          <w:p w14:paraId="489903C8" w14:textId="77777777" w:rsidR="00297C1E" w:rsidRPr="00297C1E"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5. Se encuentra plenamente probada la inexistencia de solidaridad entre el asegurado y la aseguradora.</w:t>
            </w:r>
          </w:p>
          <w:p w14:paraId="66997189" w14:textId="3132D9D6" w:rsidR="009A793D" w:rsidRPr="00FA425C" w:rsidRDefault="00297C1E" w:rsidP="00297C1E">
            <w:pPr>
              <w:spacing w:after="0" w:line="240" w:lineRule="auto"/>
              <w:ind w:right="-20"/>
              <w:jc w:val="both"/>
              <w:rPr>
                <w:rFonts w:ascii="Calibri" w:eastAsia="Calibri" w:hAnsi="Calibri" w:cs="Calibri"/>
                <w:lang w:val="es-CO"/>
              </w:rPr>
            </w:pPr>
            <w:r w:rsidRPr="00297C1E">
              <w:rPr>
                <w:rFonts w:ascii="Calibri" w:eastAsia="Calibri" w:hAnsi="Calibri" w:cs="Calibri"/>
                <w:lang w:val="es-CO"/>
              </w:rPr>
              <w:t>7. Genérica y otras</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39390A10"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sidR="003B7D9B">
              <w:rPr>
                <w:rFonts w:ascii="Calibri" w:eastAsia="Calibri" w:hAnsi="Calibri" w:cs="Calibri"/>
                <w:spacing w:val="22"/>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30C7B147"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3B7D9B">
              <w:rPr>
                <w:rFonts w:ascii="Calibri" w:eastAsia="Calibri" w:hAnsi="Calibri" w:cs="Calibri"/>
                <w:position w:val="1"/>
                <w:lang w:val="es-419"/>
              </w:rPr>
              <w:t>x</w:t>
            </w:r>
            <w:r w:rsidRPr="005531BF">
              <w:rPr>
                <w:rFonts w:ascii="Calibri" w:eastAsia="Calibri" w:hAnsi="Calibri" w:cs="Calibri"/>
                <w:position w:val="1"/>
                <w:lang w:val="es-419"/>
              </w:rPr>
              <w:t>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60E14C2" w14:textId="77777777" w:rsidR="000C1DAD" w:rsidRPr="000C1DAD" w:rsidRDefault="000C1DAD" w:rsidP="000C1DAD">
            <w:pPr>
              <w:tabs>
                <w:tab w:val="left" w:pos="3520"/>
              </w:tabs>
              <w:spacing w:after="0" w:line="264" w:lineRule="exact"/>
              <w:ind w:left="59" w:right="-20"/>
              <w:jc w:val="both"/>
              <w:rPr>
                <w:rFonts w:ascii="Calibri" w:eastAsia="Calibri" w:hAnsi="Calibri" w:cs="Calibri"/>
                <w:lang w:val="es-CO"/>
              </w:rPr>
            </w:pPr>
            <w:r w:rsidRPr="000C1DAD">
              <w:rPr>
                <w:rFonts w:ascii="Calibri" w:eastAsia="Calibri" w:hAnsi="Calibri" w:cs="Calibri"/>
                <w:lang w:val="es-CO"/>
              </w:rPr>
              <w:t>La calificación de la contingencia es remota porque a pesar de que la póliza ofrece cobertura material y temporal, no existen pruebas que acrediten la responsabilidad del asegurado.</w:t>
            </w:r>
          </w:p>
          <w:p w14:paraId="253F42FA" w14:textId="77777777" w:rsidR="000C1DAD" w:rsidRPr="000C1DAD" w:rsidRDefault="000C1DAD" w:rsidP="000C1DAD">
            <w:pPr>
              <w:tabs>
                <w:tab w:val="left" w:pos="3520"/>
              </w:tabs>
              <w:spacing w:after="0" w:line="264" w:lineRule="exact"/>
              <w:ind w:left="59" w:right="-20"/>
              <w:jc w:val="both"/>
              <w:rPr>
                <w:rFonts w:ascii="Calibri" w:eastAsia="Calibri" w:hAnsi="Calibri" w:cs="Calibri"/>
                <w:lang w:val="es-CO"/>
              </w:rPr>
            </w:pPr>
          </w:p>
          <w:p w14:paraId="06F924E6" w14:textId="77777777" w:rsidR="000C1DAD" w:rsidRPr="000C1DAD" w:rsidRDefault="000C1DAD" w:rsidP="000C1DAD">
            <w:pPr>
              <w:tabs>
                <w:tab w:val="left" w:pos="3520"/>
              </w:tabs>
              <w:spacing w:after="0" w:line="264" w:lineRule="exact"/>
              <w:ind w:left="59" w:right="-20"/>
              <w:jc w:val="both"/>
              <w:rPr>
                <w:rFonts w:ascii="Calibri" w:eastAsia="Calibri" w:hAnsi="Calibri" w:cs="Calibri"/>
                <w:lang w:val="es-CO"/>
              </w:rPr>
            </w:pPr>
            <w:r w:rsidRPr="000C1DAD">
              <w:rPr>
                <w:rFonts w:ascii="Calibri" w:eastAsia="Calibri" w:hAnsi="Calibri" w:cs="Calibri"/>
                <w:lang w:val="es-CO"/>
              </w:rPr>
              <w:t xml:space="preserve">EN CUANTO AL SEGURO: la Póliza de Seguro de Responsabilidad Civil Extracontractual No. 1507222001226, ofrece cobertura material en cuanto se ampara la responsabilidad extracontractual en que pueda incurrir el asegurado, afectándose el amparo de “predios, labores y </w:t>
            </w:r>
            <w:r w:rsidRPr="000C1DAD">
              <w:rPr>
                <w:rFonts w:ascii="Calibri" w:eastAsia="Calibri" w:hAnsi="Calibri" w:cs="Calibri"/>
                <w:lang w:val="es-CO"/>
              </w:rPr>
              <w:lastRenderedPageBreak/>
              <w:t xml:space="preserve">operaciones”. Por otro lado, temporalmente también ofrece cobertura teniendo en cuenta que la póliza se suscribió en la modalidad de cobertura de ocurrencia, la vigencia de la póliza va desde 30/04/2022 hasta el 01/12/2022.  y los hechos ocurrieron el 15/10/2022, es decir, se realizó dentro de la vigencia de la póliza.  </w:t>
            </w:r>
          </w:p>
          <w:p w14:paraId="1F094840" w14:textId="77777777" w:rsidR="000C1DAD" w:rsidRPr="000C1DAD" w:rsidRDefault="000C1DAD" w:rsidP="000C1DAD">
            <w:pPr>
              <w:tabs>
                <w:tab w:val="left" w:pos="3520"/>
              </w:tabs>
              <w:spacing w:after="0" w:line="264" w:lineRule="exact"/>
              <w:ind w:left="59" w:right="-20"/>
              <w:jc w:val="both"/>
              <w:rPr>
                <w:rFonts w:ascii="Calibri" w:eastAsia="Calibri" w:hAnsi="Calibri" w:cs="Calibri"/>
                <w:lang w:val="es-CO"/>
              </w:rPr>
            </w:pPr>
            <w:r w:rsidRPr="000C1DAD">
              <w:rPr>
                <w:rFonts w:ascii="Calibri" w:eastAsia="Calibri" w:hAnsi="Calibri" w:cs="Calibri"/>
                <w:lang w:val="es-CO"/>
              </w:rPr>
              <w:t xml:space="preserve"> </w:t>
            </w:r>
          </w:p>
          <w:p w14:paraId="425119B2" w14:textId="422577AC" w:rsidR="007E3E69" w:rsidRPr="00675B7A" w:rsidRDefault="000C1DAD" w:rsidP="000C1DAD">
            <w:pPr>
              <w:tabs>
                <w:tab w:val="left" w:pos="3520"/>
              </w:tabs>
              <w:spacing w:after="0" w:line="264" w:lineRule="exact"/>
              <w:ind w:left="59" w:right="-20"/>
              <w:jc w:val="both"/>
              <w:rPr>
                <w:rFonts w:ascii="Calibri" w:eastAsia="Calibri" w:hAnsi="Calibri" w:cs="Calibri"/>
                <w:lang w:val="es-CO"/>
              </w:rPr>
            </w:pPr>
            <w:r w:rsidRPr="000C1DAD">
              <w:rPr>
                <w:rFonts w:ascii="Calibri" w:eastAsia="Calibri" w:hAnsi="Calibri" w:cs="Calibri"/>
                <w:lang w:val="es-CO"/>
              </w:rPr>
              <w:t>EN CUANTO A LA RESPONSABILIDAD DEL ASEGURADO: la calificación de la contingencia es remota porque no existen pruebas que acrediten la responsabilidad del asegurado. Por una parte, no se aporta Informe Policial de Accidente de Tránsito que acredite la ocurrencia del accidente, y si bien se allegan unas fotografías donde se observa un hueco sobre la vía, estas no brindan certeza sobre el lugar y fecha en que fueron tomadas. Por otra parte, se aporta la historia clínica de la paciente donde se indica que recibió atención médica por accidente de tránsito, sin embargo, lo que en ella se registra sobre el accidente corresponde a las mismas declaraciones de la demandante. Así las cosas, no existen elementos de prueba que acrediten el mal estado de la vía ni la omisión del distrito en el mantenimiento y señalización de esta. Lo anterior, sin perjuicio del carácter contingente del proceso.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F60BDC6" w14:textId="699D59CB"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8F7272">
              <w:rPr>
                <w:rFonts w:ascii="Calibri" w:eastAsia="Calibri" w:hAnsi="Calibri" w:cs="Calibri"/>
                <w:lang w:val="es-CO"/>
              </w:rPr>
              <w:t>2.748.898</w:t>
            </w:r>
            <w:r>
              <w:rPr>
                <w:rFonts w:ascii="Calibri" w:eastAsia="Calibri" w:hAnsi="Calibri" w:cs="Calibri"/>
                <w:lang w:val="es-CO"/>
              </w:rPr>
              <w:t xml:space="preserve"> Correspondiente al </w:t>
            </w:r>
            <w:r w:rsidR="00C82465">
              <w:rPr>
                <w:rFonts w:ascii="Calibri" w:eastAsia="Calibri" w:hAnsi="Calibri" w:cs="Calibri"/>
                <w:lang w:val="es-CO"/>
              </w:rPr>
              <w:t>5</w:t>
            </w:r>
            <w:r>
              <w:rPr>
                <w:rFonts w:ascii="Calibri" w:eastAsia="Calibri" w:hAnsi="Calibri" w:cs="Calibri"/>
                <w:lang w:val="es-CO"/>
              </w:rPr>
              <w:t>% del valor de la contingencia</w:t>
            </w:r>
            <w:r w:rsidR="00D14C52">
              <w:rPr>
                <w:rFonts w:ascii="Calibri" w:eastAsia="Calibri" w:hAnsi="Calibri" w:cs="Calibri"/>
                <w:lang w:val="es-CO"/>
              </w:rPr>
              <w:t xml:space="preserve">. En el presente caso no nos acogemos al valor </w:t>
            </w:r>
            <w:r w:rsidR="00A60977">
              <w:rPr>
                <w:rFonts w:ascii="Calibri" w:eastAsia="Calibri" w:hAnsi="Calibri" w:cs="Calibri"/>
                <w:lang w:val="es-CO"/>
              </w:rPr>
              <w:t xml:space="preserve">de $11.114.632 </w:t>
            </w:r>
            <w:r w:rsidR="00D14C52">
              <w:rPr>
                <w:rFonts w:ascii="Calibri" w:eastAsia="Calibri" w:hAnsi="Calibri" w:cs="Calibri"/>
                <w:lang w:val="es-CO"/>
              </w:rPr>
              <w:t xml:space="preserve">sugerido por el modelo de riesgo técnico </w:t>
            </w:r>
            <w:r w:rsidR="00E311E7">
              <w:rPr>
                <w:rFonts w:ascii="Calibri" w:eastAsia="Calibri" w:hAnsi="Calibri" w:cs="Calibri"/>
                <w:lang w:val="es-CO"/>
              </w:rPr>
              <w:t>jurídico</w:t>
            </w:r>
            <w:r>
              <w:rPr>
                <w:rFonts w:ascii="Calibri" w:eastAsia="Calibri" w:hAnsi="Calibri" w:cs="Calibri"/>
                <w:lang w:val="es-CO"/>
              </w:rPr>
              <w:t xml:space="preserve"> </w:t>
            </w:r>
          </w:p>
          <w:p w14:paraId="45464D62" w14:textId="77777777" w:rsidR="00D14C52" w:rsidRDefault="00D14C52" w:rsidP="007E3E69">
            <w:pPr>
              <w:spacing w:after="0" w:line="239" w:lineRule="auto"/>
              <w:ind w:left="59" w:right="-2"/>
              <w:jc w:val="both"/>
              <w:rPr>
                <w:rFonts w:ascii="Calibri" w:eastAsia="Calibri" w:hAnsi="Calibri" w:cs="Calibri"/>
                <w:lang w:val="es-CO"/>
              </w:rPr>
            </w:pPr>
          </w:p>
          <w:p w14:paraId="4A0CA8E0" w14:textId="2DA462B9" w:rsidR="00D14C52" w:rsidRDefault="00A60977" w:rsidP="007E3E69">
            <w:pPr>
              <w:spacing w:after="0" w:line="239" w:lineRule="auto"/>
              <w:ind w:left="59" w:right="-2"/>
              <w:jc w:val="both"/>
              <w:rPr>
                <w:rFonts w:ascii="Calibri" w:eastAsia="Calibri" w:hAnsi="Calibri" w:cs="Calibri"/>
                <w:lang w:val="es-CO"/>
              </w:rPr>
            </w:pPr>
            <w:r w:rsidRPr="00A60977">
              <w:rPr>
                <w:rFonts w:ascii="Calibri" w:eastAsia="Calibri" w:hAnsi="Calibri" w:cs="Calibri"/>
                <w:lang w:val="es-CO"/>
              </w:rPr>
              <w:drawing>
                <wp:inline distT="0" distB="0" distL="0" distR="0" wp14:anchorId="166C13E0" wp14:editId="4B43397D">
                  <wp:extent cx="3010535" cy="100965"/>
                  <wp:effectExtent l="0" t="0" r="0" b="0"/>
                  <wp:docPr id="816961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61639" name=""/>
                          <pic:cNvPicPr/>
                        </pic:nvPicPr>
                        <pic:blipFill>
                          <a:blip r:embed="rId8"/>
                          <a:stretch>
                            <a:fillRect/>
                          </a:stretch>
                        </pic:blipFill>
                        <pic:spPr>
                          <a:xfrm>
                            <a:off x="0" y="0"/>
                            <a:ext cx="3010535" cy="100965"/>
                          </a:xfrm>
                          <a:prstGeom prst="rect">
                            <a:avLst/>
                          </a:prstGeom>
                        </pic:spPr>
                      </pic:pic>
                    </a:graphicData>
                  </a:graphic>
                </wp:inline>
              </w:drawing>
            </w:r>
          </w:p>
          <w:p w14:paraId="321A1BB9" w14:textId="3517B637" w:rsidR="00D14C52" w:rsidRPr="00F56E1E" w:rsidRDefault="00D14C52" w:rsidP="007E3E69">
            <w:pPr>
              <w:spacing w:after="0" w:line="239" w:lineRule="auto"/>
              <w:ind w:left="59" w:right="-2"/>
              <w:jc w:val="both"/>
              <w:rPr>
                <w:rFonts w:ascii="Calibri" w:eastAsia="Calibri" w:hAnsi="Calibri" w:cs="Calibri"/>
                <w:lang w:val="es-CO"/>
              </w:rPr>
            </w:pP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8018BE3" w:rsidR="007E3E69" w:rsidRPr="00990765" w:rsidRDefault="00E311E7" w:rsidP="00990765">
            <w:pPr>
              <w:rPr>
                <w:rFonts w:ascii="Calibri" w:eastAsia="Calibri" w:hAnsi="Calibri" w:cs="Calibri"/>
                <w:lang w:val="es-CO"/>
              </w:rPr>
            </w:pPr>
            <w:r>
              <w:rPr>
                <w:rFonts w:ascii="Calibri" w:eastAsia="Calibri" w:hAnsi="Calibri" w:cs="Calibri"/>
                <w:lang w:val="es-CO"/>
              </w:rPr>
              <w:t xml:space="preserve">El 20-05-2025 se da traslado al informe pericial de Medicina Legal, el proceso se encuentra en etapa probatoria </w:t>
            </w:r>
            <w:r w:rsidR="005B37F7" w:rsidRPr="00990765">
              <w:rPr>
                <w:rFonts w:ascii="Calibri" w:eastAsia="Calibri" w:hAnsi="Calibri" w:cs="Calibri"/>
                <w:lang w:val="es-CO"/>
              </w:rPr>
              <w:t xml:space="preserve">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120B5B62"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procesal se recomienda no tener animo conciliatorio, conforme a lo expuesto en el concepto jurídico.  Defender a la compañía conforme a las excepciones </w:t>
            </w:r>
            <w:r w:rsidR="00A40040">
              <w:rPr>
                <w:rFonts w:ascii="Calibri" w:eastAsia="Calibri" w:hAnsi="Calibri" w:cs="Calibri"/>
                <w:lang w:val="es-CO"/>
              </w:rPr>
              <w:t xml:space="preserve">propuestas en la contestación de la demanda. </w:t>
            </w:r>
            <w:r w:rsidR="00AB0031">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A557" w14:textId="77777777" w:rsidR="008B048B" w:rsidRDefault="008B048B" w:rsidP="00464E10">
      <w:pPr>
        <w:spacing w:after="0" w:line="240" w:lineRule="auto"/>
      </w:pPr>
      <w:r>
        <w:separator/>
      </w:r>
    </w:p>
  </w:endnote>
  <w:endnote w:type="continuationSeparator" w:id="0">
    <w:p w14:paraId="23E9C189" w14:textId="77777777" w:rsidR="008B048B" w:rsidRDefault="008B048B"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0B69" w14:textId="77777777" w:rsidR="008B048B" w:rsidRDefault="008B048B" w:rsidP="00464E10">
      <w:pPr>
        <w:spacing w:after="0" w:line="240" w:lineRule="auto"/>
      </w:pPr>
      <w:r>
        <w:separator/>
      </w:r>
    </w:p>
  </w:footnote>
  <w:footnote w:type="continuationSeparator" w:id="0">
    <w:p w14:paraId="7BB06585" w14:textId="77777777" w:rsidR="008B048B" w:rsidRDefault="008B048B"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040B29"/>
    <w:multiLevelType w:val="hybridMultilevel"/>
    <w:tmpl w:val="C1625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EB5292"/>
    <w:multiLevelType w:val="hybridMultilevel"/>
    <w:tmpl w:val="7FDE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621947"/>
    <w:multiLevelType w:val="hybridMultilevel"/>
    <w:tmpl w:val="31C2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2464CC"/>
    <w:multiLevelType w:val="hybridMultilevel"/>
    <w:tmpl w:val="860C1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7F3A0B"/>
    <w:multiLevelType w:val="hybridMultilevel"/>
    <w:tmpl w:val="15442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5"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8"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11A5B91"/>
    <w:multiLevelType w:val="hybridMultilevel"/>
    <w:tmpl w:val="97ECD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9967B4F"/>
    <w:multiLevelType w:val="hybridMultilevel"/>
    <w:tmpl w:val="963E5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B6D7069"/>
    <w:multiLevelType w:val="hybridMultilevel"/>
    <w:tmpl w:val="621E8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B8112BB"/>
    <w:multiLevelType w:val="hybridMultilevel"/>
    <w:tmpl w:val="67022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3"/>
  </w:num>
  <w:num w:numId="2" w16cid:durableId="42338022">
    <w:abstractNumId w:val="37"/>
  </w:num>
  <w:num w:numId="3" w16cid:durableId="1952973066">
    <w:abstractNumId w:val="3"/>
  </w:num>
  <w:num w:numId="4" w16cid:durableId="391923332">
    <w:abstractNumId w:val="41"/>
  </w:num>
  <w:num w:numId="5" w16cid:durableId="1485508420">
    <w:abstractNumId w:val="29"/>
  </w:num>
  <w:num w:numId="6" w16cid:durableId="1229027101">
    <w:abstractNumId w:val="34"/>
  </w:num>
  <w:num w:numId="7" w16cid:durableId="1831141430">
    <w:abstractNumId w:val="20"/>
  </w:num>
  <w:num w:numId="8" w16cid:durableId="861169331">
    <w:abstractNumId w:val="23"/>
  </w:num>
  <w:num w:numId="9" w16cid:durableId="1243679302">
    <w:abstractNumId w:val="25"/>
  </w:num>
  <w:num w:numId="10" w16cid:durableId="289168077">
    <w:abstractNumId w:val="17"/>
  </w:num>
  <w:num w:numId="11" w16cid:durableId="1263798435">
    <w:abstractNumId w:val="4"/>
  </w:num>
  <w:num w:numId="12" w16cid:durableId="1956205555">
    <w:abstractNumId w:val="38"/>
  </w:num>
  <w:num w:numId="13" w16cid:durableId="1164202511">
    <w:abstractNumId w:val="32"/>
  </w:num>
  <w:num w:numId="14" w16cid:durableId="1412507570">
    <w:abstractNumId w:val="10"/>
  </w:num>
  <w:num w:numId="15" w16cid:durableId="730425482">
    <w:abstractNumId w:val="35"/>
  </w:num>
  <w:num w:numId="16" w16cid:durableId="846746930">
    <w:abstractNumId w:val="16"/>
  </w:num>
  <w:num w:numId="17" w16cid:durableId="1673409162">
    <w:abstractNumId w:val="2"/>
  </w:num>
  <w:num w:numId="18" w16cid:durableId="524446047">
    <w:abstractNumId w:val="21"/>
  </w:num>
  <w:num w:numId="19" w16cid:durableId="1772358953">
    <w:abstractNumId w:val="5"/>
  </w:num>
  <w:num w:numId="20" w16cid:durableId="1079061137">
    <w:abstractNumId w:val="30"/>
  </w:num>
  <w:num w:numId="21" w16cid:durableId="254285786">
    <w:abstractNumId w:val="26"/>
  </w:num>
  <w:num w:numId="22" w16cid:durableId="903758410">
    <w:abstractNumId w:val="36"/>
  </w:num>
  <w:num w:numId="23" w16cid:durableId="1133912039">
    <w:abstractNumId w:val="12"/>
  </w:num>
  <w:num w:numId="24" w16cid:durableId="826048483">
    <w:abstractNumId w:val="0"/>
  </w:num>
  <w:num w:numId="25" w16cid:durableId="1716350039">
    <w:abstractNumId w:val="11"/>
  </w:num>
  <w:num w:numId="26" w16cid:durableId="780414419">
    <w:abstractNumId w:val="14"/>
  </w:num>
  <w:num w:numId="27" w16cid:durableId="2125926578">
    <w:abstractNumId w:val="15"/>
  </w:num>
  <w:num w:numId="28" w16cid:durableId="1008749095">
    <w:abstractNumId w:val="1"/>
  </w:num>
  <w:num w:numId="29" w16cid:durableId="708142430">
    <w:abstractNumId w:val="9"/>
  </w:num>
  <w:num w:numId="30" w16cid:durableId="1433361525">
    <w:abstractNumId w:val="19"/>
  </w:num>
  <w:num w:numId="31" w16cid:durableId="428818017">
    <w:abstractNumId w:val="27"/>
  </w:num>
  <w:num w:numId="32" w16cid:durableId="1071460613">
    <w:abstractNumId w:val="33"/>
  </w:num>
  <w:num w:numId="33" w16cid:durableId="1465543123">
    <w:abstractNumId w:val="6"/>
  </w:num>
  <w:num w:numId="34" w16cid:durableId="1374694097">
    <w:abstractNumId w:val="39"/>
  </w:num>
  <w:num w:numId="35" w16cid:durableId="112209532">
    <w:abstractNumId w:val="28"/>
  </w:num>
  <w:num w:numId="36" w16cid:durableId="364411239">
    <w:abstractNumId w:val="8"/>
  </w:num>
  <w:num w:numId="37" w16cid:durableId="1380862366">
    <w:abstractNumId w:val="42"/>
  </w:num>
  <w:num w:numId="38" w16cid:durableId="1532690456">
    <w:abstractNumId w:val="31"/>
  </w:num>
  <w:num w:numId="39" w16cid:durableId="1297371438">
    <w:abstractNumId w:val="22"/>
  </w:num>
  <w:num w:numId="40" w16cid:durableId="806973852">
    <w:abstractNumId w:val="18"/>
  </w:num>
  <w:num w:numId="41" w16cid:durableId="1925265370">
    <w:abstractNumId w:val="43"/>
  </w:num>
  <w:num w:numId="42" w16cid:durableId="1171263562">
    <w:abstractNumId w:val="7"/>
  </w:num>
  <w:num w:numId="43" w16cid:durableId="1981878208">
    <w:abstractNumId w:val="44"/>
  </w:num>
  <w:num w:numId="44" w16cid:durableId="2074427580">
    <w:abstractNumId w:val="24"/>
  </w:num>
  <w:num w:numId="45" w16cid:durableId="19650369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32CB"/>
    <w:rsid w:val="00031AA9"/>
    <w:rsid w:val="00034406"/>
    <w:rsid w:val="00041E72"/>
    <w:rsid w:val="000423C5"/>
    <w:rsid w:val="00054EE9"/>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1863"/>
    <w:rsid w:val="000C1DAD"/>
    <w:rsid w:val="000C3E8B"/>
    <w:rsid w:val="000C5295"/>
    <w:rsid w:val="000D60F7"/>
    <w:rsid w:val="000E4BC1"/>
    <w:rsid w:val="000E6208"/>
    <w:rsid w:val="000E732A"/>
    <w:rsid w:val="000E7A4B"/>
    <w:rsid w:val="000E7C4C"/>
    <w:rsid w:val="000F0705"/>
    <w:rsid w:val="000F1997"/>
    <w:rsid w:val="000F4A41"/>
    <w:rsid w:val="000F5FDC"/>
    <w:rsid w:val="000F6216"/>
    <w:rsid w:val="000F62F0"/>
    <w:rsid w:val="000F74D0"/>
    <w:rsid w:val="00102029"/>
    <w:rsid w:val="0010229B"/>
    <w:rsid w:val="00111B3F"/>
    <w:rsid w:val="0011352A"/>
    <w:rsid w:val="00117292"/>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C27B7"/>
    <w:rsid w:val="001C38A7"/>
    <w:rsid w:val="001C3DB0"/>
    <w:rsid w:val="001C4D71"/>
    <w:rsid w:val="001D180D"/>
    <w:rsid w:val="001D49B0"/>
    <w:rsid w:val="001D6460"/>
    <w:rsid w:val="001D7838"/>
    <w:rsid w:val="001D7917"/>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F57"/>
    <w:rsid w:val="002F346E"/>
    <w:rsid w:val="002F6689"/>
    <w:rsid w:val="00302860"/>
    <w:rsid w:val="00303602"/>
    <w:rsid w:val="00311BE1"/>
    <w:rsid w:val="003154C4"/>
    <w:rsid w:val="00320295"/>
    <w:rsid w:val="00321781"/>
    <w:rsid w:val="00322150"/>
    <w:rsid w:val="00324DC7"/>
    <w:rsid w:val="00326857"/>
    <w:rsid w:val="00326BC1"/>
    <w:rsid w:val="003303EE"/>
    <w:rsid w:val="00333617"/>
    <w:rsid w:val="00336EAF"/>
    <w:rsid w:val="00346115"/>
    <w:rsid w:val="00351E67"/>
    <w:rsid w:val="00354F43"/>
    <w:rsid w:val="00355003"/>
    <w:rsid w:val="00355C73"/>
    <w:rsid w:val="00362DD9"/>
    <w:rsid w:val="003637A1"/>
    <w:rsid w:val="00366964"/>
    <w:rsid w:val="003707FC"/>
    <w:rsid w:val="00371BE2"/>
    <w:rsid w:val="00374006"/>
    <w:rsid w:val="00384A80"/>
    <w:rsid w:val="00385A5D"/>
    <w:rsid w:val="003873D2"/>
    <w:rsid w:val="00391B69"/>
    <w:rsid w:val="00392DA8"/>
    <w:rsid w:val="00394BB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6763"/>
    <w:rsid w:val="004E282C"/>
    <w:rsid w:val="004E391B"/>
    <w:rsid w:val="004E3C5D"/>
    <w:rsid w:val="004E43A4"/>
    <w:rsid w:val="004F4046"/>
    <w:rsid w:val="004F57FC"/>
    <w:rsid w:val="004F5B65"/>
    <w:rsid w:val="00502220"/>
    <w:rsid w:val="005053D5"/>
    <w:rsid w:val="005147D8"/>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6D79"/>
    <w:rsid w:val="00601B7A"/>
    <w:rsid w:val="00603380"/>
    <w:rsid w:val="00611AB5"/>
    <w:rsid w:val="00614827"/>
    <w:rsid w:val="00616BA5"/>
    <w:rsid w:val="00617AB9"/>
    <w:rsid w:val="00621622"/>
    <w:rsid w:val="00625A67"/>
    <w:rsid w:val="00627082"/>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307D"/>
    <w:rsid w:val="006C46E8"/>
    <w:rsid w:val="006C485B"/>
    <w:rsid w:val="006C5DDC"/>
    <w:rsid w:val="006D33C6"/>
    <w:rsid w:val="006D3D0C"/>
    <w:rsid w:val="006D4010"/>
    <w:rsid w:val="006D4E2B"/>
    <w:rsid w:val="006D7CEA"/>
    <w:rsid w:val="006E01AB"/>
    <w:rsid w:val="006E17C3"/>
    <w:rsid w:val="006E2EE8"/>
    <w:rsid w:val="006E37C9"/>
    <w:rsid w:val="006E60A9"/>
    <w:rsid w:val="006F26C4"/>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14D5"/>
    <w:rsid w:val="007D55E9"/>
    <w:rsid w:val="007E16B7"/>
    <w:rsid w:val="007E2CB7"/>
    <w:rsid w:val="007E2E45"/>
    <w:rsid w:val="007E3E69"/>
    <w:rsid w:val="007E71FA"/>
    <w:rsid w:val="007F1D16"/>
    <w:rsid w:val="007F5C9F"/>
    <w:rsid w:val="007F5DCD"/>
    <w:rsid w:val="008026C0"/>
    <w:rsid w:val="00802868"/>
    <w:rsid w:val="00803CE4"/>
    <w:rsid w:val="00804F5C"/>
    <w:rsid w:val="008076F1"/>
    <w:rsid w:val="008109AD"/>
    <w:rsid w:val="00811EC5"/>
    <w:rsid w:val="008124D1"/>
    <w:rsid w:val="00821C80"/>
    <w:rsid w:val="0082639E"/>
    <w:rsid w:val="00827266"/>
    <w:rsid w:val="008344C7"/>
    <w:rsid w:val="0083734C"/>
    <w:rsid w:val="008403B3"/>
    <w:rsid w:val="008426FB"/>
    <w:rsid w:val="00850347"/>
    <w:rsid w:val="00851A8F"/>
    <w:rsid w:val="00852EA4"/>
    <w:rsid w:val="00854EC2"/>
    <w:rsid w:val="0085526A"/>
    <w:rsid w:val="00856A08"/>
    <w:rsid w:val="00865C31"/>
    <w:rsid w:val="00866392"/>
    <w:rsid w:val="00866546"/>
    <w:rsid w:val="00866E11"/>
    <w:rsid w:val="0087349D"/>
    <w:rsid w:val="0088101E"/>
    <w:rsid w:val="00883A86"/>
    <w:rsid w:val="00883B55"/>
    <w:rsid w:val="00883EB4"/>
    <w:rsid w:val="00884A1F"/>
    <w:rsid w:val="00892EE8"/>
    <w:rsid w:val="00894866"/>
    <w:rsid w:val="00895646"/>
    <w:rsid w:val="00895C5F"/>
    <w:rsid w:val="008A009D"/>
    <w:rsid w:val="008A3445"/>
    <w:rsid w:val="008B048B"/>
    <w:rsid w:val="008B0835"/>
    <w:rsid w:val="008B21E3"/>
    <w:rsid w:val="008B6960"/>
    <w:rsid w:val="008C5740"/>
    <w:rsid w:val="008C58F4"/>
    <w:rsid w:val="008D3933"/>
    <w:rsid w:val="008E1A5C"/>
    <w:rsid w:val="008E3EA0"/>
    <w:rsid w:val="008F4797"/>
    <w:rsid w:val="008F7272"/>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608C8"/>
    <w:rsid w:val="00961A7E"/>
    <w:rsid w:val="00961EF3"/>
    <w:rsid w:val="00971290"/>
    <w:rsid w:val="00972C94"/>
    <w:rsid w:val="0097396F"/>
    <w:rsid w:val="00976316"/>
    <w:rsid w:val="00976E25"/>
    <w:rsid w:val="00981863"/>
    <w:rsid w:val="00984A87"/>
    <w:rsid w:val="00984F86"/>
    <w:rsid w:val="00990765"/>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332D"/>
    <w:rsid w:val="009E41AC"/>
    <w:rsid w:val="009E69D0"/>
    <w:rsid w:val="009F1C24"/>
    <w:rsid w:val="009F4C3A"/>
    <w:rsid w:val="009F5BCE"/>
    <w:rsid w:val="00A0000B"/>
    <w:rsid w:val="00A01F7B"/>
    <w:rsid w:val="00A0611F"/>
    <w:rsid w:val="00A06916"/>
    <w:rsid w:val="00A06D0B"/>
    <w:rsid w:val="00A11903"/>
    <w:rsid w:val="00A1229F"/>
    <w:rsid w:val="00A12E26"/>
    <w:rsid w:val="00A140D6"/>
    <w:rsid w:val="00A14760"/>
    <w:rsid w:val="00A15682"/>
    <w:rsid w:val="00A15D53"/>
    <w:rsid w:val="00A2181E"/>
    <w:rsid w:val="00A22F3B"/>
    <w:rsid w:val="00A342B0"/>
    <w:rsid w:val="00A367C9"/>
    <w:rsid w:val="00A37B9C"/>
    <w:rsid w:val="00A40040"/>
    <w:rsid w:val="00A41C1B"/>
    <w:rsid w:val="00A41E0B"/>
    <w:rsid w:val="00A4446F"/>
    <w:rsid w:val="00A5073F"/>
    <w:rsid w:val="00A53F9B"/>
    <w:rsid w:val="00A559F0"/>
    <w:rsid w:val="00A60977"/>
    <w:rsid w:val="00A60E21"/>
    <w:rsid w:val="00A64747"/>
    <w:rsid w:val="00A66142"/>
    <w:rsid w:val="00A66DEB"/>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3149"/>
    <w:rsid w:val="00AE488E"/>
    <w:rsid w:val="00AE627F"/>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71827"/>
    <w:rsid w:val="00B77D7D"/>
    <w:rsid w:val="00B82995"/>
    <w:rsid w:val="00B83D1F"/>
    <w:rsid w:val="00B876CE"/>
    <w:rsid w:val="00B91A88"/>
    <w:rsid w:val="00B9207B"/>
    <w:rsid w:val="00B93965"/>
    <w:rsid w:val="00B94ABF"/>
    <w:rsid w:val="00B95852"/>
    <w:rsid w:val="00B96380"/>
    <w:rsid w:val="00BA1A0A"/>
    <w:rsid w:val="00BA6779"/>
    <w:rsid w:val="00BB30BA"/>
    <w:rsid w:val="00BB3608"/>
    <w:rsid w:val="00BB4608"/>
    <w:rsid w:val="00BB57A2"/>
    <w:rsid w:val="00BB5BDC"/>
    <w:rsid w:val="00BC4ECC"/>
    <w:rsid w:val="00BC5AE0"/>
    <w:rsid w:val="00BC5F8F"/>
    <w:rsid w:val="00BC6D63"/>
    <w:rsid w:val="00BC7A1B"/>
    <w:rsid w:val="00BD32E0"/>
    <w:rsid w:val="00BD40E1"/>
    <w:rsid w:val="00BE2545"/>
    <w:rsid w:val="00BE6389"/>
    <w:rsid w:val="00BF2E26"/>
    <w:rsid w:val="00BF3035"/>
    <w:rsid w:val="00BF3336"/>
    <w:rsid w:val="00BF3A80"/>
    <w:rsid w:val="00BF3FDB"/>
    <w:rsid w:val="00BF50C1"/>
    <w:rsid w:val="00BF6D0C"/>
    <w:rsid w:val="00BF7970"/>
    <w:rsid w:val="00C0163E"/>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F4150"/>
    <w:rsid w:val="00D0035A"/>
    <w:rsid w:val="00D024FE"/>
    <w:rsid w:val="00D0271C"/>
    <w:rsid w:val="00D0745D"/>
    <w:rsid w:val="00D12F97"/>
    <w:rsid w:val="00D14B03"/>
    <w:rsid w:val="00D14B62"/>
    <w:rsid w:val="00D14C5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5A01"/>
    <w:rsid w:val="00DE57FC"/>
    <w:rsid w:val="00DF342B"/>
    <w:rsid w:val="00E05524"/>
    <w:rsid w:val="00E11423"/>
    <w:rsid w:val="00E124F5"/>
    <w:rsid w:val="00E16B3C"/>
    <w:rsid w:val="00E23CE2"/>
    <w:rsid w:val="00E253F5"/>
    <w:rsid w:val="00E27653"/>
    <w:rsid w:val="00E3105D"/>
    <w:rsid w:val="00E311E7"/>
    <w:rsid w:val="00E33B85"/>
    <w:rsid w:val="00E379DC"/>
    <w:rsid w:val="00E40874"/>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7270C"/>
    <w:rsid w:val="00F7655B"/>
    <w:rsid w:val="00F77105"/>
    <w:rsid w:val="00F82B45"/>
    <w:rsid w:val="00F8312B"/>
    <w:rsid w:val="00F8432A"/>
    <w:rsid w:val="00FA2802"/>
    <w:rsid w:val="00FA425C"/>
    <w:rsid w:val="00FA4C79"/>
    <w:rsid w:val="00FB123E"/>
    <w:rsid w:val="00FB23AB"/>
    <w:rsid w:val="00FB618B"/>
    <w:rsid w:val="00FC2030"/>
    <w:rsid w:val="00FC4095"/>
    <w:rsid w:val="00FC4C1A"/>
    <w:rsid w:val="00FC6E94"/>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5867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2025-05-21T00:39:00Z</dcterms:created>
  <dcterms:modified xsi:type="dcterms:W3CDTF">2025-05-21T00:39:00Z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