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96E6C" w14:textId="7F49934B" w:rsidR="0013514A" w:rsidRPr="00494FB8" w:rsidRDefault="0013514A" w:rsidP="0013514A">
      <w:pPr>
        <w:spacing w:after="0"/>
        <w:ind w:left="735" w:right="45" w:hanging="451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494FB8">
        <w:rPr>
          <w:rFonts w:ascii="Arial" w:hAnsi="Arial" w:cs="Arial"/>
          <w:b/>
          <w:bCs/>
          <w:sz w:val="24"/>
          <w:szCs w:val="24"/>
        </w:rPr>
        <w:t>ACUERDO CONCILIATORIO</w:t>
      </w:r>
    </w:p>
    <w:p w14:paraId="1BD2CAEF" w14:textId="77777777" w:rsidR="0013514A" w:rsidRPr="00494FB8" w:rsidRDefault="0013514A" w:rsidP="0013514A">
      <w:pPr>
        <w:spacing w:after="0"/>
        <w:ind w:left="735" w:right="45" w:hanging="451"/>
        <w:jc w:val="both"/>
        <w:textAlignment w:val="baseline"/>
      </w:pPr>
    </w:p>
    <w:p w14:paraId="364843F5" w14:textId="3C109357" w:rsidR="000F3BCE" w:rsidRPr="00494FB8" w:rsidRDefault="000F3BCE" w:rsidP="0013514A">
      <w:pPr>
        <w:pStyle w:val="paragraph"/>
        <w:numPr>
          <w:ilvl w:val="0"/>
          <w:numId w:val="1"/>
        </w:numPr>
        <w:spacing w:before="0" w:beforeAutospacing="0" w:after="0" w:afterAutospacing="0"/>
        <w:ind w:right="45" w:hanging="451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Las partes han decidido, de manera libre y voluntaria, conciliar todas las diferencias que han 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surgido o que puedan llegar a surgir entre ellas, derivadas de los hechos ocurridos el </w:t>
      </w:r>
      <w:r w:rsidR="00CF72DC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11 de diciembre de 2023 en la carrera 109 calle 25 de la Ciudad de Cali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, como consecuencia del </w:t>
      </w:r>
      <w:r w:rsidR="00CF72DC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choque de los vehículos de placas XRT58F y GIR947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del cual resultó </w:t>
      </w:r>
      <w:r w:rsidR="00CF72DC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dañado la moto de placas XRT58F d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e</w:t>
      </w:r>
      <w:r w:rsidR="00CF72DC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l</w:t>
      </w:r>
      <w:r w:rsidR="00CF72DC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a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señor</w:t>
      </w:r>
      <w:r w:rsidR="00CF72DC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a Lida Yineth Bejarano Lucumi y conducida por Sebastián Lasso Carabalí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, por la suma única, total y definitiva de </w:t>
      </w:r>
      <w:r w:rsidR="00CF72DC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dos millones ochocientos mil pesos</w:t>
      </w:r>
      <w:r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M/cte. ($</w:t>
      </w:r>
      <w:r w:rsidR="00CF72DC"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2.800.000</w:t>
      </w:r>
      <w:r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)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, que corresponde a la indemnización integral de la totalidad de los 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perjuicios reclamados por el convocante, pero sin limitarse a ellos, incluso los que se revelen 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en el futuro, independientemente de la denominación que adopten, poniendo fin a todas las 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reclamaciones extrajudiciales o judiciales realizadas o por efectuar; por lo cual </w:t>
      </w:r>
      <w:r w:rsidR="00CF72DC"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Lida Yineth Bejarano Lucumi y </w:t>
      </w:r>
      <w:proofErr w:type="spellStart"/>
      <w:r w:rsidR="00CF72DC"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Sebstian</w:t>
      </w:r>
      <w:proofErr w:type="spellEnd"/>
      <w:r w:rsidR="00CF72DC"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Lasso Carabali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desiste</w:t>
      </w:r>
      <w:r w:rsidR="00CF72DC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n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y renuncia</w:t>
      </w:r>
      <w:r w:rsidR="00CF72DC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n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libremente a todas sus pretensiones o a formular otras 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adicionales, precaviendo de ese modo eventuales y futuros litigios, motivados o relacionados 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directa o indirectamente con los hechos que convocaron a esta audiencia y sus secuelas, en 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cuanto este acuerdo comprende todos los daños y perjuicios patrimoniales y/o 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extrapatrimoniales, o de cualquier tipo que hubieren sido provocados, y los que eventualmente 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se revelen en el futuro, de manera que no se deja nada pendiente, y por eso se extiende a 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cualquier efecto o consecuencia que se relacione o asocie directa o indirectamente, aunque sea 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imprevista, con los hechos que nos convocan, por lo cual incluyen en la suma por la que se 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concilia, el pago o solución de todos los conceptos de divergencia.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 </w:t>
      </w:r>
      <w:r w:rsidRPr="00494FB8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63E85F" w14:textId="77777777" w:rsidR="000F3BCE" w:rsidRPr="00494FB8" w:rsidRDefault="000F3BCE" w:rsidP="0013514A">
      <w:pPr>
        <w:pStyle w:val="paragraph"/>
        <w:spacing w:before="0" w:beforeAutospacing="0" w:after="0" w:afterAutospacing="0"/>
        <w:ind w:left="735" w:right="45" w:hanging="451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69261A1" w14:textId="16400621" w:rsidR="000F3BCE" w:rsidRPr="00494FB8" w:rsidRDefault="000F3BCE" w:rsidP="76832730">
      <w:pPr>
        <w:pStyle w:val="paragraph"/>
        <w:numPr>
          <w:ilvl w:val="0"/>
          <w:numId w:val="2"/>
        </w:numPr>
        <w:spacing w:before="0" w:beforeAutospacing="0" w:after="0" w:afterAutospacing="0"/>
        <w:ind w:right="45" w:hanging="451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El pago de la suma citada, será realizada por</w:t>
      </w:r>
      <w:r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="00CF72DC"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La Equidad Seguros Generales Organismo Cooperativo 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a favor de </w:t>
      </w:r>
      <w:r w:rsidR="004E23F7" w:rsidRPr="004E23F7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LIDA YINETH BEJARANO LUCUMI</w:t>
      </w:r>
      <w:r w:rsidRPr="004E23F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identificado con No. de </w:t>
      </w:r>
      <w:r w:rsidR="004E23F7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CC 1.112.488.277</w:t>
      </w:r>
      <w:r w:rsidRPr="004E23F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, mediante transferencia a la cuenta </w:t>
      </w:r>
      <w:r w:rsidR="004E23F7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AHORROS</w:t>
      </w:r>
      <w:r w:rsidRPr="004E23F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4E23F7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No. </w:t>
      </w:r>
      <w:r w:rsidR="004E23F7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6782006126 </w:t>
      </w:r>
      <w:r w:rsidRPr="004E23F7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de </w:t>
      </w:r>
      <w:r w:rsidR="004E23F7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SCOTIABANK COLPATRIA 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en un plazo de </w:t>
      </w:r>
      <w:r w:rsidR="21641041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veinte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(</w:t>
      </w:r>
      <w:r w:rsidR="00CF72DC"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20</w:t>
      </w:r>
      <w:r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)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días hábiles posteriores a la fecha de presentación y recepción en la </w:t>
      </w:r>
      <w:proofErr w:type="spellStart"/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Av</w:t>
      </w:r>
      <w:proofErr w:type="spellEnd"/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6 a Bis # </w:t>
      </w:r>
      <w:proofErr w:type="spellStart"/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35n</w:t>
      </w:r>
      <w:proofErr w:type="spellEnd"/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- 100 </w:t>
      </w:r>
      <w:proofErr w:type="spellStart"/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ofc</w:t>
      </w:r>
      <w:proofErr w:type="spellEnd"/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212, Centro empresarial Chipichape en la ciudad de Cali y a la dirección electrónica </w:t>
      </w:r>
      <w:hyperlink r:id="rId5" w:history="1">
        <w:r w:rsidR="00CF72DC" w:rsidRPr="00494FB8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val="es-ES"/>
          </w:rPr>
          <w:t>ljurado@gha.com.co</w:t>
        </w:r>
      </w:hyperlink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y </w:t>
      </w:r>
      <w:hyperlink r:id="rId6" w:history="1">
        <w:r w:rsidRPr="00494FB8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val="es-ES"/>
          </w:rPr>
          <w:t>notificaciones@gha.com.co</w:t>
        </w:r>
      </w:hyperlink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, de los siguientes documentos: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 </w:t>
      </w:r>
      <w:r w:rsidRPr="00494FB8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623CF36" w14:textId="77777777" w:rsidR="0013514A" w:rsidRPr="00494FB8" w:rsidRDefault="0013514A" w:rsidP="76832730">
      <w:pPr>
        <w:pStyle w:val="paragraph"/>
        <w:spacing w:before="0" w:beforeAutospacing="0" w:after="0" w:afterAutospacing="0"/>
        <w:ind w:left="735" w:right="45" w:hanging="451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8B80C79" w14:textId="225A6C39" w:rsidR="000F3BCE" w:rsidRPr="00494FB8" w:rsidRDefault="0013514A" w:rsidP="76832730">
      <w:pPr>
        <w:pStyle w:val="paragraph"/>
        <w:spacing w:before="0" w:beforeAutospacing="0" w:after="0" w:afterAutospacing="0"/>
        <w:ind w:left="1276" w:hanging="451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3.1. </w:t>
      </w:r>
      <w:r w:rsidR="000F3BCE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Formulario de Conocimiento del cliente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y/o </w:t>
      </w:r>
      <w:proofErr w:type="spellStart"/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Sarlaft</w:t>
      </w:r>
      <w:proofErr w:type="spellEnd"/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. </w:t>
      </w:r>
    </w:p>
    <w:p w14:paraId="17C32D2A" w14:textId="67D6ED73" w:rsidR="000F3BCE" w:rsidRPr="00494FB8" w:rsidRDefault="0013514A" w:rsidP="76832730">
      <w:pPr>
        <w:pStyle w:val="paragraph"/>
        <w:spacing w:before="0" w:beforeAutospacing="0" w:after="0" w:afterAutospacing="0"/>
        <w:ind w:left="1276" w:hanging="451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3.</w:t>
      </w:r>
      <w:r w:rsidR="000F3BCE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2. Formulario de autorización pago indemnización.</w:t>
      </w:r>
    </w:p>
    <w:p w14:paraId="35A8685E" w14:textId="792A8F8C" w:rsidR="000F3BCE" w:rsidRPr="00494FB8" w:rsidRDefault="000F3BCE" w:rsidP="76832730">
      <w:pPr>
        <w:pStyle w:val="paragraph"/>
        <w:spacing w:before="0" w:beforeAutospacing="0" w:after="0" w:afterAutospacing="0"/>
        <w:ind w:left="1276" w:hanging="451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</w:pP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3.</w:t>
      </w:r>
      <w:r w:rsidR="0013514A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3.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Copia de Cédula de ciudadanía ampliada al 150% o Certificado de Existencia y R/</w:t>
      </w:r>
      <w:proofErr w:type="spellStart"/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ción</w:t>
      </w:r>
      <w:proofErr w:type="spellEnd"/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Legal. </w:t>
      </w:r>
    </w:p>
    <w:p w14:paraId="18B8BC43" w14:textId="0DA7961E" w:rsidR="000F3BCE" w:rsidRPr="00494FB8" w:rsidRDefault="0013514A" w:rsidP="76832730">
      <w:pPr>
        <w:pStyle w:val="paragraph"/>
        <w:spacing w:before="0" w:beforeAutospacing="0" w:after="0" w:afterAutospacing="0"/>
        <w:ind w:left="1276" w:hanging="451"/>
        <w:jc w:val="both"/>
        <w:textAlignment w:val="baseline"/>
        <w:rPr>
          <w:rFonts w:ascii="Arial" w:hAnsi="Arial" w:cs="Arial"/>
          <w:sz w:val="22"/>
          <w:szCs w:val="22"/>
        </w:rPr>
      </w:pP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3.</w:t>
      </w:r>
      <w:r w:rsidR="000F3BCE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4. Certificación de existencia de la cuenta bancaria de titularidad de</w:t>
      </w:r>
      <w:r w:rsidR="004E23F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LIDA YINETH BEJARANO LUCUMI</w:t>
      </w:r>
    </w:p>
    <w:p w14:paraId="021B0F37" w14:textId="6F019E33" w:rsidR="000F3BCE" w:rsidRPr="00494FB8" w:rsidRDefault="0013514A" w:rsidP="76832730">
      <w:pPr>
        <w:pStyle w:val="paragraph"/>
        <w:spacing w:before="0" w:beforeAutospacing="0" w:after="0" w:afterAutospacing="0"/>
        <w:ind w:left="1276" w:hanging="451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3.</w:t>
      </w:r>
      <w:r w:rsidR="000F3BCE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5. </w:t>
      </w:r>
      <w:r w:rsidR="00CF72DC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Contrato de transacción</w:t>
      </w:r>
      <w:r w:rsidR="000F3BCE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.</w:t>
      </w:r>
    </w:p>
    <w:p w14:paraId="63235F49" w14:textId="53254B3A" w:rsidR="000F3BCE" w:rsidRPr="00494FB8" w:rsidRDefault="0013514A" w:rsidP="00CF72DC">
      <w:pPr>
        <w:pStyle w:val="paragraph"/>
        <w:spacing w:before="0" w:beforeAutospacing="0" w:after="0" w:afterAutospacing="0"/>
        <w:ind w:left="1276" w:hanging="451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3.</w:t>
      </w:r>
      <w:r w:rsidR="000F3BCE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6. Copia del presente acuerdo de conciliación</w:t>
      </w:r>
    </w:p>
    <w:p w14:paraId="2FCCE18B" w14:textId="77777777" w:rsidR="0013514A" w:rsidRPr="00494FB8" w:rsidRDefault="0013514A" w:rsidP="0013514A">
      <w:pPr>
        <w:pStyle w:val="paragraph"/>
        <w:spacing w:before="0" w:beforeAutospacing="0" w:after="0" w:afterAutospacing="0"/>
        <w:ind w:left="735" w:hanging="451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F0B571A" w14:textId="106B06B2" w:rsidR="000F3BCE" w:rsidRPr="00494FB8" w:rsidRDefault="000F3BCE" w:rsidP="0013514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Una vez allegados los documentos en su integridad y en los términos indicados, </w:t>
      </w:r>
      <w:r w:rsidR="00CF72DC"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La Equidad Seguros Generales Organismo Cooperativo</w:t>
      </w:r>
      <w:r w:rsidR="0013514A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contará con el plazo de </w:t>
      </w:r>
      <w:r w:rsidR="00CF72DC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veinte </w:t>
      </w:r>
      <w:r w:rsidR="0013514A"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(</w:t>
      </w:r>
      <w:r w:rsidR="00CF72DC"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20</w:t>
      </w:r>
      <w:r w:rsidR="0013514A"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)</w:t>
      </w:r>
      <w:r w:rsidR="0013514A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días hábiles para realizar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el pago de la suma de dinero referida. La recepción completa de los documentos indicados en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los numerales </w:t>
      </w:r>
      <w:r w:rsidR="0013514A"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3.</w:t>
      </w:r>
      <w:r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1, </w:t>
      </w:r>
      <w:r w:rsidR="0013514A"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3.</w:t>
      </w:r>
      <w:r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2, </w:t>
      </w:r>
      <w:r w:rsidR="0013514A"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3.</w:t>
      </w:r>
      <w:r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3, </w:t>
      </w:r>
      <w:r w:rsidR="0013514A"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3.</w:t>
      </w:r>
      <w:r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4, </w:t>
      </w:r>
      <w:r w:rsidR="0013514A"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3.</w:t>
      </w:r>
      <w:r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5, y </w:t>
      </w:r>
      <w:r w:rsidR="0013514A"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3.</w:t>
      </w:r>
      <w:r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6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constituye una condición suspensiva para la exigibilidad del pago, por tal razón, hasta que éstos no sean allegados debidamente y en su totalidad</w:t>
      </w:r>
      <w:r w:rsidR="0013514A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, de manera física y electrónica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, no podrá verificarse pago alguno por parte de </w:t>
      </w:r>
      <w:r w:rsidR="00CF72DC"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La Equidad Seguros Generales Organismo Cooperativo</w:t>
      </w:r>
      <w:r w:rsidR="0013514A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. </w:t>
      </w:r>
    </w:p>
    <w:p w14:paraId="36D6816D" w14:textId="242E63E7" w:rsidR="0013514A" w:rsidRPr="00494FB8" w:rsidRDefault="0013514A" w:rsidP="0013514A">
      <w:pPr>
        <w:pStyle w:val="paragraph"/>
        <w:spacing w:before="0" w:beforeAutospacing="0" w:after="0" w:afterAutospacing="0"/>
        <w:ind w:left="735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4E06AC8" w14:textId="305E49BA" w:rsidR="0013514A" w:rsidRPr="00494FB8" w:rsidRDefault="00CF72DC" w:rsidP="0013514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</w:pPr>
      <w:r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Lida Yineth Bejarano Lucumi y </w:t>
      </w:r>
      <w:proofErr w:type="spellStart"/>
      <w:r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Seb</w:t>
      </w:r>
      <w:r w:rsid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a</w:t>
      </w:r>
      <w:r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stian</w:t>
      </w:r>
      <w:proofErr w:type="spellEnd"/>
      <w:r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Lasso Carabali</w:t>
      </w:r>
      <w:r w:rsidR="000F3BCE" w:rsidRPr="00494FB8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, de forma voluntaria y libre de todo premio y presión, bajo la gravedad de juramento, manifiestan que autorizan que el pago del dinero que les corresponde por la indemnización y reparación integral que </w:t>
      </w:r>
      <w:r w:rsidR="0013514A" w:rsidRPr="00494FB8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c</w:t>
      </w:r>
      <w:r w:rsidR="000F3BCE" w:rsidRPr="00494FB8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ancelará </w:t>
      </w:r>
      <w:r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La Equidad Seguros Generales Organismo Cooperativo</w:t>
      </w:r>
      <w:r w:rsidR="0013514A"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="000F3BCE" w:rsidRPr="00494FB8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sea efectuado a nombre de </w:t>
      </w:r>
      <w:r w:rsidR="0013514A"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[señalar nombre de quien recibe el pago *verificar facultades de recibir*]</w:t>
      </w:r>
    </w:p>
    <w:p w14:paraId="75FEB424" w14:textId="0CEE62A6" w:rsidR="0013514A" w:rsidRPr="00494FB8" w:rsidRDefault="0013514A" w:rsidP="0013514A">
      <w:pPr>
        <w:pStyle w:val="Prrafodelista"/>
        <w:rPr>
          <w:rFonts w:ascii="Arial" w:hAnsi="Arial" w:cs="Arial"/>
        </w:rPr>
      </w:pPr>
    </w:p>
    <w:p w14:paraId="54A97431" w14:textId="461E6968" w:rsidR="000F3BCE" w:rsidRPr="00494FB8" w:rsidRDefault="000F3BCE" w:rsidP="0013514A">
      <w:pPr>
        <w:pStyle w:val="paragraph"/>
        <w:spacing w:before="0" w:beforeAutospacing="0" w:after="0" w:afterAutospacing="0"/>
        <w:ind w:left="735" w:hanging="309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6. Una vez recibido el pago acordado, se entenderá ocurrido el resarcimiento que constituye la indemnización integral de todos y cada uno de los perjuicios sufridos por aquellos, éste hecho dará lugar a que se extinga por esa causa, cualquier acción penal, civil, administrativa o de otra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índole que pueda iniciarse o se hubiere iniciado en contra de los convocados o con motivo de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los hechos que dieron origen a esta conciliación.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 </w:t>
      </w:r>
      <w:r w:rsidRPr="00494FB8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3DB5532" w14:textId="6CE7F86D" w:rsidR="000F3BCE" w:rsidRPr="00494FB8" w:rsidRDefault="000F3BCE" w:rsidP="0013514A">
      <w:pPr>
        <w:pStyle w:val="paragraph"/>
        <w:spacing w:before="0" w:beforeAutospacing="0" w:after="0" w:afterAutospacing="0"/>
        <w:ind w:left="735" w:hanging="451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0600707" w14:textId="2299130E" w:rsidR="000F3BCE" w:rsidRPr="00494FB8" w:rsidRDefault="000F3BCE" w:rsidP="76832730">
      <w:pPr>
        <w:pStyle w:val="paragraph"/>
        <w:spacing w:before="0" w:beforeAutospacing="0" w:after="0" w:afterAutospacing="0"/>
        <w:ind w:left="735" w:hanging="309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7. Este acuerdo se celebra bajo la premisa de que </w:t>
      </w:r>
      <w:r w:rsidR="00CF72DC"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Lida Yineth Bejarano Lucumi y </w:t>
      </w:r>
      <w:proofErr w:type="spellStart"/>
      <w:r w:rsidR="00CF72DC"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Seb</w:t>
      </w:r>
      <w:r w:rsid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a</w:t>
      </w:r>
      <w:r w:rsidR="00CF72DC"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stian</w:t>
      </w:r>
      <w:proofErr w:type="spellEnd"/>
      <w:r w:rsidR="00CF72DC"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Lasso Carabali</w:t>
      </w:r>
      <w:r w:rsidR="00CF72DC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declara que </w:t>
      </w:r>
      <w:r w:rsidR="00CF72DC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son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l</w:t>
      </w:r>
      <w:r w:rsidR="00CF72DC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os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único</w:t>
      </w:r>
      <w:r w:rsidR="00CF72DC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s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 perjudicado</w:t>
      </w:r>
      <w:r w:rsidR="00CF72DC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s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como consecuencia de</w:t>
      </w:r>
      <w:r w:rsidR="00CF72DC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l choque de los vehículos XRT58F y GIR947 ocurrido el 11 de diciembre de 2023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, y en esa medida manifiestan que no existe ningún otro reclamante con derecho alguno, y comprometen su responsabilidad si esta declaración no corresponde a la realidad.</w:t>
      </w:r>
      <w:r w:rsidRPr="00494FB8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4EFA634B" w14:textId="77777777" w:rsidR="000F3BCE" w:rsidRPr="00494FB8" w:rsidRDefault="000F3BCE" w:rsidP="76832730">
      <w:pPr>
        <w:pStyle w:val="paragraph"/>
        <w:spacing w:before="0" w:beforeAutospacing="0" w:after="0" w:afterAutospacing="0"/>
        <w:ind w:left="735" w:hanging="451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6C02695" w14:textId="6FA4591C" w:rsidR="000F3BCE" w:rsidRPr="00494FB8" w:rsidRDefault="00962680" w:rsidP="76832730">
      <w:pPr>
        <w:pStyle w:val="paragraph"/>
        <w:spacing w:before="0" w:beforeAutospacing="0" w:after="0" w:afterAutospacing="0"/>
        <w:ind w:left="735" w:hanging="2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DE5841" wp14:editId="6227FCFD">
            <wp:simplePos x="0" y="0"/>
            <wp:positionH relativeFrom="column">
              <wp:posOffset>2755265</wp:posOffset>
            </wp:positionH>
            <wp:positionV relativeFrom="paragraph">
              <wp:posOffset>2400935</wp:posOffset>
            </wp:positionV>
            <wp:extent cx="2190750" cy="861874"/>
            <wp:effectExtent l="0" t="0" r="0" b="0"/>
            <wp:wrapNone/>
            <wp:docPr id="117751615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6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2DC"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Lida Yineth Bejarano Lucumi y </w:t>
      </w:r>
      <w:proofErr w:type="spellStart"/>
      <w:r w:rsidR="00CF72DC"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Seb</w:t>
      </w:r>
      <w:r w:rsid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a</w:t>
      </w:r>
      <w:r w:rsidR="00CF72DC"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stian</w:t>
      </w:r>
      <w:proofErr w:type="spellEnd"/>
      <w:r w:rsidR="00CF72DC"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Lasso Carabali</w:t>
      </w:r>
      <w:r w:rsidR="000F3BCE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, bajo la gravedad de juramento, manifiesta expresamente que él es el único con derecho a ser resarcido y la única persona que podría reclamar una indemnización, </w:t>
      </w:r>
      <w:r w:rsidR="000F3BCE" w:rsidRPr="00494FB8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0F3BCE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a raíz del </w:t>
      </w:r>
      <w:r w:rsidR="00CF72DC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choque de los vehículos XRT58F y GIR947 ocurrido el 11 de diciembre de 2023</w:t>
      </w:r>
      <w:r w:rsidR="000F3BCE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que nos convoca a esta diligencia, y afirma que sabe que no existen </w:t>
      </w:r>
      <w:r w:rsidR="000F3BCE" w:rsidRPr="00494FB8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0F3BCE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otras personas que puedan alegar derecho alguno o que tengan derecho a reclamar una </w:t>
      </w:r>
      <w:r w:rsidR="000F3BCE" w:rsidRPr="00494FB8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0F3BCE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indemnización por </w:t>
      </w:r>
      <w:r w:rsidR="00494FB8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choque de los vehículos XRT58F y GIR947 ocurrido el 11 de diciembre de 2023 </w:t>
      </w:r>
      <w:r w:rsidR="000F3BCE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o con ocasión del acuerdo del resarcimiento aquí reconocido; </w:t>
      </w:r>
      <w:r w:rsidR="000F3BCE" w:rsidRPr="00494FB8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0F3BCE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declaración ésta en virtud de la cual </w:t>
      </w:r>
      <w:r w:rsidR="00494FB8" w:rsidRPr="00494F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La Equidad Seguros Generales Organismo Cooperativo</w:t>
      </w:r>
      <w:r w:rsidR="000F3BCE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, acepta y celebra este acuerdo. En virtud de ello, el reclamante se compromete a responder con su propio peculio, ante la eventual aparición de personas que aleguen y puedan acreditar tener algún derecho que se derive del </w:t>
      </w:r>
      <w:r w:rsidR="00494FB8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choque de los vehículos XRT58F y GIR947 ocurrido el 11 de diciembre de 2023 </w:t>
      </w:r>
      <w:r w:rsidR="000F3BCE" w:rsidRPr="00494FB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que hoy se concilia, de manera que el reclamante garantiza que él será quien indemnice a esas personas que eventualmente se presenten. </w:t>
      </w:r>
      <w:r w:rsidR="000F3BCE" w:rsidRPr="00494FB8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A414517" w14:textId="33416AA0" w:rsidR="00831D1A" w:rsidRDefault="00831D1A" w:rsidP="0013514A">
      <w:pPr>
        <w:ind w:left="735" w:hanging="451"/>
        <w:jc w:val="both"/>
        <w:rPr>
          <w:rFonts w:ascii="Arial" w:hAnsi="Arial" w:cs="Arial"/>
        </w:rPr>
      </w:pPr>
    </w:p>
    <w:p w14:paraId="6EDDEBD3" w14:textId="4B05AABC" w:rsidR="00494FB8" w:rsidRDefault="00962680" w:rsidP="00494FB8">
      <w:pPr>
        <w:spacing w:after="0"/>
        <w:ind w:left="735" w:hanging="451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1212C9D" wp14:editId="43DF21FF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359452" cy="774065"/>
            <wp:effectExtent l="0" t="0" r="0" b="0"/>
            <wp:wrapNone/>
            <wp:docPr id="16665971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597118" name="Imagen 16665971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452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82264" w14:textId="77777777" w:rsidR="004E23F7" w:rsidRDefault="004E23F7" w:rsidP="00494FB8">
      <w:pPr>
        <w:spacing w:after="0"/>
        <w:ind w:left="735" w:hanging="451"/>
        <w:jc w:val="both"/>
        <w:rPr>
          <w:rFonts w:ascii="Arial" w:hAnsi="Arial" w:cs="Arial"/>
        </w:rPr>
      </w:pPr>
    </w:p>
    <w:p w14:paraId="6E1636F8" w14:textId="4DB1B255" w:rsidR="004E23F7" w:rsidRDefault="004E23F7" w:rsidP="00494FB8">
      <w:pPr>
        <w:spacing w:after="0"/>
        <w:ind w:left="735" w:hanging="451"/>
        <w:jc w:val="both"/>
        <w:rPr>
          <w:rFonts w:ascii="Arial" w:hAnsi="Arial" w:cs="Arial"/>
        </w:rPr>
      </w:pPr>
    </w:p>
    <w:p w14:paraId="4D777BA3" w14:textId="1AD11C7E" w:rsidR="00494FB8" w:rsidRDefault="00494FB8" w:rsidP="00494FB8">
      <w:pPr>
        <w:spacing w:after="0"/>
        <w:ind w:left="735" w:hanging="451"/>
        <w:jc w:val="both"/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s-ES"/>
        </w:rPr>
      </w:pPr>
      <w:r w:rsidRPr="00494FB8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s-ES"/>
        </w:rPr>
        <w:t xml:space="preserve">Lida Yineth Bejarano Lucumi 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s-ES"/>
        </w:rPr>
        <w:tab/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s-ES"/>
        </w:rPr>
        <w:tab/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s-ES"/>
        </w:rPr>
        <w:tab/>
      </w:r>
      <w:proofErr w:type="spellStart"/>
      <w:r w:rsidRPr="00494FB8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s-ES"/>
        </w:rPr>
        <w:t>Seb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s-ES"/>
        </w:rPr>
        <w:t>a</w:t>
      </w:r>
      <w:r w:rsidRPr="00494FB8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s-ES"/>
        </w:rPr>
        <w:t>stian</w:t>
      </w:r>
      <w:proofErr w:type="spellEnd"/>
      <w:r w:rsidRPr="00494FB8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s-ES"/>
        </w:rPr>
        <w:t xml:space="preserve"> Lasso Carabali</w:t>
      </w:r>
    </w:p>
    <w:p w14:paraId="55257782" w14:textId="35F33E44" w:rsidR="00494FB8" w:rsidRDefault="00494FB8" w:rsidP="00494FB8">
      <w:pPr>
        <w:spacing w:after="0"/>
        <w:ind w:left="735" w:hanging="451"/>
        <w:jc w:val="both"/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s-ES"/>
        </w:rPr>
      </w:pPr>
      <w:proofErr w:type="spellStart"/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s-ES"/>
        </w:rPr>
        <w:t>Cc.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s-ES"/>
        </w:rPr>
        <w:t xml:space="preserve"> 1.112.488.277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s-ES"/>
        </w:rPr>
        <w:tab/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s-ES"/>
        </w:rPr>
        <w:tab/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s-ES"/>
        </w:rPr>
        <w:tab/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s-ES"/>
        </w:rPr>
        <w:tab/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s-ES"/>
        </w:rPr>
        <w:tab/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s-ES"/>
        </w:rPr>
        <w:t>cc.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s-ES"/>
        </w:rPr>
        <w:t xml:space="preserve"> 1.112.472.400</w:t>
      </w:r>
    </w:p>
    <w:p w14:paraId="6CD1625A" w14:textId="77777777" w:rsidR="00494FB8" w:rsidRDefault="00494FB8" w:rsidP="00494FB8">
      <w:pPr>
        <w:spacing w:after="0"/>
        <w:ind w:left="735" w:hanging="451"/>
        <w:jc w:val="both"/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s-ES"/>
        </w:rPr>
      </w:pPr>
    </w:p>
    <w:p w14:paraId="78E1CD6B" w14:textId="77777777" w:rsidR="00494FB8" w:rsidRDefault="00494FB8" w:rsidP="00494FB8">
      <w:pPr>
        <w:spacing w:after="0"/>
        <w:ind w:left="735" w:hanging="451"/>
        <w:jc w:val="both"/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s-ES"/>
        </w:rPr>
      </w:pPr>
    </w:p>
    <w:p w14:paraId="025E70B1" w14:textId="77777777" w:rsidR="00494FB8" w:rsidRDefault="00494FB8" w:rsidP="00494FB8">
      <w:pPr>
        <w:spacing w:after="0"/>
        <w:ind w:left="735" w:hanging="451"/>
        <w:jc w:val="both"/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s-ES"/>
        </w:rPr>
      </w:pPr>
    </w:p>
    <w:p w14:paraId="6D188719" w14:textId="0C9BDE64" w:rsidR="00494FB8" w:rsidRDefault="00494FB8" w:rsidP="00494FB8">
      <w:pPr>
        <w:spacing w:after="0"/>
        <w:ind w:left="735" w:hanging="451"/>
        <w:jc w:val="both"/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s-ES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s-ES"/>
        </w:rPr>
        <w:t>Gustavo Alberto Herrera Ávila</w:t>
      </w:r>
    </w:p>
    <w:p w14:paraId="2D41BD13" w14:textId="70786D90" w:rsidR="00494FB8" w:rsidRDefault="00494FB8" w:rsidP="00494FB8">
      <w:pPr>
        <w:spacing w:after="0"/>
        <w:ind w:left="735" w:hanging="4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Cc</w:t>
      </w:r>
      <w:proofErr w:type="spellEnd"/>
      <w:r>
        <w:rPr>
          <w:rFonts w:ascii="Arial" w:hAnsi="Arial" w:cs="Arial"/>
        </w:rPr>
        <w:t xml:space="preserve"> 19.395.114</w:t>
      </w:r>
    </w:p>
    <w:p w14:paraId="574574AE" w14:textId="1279D6C6" w:rsidR="00494FB8" w:rsidRPr="0013514A" w:rsidRDefault="00494FB8" w:rsidP="00494FB8">
      <w:pPr>
        <w:spacing w:after="0"/>
        <w:ind w:left="735" w:hanging="451"/>
        <w:jc w:val="both"/>
        <w:rPr>
          <w:rFonts w:ascii="Arial" w:hAnsi="Arial" w:cs="Arial"/>
        </w:rPr>
      </w:pPr>
      <w:r>
        <w:rPr>
          <w:rFonts w:ascii="Arial" w:hAnsi="Arial" w:cs="Arial"/>
        </w:rPr>
        <w:t>La Equidad Seguros Generales OC</w:t>
      </w:r>
    </w:p>
    <w:sectPr w:rsidR="00494FB8" w:rsidRPr="001351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A534D"/>
    <w:multiLevelType w:val="hybridMultilevel"/>
    <w:tmpl w:val="8972763E"/>
    <w:lvl w:ilvl="0" w:tplc="D12CFA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55" w:hanging="360"/>
      </w:pPr>
    </w:lvl>
    <w:lvl w:ilvl="2" w:tplc="240A001B" w:tentative="1">
      <w:start w:val="1"/>
      <w:numFmt w:val="lowerRoman"/>
      <w:lvlText w:val="%3."/>
      <w:lvlJc w:val="right"/>
      <w:pPr>
        <w:ind w:left="2175" w:hanging="180"/>
      </w:pPr>
    </w:lvl>
    <w:lvl w:ilvl="3" w:tplc="240A000F" w:tentative="1">
      <w:start w:val="1"/>
      <w:numFmt w:val="decimal"/>
      <w:lvlText w:val="%4."/>
      <w:lvlJc w:val="left"/>
      <w:pPr>
        <w:ind w:left="2895" w:hanging="360"/>
      </w:pPr>
    </w:lvl>
    <w:lvl w:ilvl="4" w:tplc="240A0019" w:tentative="1">
      <w:start w:val="1"/>
      <w:numFmt w:val="lowerLetter"/>
      <w:lvlText w:val="%5."/>
      <w:lvlJc w:val="left"/>
      <w:pPr>
        <w:ind w:left="3615" w:hanging="360"/>
      </w:pPr>
    </w:lvl>
    <w:lvl w:ilvl="5" w:tplc="240A001B" w:tentative="1">
      <w:start w:val="1"/>
      <w:numFmt w:val="lowerRoman"/>
      <w:lvlText w:val="%6."/>
      <w:lvlJc w:val="right"/>
      <w:pPr>
        <w:ind w:left="4335" w:hanging="180"/>
      </w:pPr>
    </w:lvl>
    <w:lvl w:ilvl="6" w:tplc="240A000F" w:tentative="1">
      <w:start w:val="1"/>
      <w:numFmt w:val="decimal"/>
      <w:lvlText w:val="%7."/>
      <w:lvlJc w:val="left"/>
      <w:pPr>
        <w:ind w:left="5055" w:hanging="360"/>
      </w:pPr>
    </w:lvl>
    <w:lvl w:ilvl="7" w:tplc="240A0019" w:tentative="1">
      <w:start w:val="1"/>
      <w:numFmt w:val="lowerLetter"/>
      <w:lvlText w:val="%8."/>
      <w:lvlJc w:val="left"/>
      <w:pPr>
        <w:ind w:left="5775" w:hanging="360"/>
      </w:pPr>
    </w:lvl>
    <w:lvl w:ilvl="8" w:tplc="2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7D5276F3"/>
    <w:multiLevelType w:val="hybridMultilevel"/>
    <w:tmpl w:val="0570ED62"/>
    <w:lvl w:ilvl="0" w:tplc="CE763EEA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55" w:hanging="360"/>
      </w:pPr>
    </w:lvl>
    <w:lvl w:ilvl="2" w:tplc="240A001B" w:tentative="1">
      <w:start w:val="1"/>
      <w:numFmt w:val="lowerRoman"/>
      <w:lvlText w:val="%3."/>
      <w:lvlJc w:val="right"/>
      <w:pPr>
        <w:ind w:left="2175" w:hanging="180"/>
      </w:pPr>
    </w:lvl>
    <w:lvl w:ilvl="3" w:tplc="240A000F" w:tentative="1">
      <w:start w:val="1"/>
      <w:numFmt w:val="decimal"/>
      <w:lvlText w:val="%4."/>
      <w:lvlJc w:val="left"/>
      <w:pPr>
        <w:ind w:left="2895" w:hanging="360"/>
      </w:pPr>
    </w:lvl>
    <w:lvl w:ilvl="4" w:tplc="240A0019" w:tentative="1">
      <w:start w:val="1"/>
      <w:numFmt w:val="lowerLetter"/>
      <w:lvlText w:val="%5."/>
      <w:lvlJc w:val="left"/>
      <w:pPr>
        <w:ind w:left="3615" w:hanging="360"/>
      </w:pPr>
    </w:lvl>
    <w:lvl w:ilvl="5" w:tplc="240A001B" w:tentative="1">
      <w:start w:val="1"/>
      <w:numFmt w:val="lowerRoman"/>
      <w:lvlText w:val="%6."/>
      <w:lvlJc w:val="right"/>
      <w:pPr>
        <w:ind w:left="4335" w:hanging="180"/>
      </w:pPr>
    </w:lvl>
    <w:lvl w:ilvl="6" w:tplc="240A000F" w:tentative="1">
      <w:start w:val="1"/>
      <w:numFmt w:val="decimal"/>
      <w:lvlText w:val="%7."/>
      <w:lvlJc w:val="left"/>
      <w:pPr>
        <w:ind w:left="5055" w:hanging="360"/>
      </w:pPr>
    </w:lvl>
    <w:lvl w:ilvl="7" w:tplc="240A0019" w:tentative="1">
      <w:start w:val="1"/>
      <w:numFmt w:val="lowerLetter"/>
      <w:lvlText w:val="%8."/>
      <w:lvlJc w:val="left"/>
      <w:pPr>
        <w:ind w:left="5775" w:hanging="360"/>
      </w:pPr>
    </w:lvl>
    <w:lvl w:ilvl="8" w:tplc="240A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694160781">
    <w:abstractNumId w:val="0"/>
  </w:num>
  <w:num w:numId="2" w16cid:durableId="474185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CE"/>
    <w:rsid w:val="000F3BCE"/>
    <w:rsid w:val="0013514A"/>
    <w:rsid w:val="00312645"/>
    <w:rsid w:val="00494FB8"/>
    <w:rsid w:val="004E23F7"/>
    <w:rsid w:val="00831D1A"/>
    <w:rsid w:val="00962680"/>
    <w:rsid w:val="00C511FD"/>
    <w:rsid w:val="00CF72DC"/>
    <w:rsid w:val="1D047002"/>
    <w:rsid w:val="1FB32F5E"/>
    <w:rsid w:val="21641041"/>
    <w:rsid w:val="23AC0DE9"/>
    <w:rsid w:val="2DAE90B8"/>
    <w:rsid w:val="355178E3"/>
    <w:rsid w:val="357687AC"/>
    <w:rsid w:val="5BDF2A41"/>
    <w:rsid w:val="5F52859C"/>
    <w:rsid w:val="6118E644"/>
    <w:rsid w:val="622C36F5"/>
    <w:rsid w:val="7595D880"/>
    <w:rsid w:val="7683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F131"/>
  <w15:chartTrackingRefBased/>
  <w15:docId w15:val="{E2AE0311-B7B8-4F9F-8117-E9A5D8DF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F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customStyle="1" w:styleId="normaltextrun">
    <w:name w:val="normaltextrun"/>
    <w:basedOn w:val="Fuentedeprrafopredeter"/>
    <w:rsid w:val="000F3BCE"/>
  </w:style>
  <w:style w:type="character" w:customStyle="1" w:styleId="eop">
    <w:name w:val="eop"/>
    <w:basedOn w:val="Fuentedeprrafopredeter"/>
    <w:rsid w:val="000F3BCE"/>
  </w:style>
  <w:style w:type="character" w:styleId="Hipervnculo">
    <w:name w:val="Hyperlink"/>
    <w:basedOn w:val="Fuentedeprrafopredeter"/>
    <w:uiPriority w:val="99"/>
    <w:unhideWhenUsed/>
    <w:rsid w:val="000F3BC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3BC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35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ificaciones@gha.com.co" TargetMode="External"/><Relationship Id="rId5" Type="http://schemas.openxmlformats.org/officeDocument/2006/relationships/hyperlink" Target="mailto:ljurado@gha.com.c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920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VERGARA MELO</dc:creator>
  <cp:keywords/>
  <dc:description/>
  <cp:lastModifiedBy>Asesor SST</cp:lastModifiedBy>
  <cp:revision>5</cp:revision>
  <dcterms:created xsi:type="dcterms:W3CDTF">2023-09-12T02:11:00Z</dcterms:created>
  <dcterms:modified xsi:type="dcterms:W3CDTF">2024-03-02T16:43:00Z</dcterms:modified>
</cp:coreProperties>
</file>