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383" w:rsidRDefault="00733383" w:rsidP="00A74EAD">
      <w:pPr>
        <w:jc w:val="both"/>
        <w:rPr>
          <w:rFonts w:ascii="Bookman Old Style" w:hAnsi="Bookman Old Style"/>
          <w:lang w:val="es-MX"/>
        </w:rPr>
      </w:pPr>
      <w:r>
        <w:rPr>
          <w:rFonts w:ascii="Bookman Old Style" w:hAnsi="Bookman Old Style"/>
          <w:lang w:val="es-MX"/>
        </w:rPr>
        <w:t>SEÑORES:</w:t>
      </w:r>
    </w:p>
    <w:p w:rsidR="00DE31BC" w:rsidRDefault="00DE31BC" w:rsidP="00A74EAD">
      <w:pPr>
        <w:jc w:val="both"/>
        <w:rPr>
          <w:rFonts w:ascii="Bookman Old Style" w:hAnsi="Bookman Old Style"/>
          <w:b/>
          <w:lang w:val="es-MX"/>
        </w:rPr>
      </w:pPr>
      <w:r>
        <w:rPr>
          <w:rFonts w:ascii="Bookman Old Style" w:hAnsi="Bookman Old Style"/>
          <w:b/>
          <w:lang w:val="es-MX"/>
        </w:rPr>
        <w:t>ALCALDÍA MUNICIPAL DE LOS SANTOS-SANTANDER</w:t>
      </w:r>
    </w:p>
    <w:p w:rsidR="00DE31BC" w:rsidRDefault="00DE31BC" w:rsidP="00A74EAD">
      <w:pPr>
        <w:jc w:val="both"/>
        <w:rPr>
          <w:rFonts w:ascii="Bookman Old Style" w:hAnsi="Bookman Old Style"/>
          <w:lang w:val="es-MX"/>
        </w:rPr>
      </w:pPr>
      <w:r>
        <w:rPr>
          <w:rFonts w:ascii="Bookman Old Style" w:hAnsi="Bookman Old Style"/>
          <w:lang w:val="es-MX"/>
        </w:rPr>
        <w:t xml:space="preserve">Ing. </w:t>
      </w:r>
      <w:proofErr w:type="spellStart"/>
      <w:r>
        <w:rPr>
          <w:rFonts w:ascii="Bookman Old Style" w:hAnsi="Bookman Old Style"/>
          <w:lang w:val="es-MX"/>
        </w:rPr>
        <w:t>Gissel</w:t>
      </w:r>
      <w:proofErr w:type="spellEnd"/>
      <w:r>
        <w:rPr>
          <w:rFonts w:ascii="Bookman Old Style" w:hAnsi="Bookman Old Style"/>
          <w:lang w:val="es-MX"/>
        </w:rPr>
        <w:t xml:space="preserve"> Katherine Castañeda Delgado</w:t>
      </w:r>
    </w:p>
    <w:p w:rsidR="00DE31BC" w:rsidRDefault="00DE31BC" w:rsidP="00A74EAD">
      <w:pPr>
        <w:jc w:val="both"/>
        <w:rPr>
          <w:rFonts w:ascii="Bookman Old Style" w:hAnsi="Bookman Old Style"/>
          <w:lang w:val="es-MX"/>
        </w:rPr>
      </w:pPr>
      <w:r>
        <w:rPr>
          <w:rFonts w:ascii="Bookman Old Style" w:hAnsi="Bookman Old Style"/>
          <w:lang w:val="es-MX"/>
        </w:rPr>
        <w:t>Secretaría de Planeación y Obras Públicas</w:t>
      </w:r>
    </w:p>
    <w:p w:rsidR="00DE31BC" w:rsidRPr="00DE31BC" w:rsidRDefault="00DE31BC" w:rsidP="00A74EAD">
      <w:pPr>
        <w:jc w:val="both"/>
        <w:rPr>
          <w:rFonts w:ascii="Bookman Old Style" w:hAnsi="Bookman Old Style"/>
          <w:lang w:val="es-MX"/>
        </w:rPr>
      </w:pPr>
      <w:hyperlink r:id="rId9" w:history="1">
        <w:r w:rsidRPr="00E70DCB">
          <w:rPr>
            <w:rStyle w:val="Hipervnculo"/>
            <w:rFonts w:ascii="Bookman Old Style" w:hAnsi="Bookman Old Style"/>
            <w:lang w:val="es-MX"/>
          </w:rPr>
          <w:t>secplaneacion@lossantos-santander.gov.co</w:t>
        </w:r>
      </w:hyperlink>
      <w:r>
        <w:rPr>
          <w:rFonts w:ascii="Bookman Old Style" w:hAnsi="Bookman Old Style"/>
          <w:lang w:val="es-MX"/>
        </w:rPr>
        <w:t xml:space="preserve"> </w:t>
      </w:r>
    </w:p>
    <w:p w:rsidR="00733383" w:rsidRDefault="00733383" w:rsidP="00A74EAD">
      <w:pPr>
        <w:jc w:val="both"/>
        <w:rPr>
          <w:rFonts w:ascii="Bookman Old Style" w:hAnsi="Bookman Old Style"/>
          <w:b/>
          <w:lang w:val="es-MX"/>
        </w:rPr>
      </w:pPr>
    </w:p>
    <w:p w:rsidR="00733383" w:rsidRDefault="00733383" w:rsidP="00A74EAD">
      <w:pPr>
        <w:jc w:val="both"/>
        <w:rPr>
          <w:rFonts w:ascii="Bookman Old Style" w:hAnsi="Bookman Old Style"/>
          <w:b/>
          <w:lang w:val="es-MX"/>
        </w:rPr>
      </w:pPr>
    </w:p>
    <w:p w:rsidR="00A74EAD" w:rsidRDefault="00A74EAD" w:rsidP="00A74EAD">
      <w:pPr>
        <w:jc w:val="both"/>
        <w:rPr>
          <w:rFonts w:ascii="Bookman Old Style" w:hAnsi="Bookman Old Style"/>
          <w:lang w:val="es-MX"/>
        </w:rPr>
      </w:pPr>
      <w:r>
        <w:rPr>
          <w:rFonts w:ascii="Bookman Old Style" w:hAnsi="Bookman Old Style"/>
          <w:b/>
          <w:lang w:val="es-MX"/>
        </w:rPr>
        <w:t xml:space="preserve">DESPACHO: </w:t>
      </w:r>
      <w:r>
        <w:rPr>
          <w:rFonts w:ascii="Bookman Old Style" w:hAnsi="Bookman Old Style"/>
          <w:lang w:val="es-MX"/>
        </w:rPr>
        <w:t>SECRETARÍA PLANEACIÓN MUNICIPIO LOS SANTOS SANTANDER</w:t>
      </w:r>
    </w:p>
    <w:p w:rsidR="00A74EAD" w:rsidRPr="00F4097E" w:rsidRDefault="00A74EAD" w:rsidP="00A74EAD">
      <w:pPr>
        <w:jc w:val="both"/>
        <w:rPr>
          <w:rFonts w:ascii="Bookman Old Style" w:hAnsi="Bookman Old Style"/>
          <w:lang w:val="es-MX"/>
        </w:rPr>
      </w:pPr>
      <w:r>
        <w:rPr>
          <w:rFonts w:ascii="Bookman Old Style" w:hAnsi="Bookman Old Style"/>
          <w:b/>
          <w:lang w:val="es-MX"/>
        </w:rPr>
        <w:t xml:space="preserve">PROCESO: </w:t>
      </w:r>
      <w:r>
        <w:rPr>
          <w:rFonts w:ascii="Bookman Old Style" w:hAnsi="Bookman Old Style"/>
          <w:lang w:val="es-MX"/>
        </w:rPr>
        <w:t>SANCIONATORIO CONTRACTUAL ART. 86 LEY 1474-2011</w:t>
      </w:r>
    </w:p>
    <w:p w:rsidR="00A74EAD" w:rsidRDefault="00A74EAD" w:rsidP="00A74EAD">
      <w:pPr>
        <w:jc w:val="both"/>
        <w:rPr>
          <w:rFonts w:ascii="Bookman Old Style" w:hAnsi="Bookman Old Style"/>
          <w:lang w:val="es-MX"/>
        </w:rPr>
      </w:pPr>
      <w:r>
        <w:rPr>
          <w:rFonts w:ascii="Bookman Old Style" w:hAnsi="Bookman Old Style"/>
          <w:b/>
          <w:lang w:val="es-MX"/>
        </w:rPr>
        <w:t xml:space="preserve">CONTRATO No.: </w:t>
      </w:r>
      <w:r>
        <w:rPr>
          <w:rFonts w:ascii="Bookman Old Style" w:hAnsi="Bookman Old Style"/>
          <w:lang w:val="es-MX"/>
        </w:rPr>
        <w:t>053-2019</w:t>
      </w:r>
    </w:p>
    <w:p w:rsidR="00A74EAD" w:rsidRDefault="00A74EAD" w:rsidP="00A74EAD">
      <w:pPr>
        <w:jc w:val="both"/>
        <w:rPr>
          <w:rFonts w:ascii="Bookman Old Style" w:hAnsi="Bookman Old Style"/>
          <w:lang w:val="es-MX"/>
        </w:rPr>
      </w:pPr>
      <w:r>
        <w:rPr>
          <w:rFonts w:ascii="Bookman Old Style" w:hAnsi="Bookman Old Style"/>
          <w:b/>
          <w:lang w:val="es-MX"/>
        </w:rPr>
        <w:t xml:space="preserve">CONTRATISTA: </w:t>
      </w:r>
      <w:r>
        <w:rPr>
          <w:rFonts w:ascii="Bookman Old Style" w:hAnsi="Bookman Old Style"/>
          <w:lang w:val="es-MX"/>
        </w:rPr>
        <w:t>CONSORCIO LOS SANTOS</w:t>
      </w:r>
    </w:p>
    <w:p w:rsidR="00A74EAD" w:rsidRDefault="00A74EAD" w:rsidP="00A74EAD">
      <w:pPr>
        <w:jc w:val="both"/>
        <w:rPr>
          <w:rFonts w:ascii="Bookman Old Style" w:hAnsi="Bookman Old Style"/>
          <w:lang w:val="es-MX"/>
        </w:rPr>
      </w:pPr>
      <w:r>
        <w:rPr>
          <w:rFonts w:ascii="Bookman Old Style" w:hAnsi="Bookman Old Style"/>
          <w:b/>
          <w:lang w:val="es-MX"/>
        </w:rPr>
        <w:t xml:space="preserve">GARANTE: </w:t>
      </w:r>
      <w:r>
        <w:rPr>
          <w:rFonts w:ascii="Bookman Old Style" w:hAnsi="Bookman Old Style"/>
          <w:lang w:val="es-MX"/>
        </w:rPr>
        <w:t>ASEGURADORA SOLIDARIA DE COLOMBIA E.C.</w:t>
      </w:r>
    </w:p>
    <w:p w:rsidR="00A74EAD" w:rsidRDefault="00A74EAD" w:rsidP="00A74EAD">
      <w:pPr>
        <w:jc w:val="both"/>
        <w:rPr>
          <w:rFonts w:ascii="Bookman Old Style" w:hAnsi="Bookman Old Style"/>
          <w:lang w:val="es-MX"/>
        </w:rPr>
      </w:pPr>
      <w:r>
        <w:rPr>
          <w:rFonts w:ascii="Bookman Old Style" w:hAnsi="Bookman Old Style"/>
          <w:b/>
          <w:lang w:val="es-MX"/>
        </w:rPr>
        <w:t xml:space="preserve">ASUNTO: </w:t>
      </w:r>
      <w:r>
        <w:rPr>
          <w:rFonts w:ascii="Bookman Old Style" w:hAnsi="Bookman Old Style"/>
          <w:lang w:val="es-MX"/>
        </w:rPr>
        <w:t>ESCRITO DE ALEGATOS DE CONCLUSIÓN.</w:t>
      </w:r>
    </w:p>
    <w:p w:rsidR="00A74EAD" w:rsidRDefault="00A74EAD" w:rsidP="00A74EAD">
      <w:pPr>
        <w:jc w:val="both"/>
        <w:rPr>
          <w:rFonts w:ascii="Bookman Old Style" w:hAnsi="Bookman Old Style"/>
          <w:lang w:val="es-MX"/>
        </w:rPr>
      </w:pPr>
    </w:p>
    <w:p w:rsidR="00DE31BC" w:rsidRDefault="007D0DA8" w:rsidP="00A74EAD">
      <w:pPr>
        <w:jc w:val="both"/>
        <w:rPr>
          <w:rFonts w:ascii="Bookman Old Style" w:hAnsi="Bookman Old Style"/>
          <w:lang w:val="es-MX"/>
        </w:rPr>
      </w:pPr>
      <w:r>
        <w:rPr>
          <w:rFonts w:ascii="Bookman Old Style" w:hAnsi="Bookman Old Style"/>
          <w:lang w:val="es-MX"/>
        </w:rPr>
        <w:t>Cordial saludo.</w:t>
      </w:r>
    </w:p>
    <w:p w:rsidR="007D0DA8" w:rsidRDefault="007D0DA8" w:rsidP="00A74EAD">
      <w:pPr>
        <w:jc w:val="both"/>
        <w:rPr>
          <w:rFonts w:ascii="Bookman Old Style" w:hAnsi="Bookman Old Style"/>
          <w:lang w:val="es-MX"/>
        </w:rPr>
      </w:pPr>
    </w:p>
    <w:p w:rsidR="00A74EAD" w:rsidRDefault="00A74EAD" w:rsidP="00A74EAD">
      <w:pPr>
        <w:jc w:val="both"/>
        <w:rPr>
          <w:rFonts w:ascii="Bookman Old Style" w:hAnsi="Bookman Old Style"/>
        </w:rPr>
      </w:pPr>
      <w:r w:rsidRPr="00374FFB">
        <w:rPr>
          <w:rFonts w:ascii="Bookman Old Style" w:hAnsi="Bookman Old Style"/>
          <w:b/>
        </w:rPr>
        <w:t>GUSTAVO ALBERTO HERRERA ÁVILA,</w:t>
      </w:r>
      <w:r w:rsidRPr="00374FFB">
        <w:rPr>
          <w:rFonts w:ascii="Bookman Old Style" w:hAnsi="Bookman Old Style"/>
        </w:rPr>
        <w:t xml:space="preserve"> mayor de edad, vecino y residente en la ciudad de Cali, Valle del Cauca, identificado con la cédula de ciudadanía No. 19.395.114 expedida en la ciudad de Bogotá D.C., Abogado en ejercicio y portador de la Tarjeta Profesional No. 39.116 del Consejo Superior de la Judicatura, con oficina en la Avenida 6 A Bis # 35N – 100 – Centro Empresarial de Chipichape – Oficina 212 de la ciudad de Cali, actuando en el presente proceso en mi calidad de apoderado especial de </w:t>
      </w:r>
      <w:r w:rsidRPr="00374FFB">
        <w:rPr>
          <w:rFonts w:ascii="Bookman Old Style" w:hAnsi="Bookman Old Style"/>
          <w:b/>
          <w:bCs/>
        </w:rPr>
        <w:t>ASEGURADORA SOLIDARIA DE COLOMBIA ENTIDAD COOPERATIVA,</w:t>
      </w:r>
      <w:r w:rsidRPr="00374FFB">
        <w:rPr>
          <w:rFonts w:ascii="Bookman Old Style" w:hAnsi="Bookman Old Style"/>
        </w:rPr>
        <w:t xml:space="preserve"> identificada con </w:t>
      </w:r>
      <w:proofErr w:type="spellStart"/>
      <w:r w:rsidRPr="00374FFB">
        <w:rPr>
          <w:rFonts w:ascii="Bookman Old Style" w:hAnsi="Bookman Old Style"/>
        </w:rPr>
        <w:t>Nit</w:t>
      </w:r>
      <w:proofErr w:type="spellEnd"/>
      <w:r w:rsidRPr="00374FFB">
        <w:rPr>
          <w:rFonts w:ascii="Bookman Old Style" w:hAnsi="Bookman Old Style"/>
        </w:rPr>
        <w:t>. 860524654-6, a través del presente acto</w:t>
      </w:r>
      <w:r>
        <w:rPr>
          <w:rFonts w:ascii="Bookman Old Style" w:hAnsi="Bookman Old Style"/>
        </w:rPr>
        <w:t xml:space="preserve"> y atendiendo el momento procesal en el que nos encontramos, en virtud de las disposiciones del artículo 86 de la Ley 1474 de 2011, me permito p</w:t>
      </w:r>
      <w:r w:rsidR="00217F42">
        <w:rPr>
          <w:rFonts w:ascii="Bookman Old Style" w:hAnsi="Bookman Old Style"/>
        </w:rPr>
        <w:t>resentar alegatos de conclusión, ratificándome en los descargos del 16 de julio de 2024, y adem</w:t>
      </w:r>
      <w:bookmarkStart w:id="0" w:name="_GoBack"/>
      <w:bookmarkEnd w:id="0"/>
      <w:r w:rsidR="00217F42">
        <w:rPr>
          <w:rFonts w:ascii="Bookman Old Style" w:hAnsi="Bookman Old Style"/>
        </w:rPr>
        <w:t>ás en los siguientes argumentos:</w:t>
      </w:r>
    </w:p>
    <w:p w:rsidR="004011E5" w:rsidRDefault="004011E5" w:rsidP="00A74EAD">
      <w:pPr>
        <w:jc w:val="both"/>
        <w:rPr>
          <w:rFonts w:ascii="Bookman Old Style" w:hAnsi="Bookman Old Style"/>
        </w:rPr>
      </w:pPr>
    </w:p>
    <w:p w:rsidR="004011E5" w:rsidRDefault="004011E5" w:rsidP="004011E5">
      <w:pPr>
        <w:jc w:val="center"/>
        <w:rPr>
          <w:rFonts w:ascii="Bookman Old Style" w:hAnsi="Bookman Old Style"/>
          <w:b/>
          <w:u w:val="single"/>
        </w:rPr>
      </w:pPr>
      <w:r>
        <w:rPr>
          <w:rFonts w:ascii="Bookman Old Style" w:hAnsi="Bookman Old Style"/>
          <w:b/>
          <w:u w:val="single"/>
        </w:rPr>
        <w:t>.- SINTESIS DEL CASO:</w:t>
      </w:r>
    </w:p>
    <w:p w:rsidR="004011E5" w:rsidRDefault="004011E5" w:rsidP="004011E5">
      <w:pPr>
        <w:jc w:val="center"/>
        <w:rPr>
          <w:rFonts w:ascii="Bookman Old Style" w:hAnsi="Bookman Old Style"/>
          <w:b/>
          <w:u w:val="single"/>
        </w:rPr>
      </w:pPr>
    </w:p>
    <w:p w:rsidR="004011E5" w:rsidRPr="004011E5" w:rsidRDefault="004011E5" w:rsidP="004011E5">
      <w:pPr>
        <w:jc w:val="both"/>
        <w:rPr>
          <w:rFonts w:ascii="Bookman Old Style" w:hAnsi="Bookman Old Style"/>
          <w:lang w:val="es-MX"/>
        </w:rPr>
      </w:pPr>
      <w:r>
        <w:rPr>
          <w:rFonts w:ascii="Bookman Old Style" w:hAnsi="Bookman Old Style"/>
        </w:rPr>
        <w:t>El proceso sancionatorio contractual tiene como finalidad establecer el posible incumplimiento de las obligaciones derivadas del contrato de obra pública No. 00053 de 2019, suscrito el día 6 de marzo de 2019 y terminado el 30 de diciembre de 2023, entre el Municipio de Los Santos y el Consorcio Los Santos, cuyo objeto fue “La Construcción del Colegio La Laguna Fase I”, siendo que se imputa el incumplimiento a la cláusula quinta – plazo de ejecución, razón por la que se busca la imposición de la cláusula penal y la afectación de la póliza de cumplimiento No. 730-47-994000008105, en el amparo del mismo nombre. No obstante, este extremo estima que el proceso debe terminar con acto administrativo que declare la inexistencia de incumplimiento y archive el asunto por encontrarse las siguientes:</w:t>
      </w:r>
    </w:p>
    <w:p w:rsidR="00A74EAD" w:rsidRDefault="00A74EAD" w:rsidP="00A74EAD">
      <w:pPr>
        <w:jc w:val="both"/>
        <w:rPr>
          <w:rFonts w:ascii="Bookman Old Style" w:hAnsi="Bookman Old Style"/>
        </w:rPr>
      </w:pPr>
    </w:p>
    <w:p w:rsidR="00A74EAD" w:rsidRPr="00374FFB" w:rsidRDefault="00A74EAD" w:rsidP="00A74EAD">
      <w:pPr>
        <w:jc w:val="center"/>
        <w:rPr>
          <w:rFonts w:ascii="Bookman Old Style" w:hAnsi="Bookman Old Style"/>
          <w:b/>
          <w:u w:val="single"/>
          <w:lang w:val="es-MX"/>
        </w:rPr>
      </w:pPr>
      <w:r w:rsidRPr="00374FFB">
        <w:rPr>
          <w:rFonts w:ascii="Bookman Old Style" w:hAnsi="Bookman Old Style"/>
          <w:b/>
          <w:u w:val="single"/>
          <w:lang w:val="es-MX"/>
        </w:rPr>
        <w:t>.- EXCEPCIONES PROBADAS:</w:t>
      </w:r>
    </w:p>
    <w:p w:rsidR="00A74EAD" w:rsidRDefault="00A74EAD" w:rsidP="00A74EAD">
      <w:pPr>
        <w:jc w:val="both"/>
        <w:rPr>
          <w:rFonts w:ascii="Bookman Old Style" w:hAnsi="Bookman Old Style"/>
          <w:lang w:val="es-MX"/>
        </w:rPr>
      </w:pPr>
    </w:p>
    <w:p w:rsidR="00A74EAD" w:rsidRPr="003604ED" w:rsidRDefault="00A74EAD" w:rsidP="00A74EAD">
      <w:pPr>
        <w:jc w:val="both"/>
        <w:rPr>
          <w:rFonts w:ascii="Bookman Old Style" w:hAnsi="Bookman Old Style"/>
          <w:b/>
        </w:rPr>
      </w:pPr>
      <w:r w:rsidRPr="003604ED">
        <w:rPr>
          <w:rFonts w:ascii="Bookman Old Style" w:hAnsi="Bookman Old Style"/>
          <w:b/>
        </w:rPr>
        <w:t xml:space="preserve">1.- </w:t>
      </w:r>
      <w:r w:rsidRPr="003604ED">
        <w:rPr>
          <w:rFonts w:ascii="Bookman Old Style" w:hAnsi="Bookman Old Style"/>
          <w:b/>
          <w:u w:val="single"/>
        </w:rPr>
        <w:t>Falta de Planeación y Evidente Desequilibrio Contractual.</w:t>
      </w:r>
    </w:p>
    <w:p w:rsidR="00A74EAD" w:rsidRPr="00D3567E" w:rsidRDefault="00A74EAD" w:rsidP="00A74EAD">
      <w:pPr>
        <w:jc w:val="both"/>
        <w:rPr>
          <w:rFonts w:ascii="Bookman Old Style" w:hAnsi="Bookman Old Style"/>
        </w:rPr>
      </w:pPr>
    </w:p>
    <w:p w:rsidR="00A74EAD" w:rsidRDefault="00A74EAD" w:rsidP="00A74EAD">
      <w:pPr>
        <w:jc w:val="both"/>
        <w:rPr>
          <w:rFonts w:ascii="Bookman Old Style" w:hAnsi="Bookman Old Style"/>
        </w:rPr>
      </w:pPr>
      <w:r w:rsidRPr="00D3567E">
        <w:rPr>
          <w:rFonts w:ascii="Bookman Old Style" w:hAnsi="Bookman Old Style"/>
        </w:rPr>
        <w:t xml:space="preserve">En primera medida, es importante advertir que la aseguradora </w:t>
      </w:r>
      <w:r>
        <w:rPr>
          <w:rFonts w:ascii="Bookman Old Style" w:hAnsi="Bookman Old Style"/>
        </w:rPr>
        <w:t>no tiene dominio del hecho objeto de sanción derivado</w:t>
      </w:r>
      <w:r w:rsidRPr="00D3567E">
        <w:rPr>
          <w:rFonts w:ascii="Bookman Old Style" w:hAnsi="Bookman Old Style"/>
        </w:rPr>
        <w:t xml:space="preserve"> del Contrato No. </w:t>
      </w:r>
      <w:r>
        <w:rPr>
          <w:rFonts w:ascii="Bookman Old Style" w:hAnsi="Bookman Old Style"/>
        </w:rPr>
        <w:t>053 de 2019</w:t>
      </w:r>
      <w:r w:rsidRPr="00D3567E">
        <w:rPr>
          <w:rFonts w:ascii="Bookman Old Style" w:hAnsi="Bookman Old Style"/>
        </w:rPr>
        <w:t>, toda vez que no tiene relación directa con el mismo.</w:t>
      </w:r>
      <w:r>
        <w:rPr>
          <w:rFonts w:ascii="Bookman Old Style" w:hAnsi="Bookman Old Style"/>
        </w:rPr>
        <w:t xml:space="preserve"> </w:t>
      </w:r>
      <w:r w:rsidRPr="00D3567E">
        <w:rPr>
          <w:rFonts w:ascii="Bookman Old Style" w:hAnsi="Bookman Old Style"/>
        </w:rPr>
        <w:t>Bajo esta óptica, coadyuvo en su totalidad los argumentos presentados por el apoderado del</w:t>
      </w:r>
      <w:r>
        <w:rPr>
          <w:rFonts w:ascii="Bookman Old Style" w:hAnsi="Bookman Old Style"/>
        </w:rPr>
        <w:t xml:space="preserve"> </w:t>
      </w:r>
      <w:r w:rsidRPr="00D3567E">
        <w:rPr>
          <w:rFonts w:ascii="Bookman Old Style" w:hAnsi="Bookman Old Style"/>
        </w:rPr>
        <w:t>contratista, a efectos de que se le absuelva de toda responsabilidad contractual</w:t>
      </w:r>
      <w:r w:rsidR="000E19EA">
        <w:rPr>
          <w:rFonts w:ascii="Bookman Old Style" w:hAnsi="Bookman Old Style"/>
        </w:rPr>
        <w:t xml:space="preserve"> y de contera se libre de un eventual deber indemnizatorio a mi representada</w:t>
      </w:r>
      <w:r w:rsidRPr="00D3567E">
        <w:rPr>
          <w:rFonts w:ascii="Bookman Old Style" w:hAnsi="Bookman Old Style"/>
        </w:rPr>
        <w:t>.</w:t>
      </w:r>
    </w:p>
    <w:p w:rsidR="00A74EAD" w:rsidRDefault="00A74EAD" w:rsidP="00A74EAD">
      <w:pPr>
        <w:jc w:val="both"/>
        <w:rPr>
          <w:rFonts w:ascii="Bookman Old Style" w:hAnsi="Bookman Old Style"/>
        </w:rPr>
      </w:pPr>
    </w:p>
    <w:p w:rsidR="00A74EAD" w:rsidRDefault="00A762DD" w:rsidP="00A74EAD">
      <w:pPr>
        <w:jc w:val="both"/>
        <w:rPr>
          <w:rFonts w:ascii="Bookman Old Style" w:hAnsi="Bookman Old Style"/>
        </w:rPr>
      </w:pPr>
      <w:r>
        <w:rPr>
          <w:rFonts w:ascii="Bookman Old Style" w:hAnsi="Bookman Old Style"/>
        </w:rPr>
        <w:t>Acto seguido</w:t>
      </w:r>
      <w:r w:rsidR="00A74EAD">
        <w:rPr>
          <w:rFonts w:ascii="Bookman Old Style" w:hAnsi="Bookman Old Style"/>
        </w:rPr>
        <w:t xml:space="preserve">, se ha probado que los diseños aprobados por el contratante fallaron </w:t>
      </w:r>
      <w:r w:rsidR="007E1C92">
        <w:rPr>
          <w:rFonts w:ascii="Bookman Old Style" w:hAnsi="Bookman Old Style"/>
        </w:rPr>
        <w:t xml:space="preserve">en </w:t>
      </w:r>
      <w:r w:rsidR="00A74EAD">
        <w:rPr>
          <w:rFonts w:ascii="Bookman Old Style" w:hAnsi="Bookman Old Style"/>
        </w:rPr>
        <w:t>el aspecto eléctrico e hidráulico, sin que diera ningún tipo de solución,</w:t>
      </w:r>
      <w:r w:rsidR="00A74EAD" w:rsidRPr="00D3567E">
        <w:rPr>
          <w:rFonts w:ascii="Bookman Old Style" w:hAnsi="Bookman Old Style"/>
        </w:rPr>
        <w:t xml:space="preserve"> </w:t>
      </w:r>
      <w:r w:rsidR="00A74EAD">
        <w:rPr>
          <w:rFonts w:ascii="Bookman Old Style" w:hAnsi="Bookman Old Style"/>
        </w:rPr>
        <w:t xml:space="preserve">dado que asumir tal responsabilidad por el contratista implica incurrir en gastos no autorizados y que afectan su patrimonio, </w:t>
      </w:r>
      <w:r w:rsidR="00A74EAD" w:rsidRPr="00D3567E">
        <w:rPr>
          <w:rFonts w:ascii="Bookman Old Style" w:hAnsi="Bookman Old Style"/>
        </w:rPr>
        <w:t>es por tal razón que se ha</w:t>
      </w:r>
      <w:r w:rsidR="00A74EAD">
        <w:rPr>
          <w:rFonts w:ascii="Bookman Old Style" w:hAnsi="Bookman Old Style"/>
        </w:rPr>
        <w:t xml:space="preserve"> obligado al contratista a</w:t>
      </w:r>
      <w:r w:rsidR="00A74EAD" w:rsidRPr="00D3567E">
        <w:rPr>
          <w:rFonts w:ascii="Bookman Old Style" w:hAnsi="Bookman Old Style"/>
        </w:rPr>
        <w:t xml:space="preserve"> no continuar con la ejecución contractual, </w:t>
      </w:r>
      <w:r w:rsidR="00A74EAD">
        <w:rPr>
          <w:rFonts w:ascii="Bookman Old Style" w:hAnsi="Bookman Old Style"/>
        </w:rPr>
        <w:t xml:space="preserve">máxime cuando el contrato no contempla anticipo, </w:t>
      </w:r>
      <w:r w:rsidR="00A74EAD" w:rsidRPr="00D3567E">
        <w:rPr>
          <w:rFonts w:ascii="Bookman Old Style" w:hAnsi="Bookman Old Style"/>
        </w:rPr>
        <w:t>pues como se indicará a continuación, la</w:t>
      </w:r>
      <w:r w:rsidR="00A74EAD">
        <w:rPr>
          <w:rFonts w:ascii="Bookman Old Style" w:hAnsi="Bookman Old Style"/>
        </w:rPr>
        <w:t xml:space="preserve"> </w:t>
      </w:r>
      <w:r w:rsidR="00A74EAD" w:rsidRPr="00D3567E">
        <w:rPr>
          <w:rFonts w:ascii="Bookman Old Style" w:hAnsi="Bookman Old Style"/>
        </w:rPr>
        <w:t xml:space="preserve">entidad tiene el deber de analizar y atender las </w:t>
      </w:r>
      <w:r w:rsidR="00A74EAD">
        <w:rPr>
          <w:rFonts w:ascii="Bookman Old Style" w:hAnsi="Bookman Old Style"/>
        </w:rPr>
        <w:t>circunstancias de desequilibrio económico y restablecerlas</w:t>
      </w:r>
      <w:r w:rsidR="00A74EAD" w:rsidRPr="00D3567E">
        <w:rPr>
          <w:rFonts w:ascii="Bookman Old Style" w:hAnsi="Bookman Old Style"/>
        </w:rPr>
        <w:t>, de otra manera, se incurriría en un incumplimiento a los deberes propios de las</w:t>
      </w:r>
      <w:r w:rsidR="00A74EAD">
        <w:rPr>
          <w:rFonts w:ascii="Bookman Old Style" w:hAnsi="Bookman Old Style"/>
        </w:rPr>
        <w:t xml:space="preserve"> </w:t>
      </w:r>
      <w:r w:rsidR="00A74EAD" w:rsidRPr="00D3567E">
        <w:rPr>
          <w:rFonts w:ascii="Bookman Old Style" w:hAnsi="Bookman Old Style"/>
        </w:rPr>
        <w:t xml:space="preserve">partes. </w:t>
      </w:r>
    </w:p>
    <w:p w:rsidR="00A74EAD" w:rsidRPr="00D3567E" w:rsidRDefault="00A74EAD" w:rsidP="00A74EAD">
      <w:pPr>
        <w:jc w:val="both"/>
        <w:rPr>
          <w:rFonts w:ascii="Bookman Old Style" w:hAnsi="Bookman Old Style"/>
        </w:rPr>
      </w:pPr>
    </w:p>
    <w:p w:rsidR="00A74EAD" w:rsidRDefault="00A74EAD" w:rsidP="00A74EAD">
      <w:pPr>
        <w:jc w:val="both"/>
        <w:rPr>
          <w:rFonts w:ascii="Bookman Old Style" w:hAnsi="Bookman Old Style"/>
        </w:rPr>
      </w:pPr>
      <w:r w:rsidRPr="00D3567E">
        <w:rPr>
          <w:rFonts w:ascii="Bookman Old Style" w:hAnsi="Bookman Old Style"/>
        </w:rPr>
        <w:t xml:space="preserve">Sobre el particular, es necesario recordar que respecto al equilibrio económico del </w:t>
      </w:r>
      <w:r w:rsidRPr="00D3567E">
        <w:rPr>
          <w:rFonts w:ascii="Bookman Old Style" w:hAnsi="Bookman Old Style"/>
        </w:rPr>
        <w:lastRenderedPageBreak/>
        <w:t>contrato, existen</w:t>
      </w:r>
      <w:r>
        <w:rPr>
          <w:rFonts w:ascii="Bookman Old Style" w:hAnsi="Bookman Old Style"/>
        </w:rPr>
        <w:t xml:space="preserve"> </w:t>
      </w:r>
      <w:r w:rsidRPr="00D3567E">
        <w:rPr>
          <w:rFonts w:ascii="Bookman Old Style" w:hAnsi="Bookman Old Style"/>
        </w:rPr>
        <w:t>teorías reconocidas por la jurisprudencia del Consejo de Estado como la de la imprevisión y el hecho</w:t>
      </w:r>
      <w:r>
        <w:rPr>
          <w:rFonts w:ascii="Bookman Old Style" w:hAnsi="Bookman Old Style"/>
        </w:rPr>
        <w:t xml:space="preserve"> </w:t>
      </w:r>
      <w:r w:rsidRPr="00D3567E">
        <w:rPr>
          <w:rFonts w:ascii="Bookman Old Style" w:hAnsi="Bookman Old Style"/>
        </w:rPr>
        <w:t>del príncipe, que constituyen un desequilibrio económico que debe ser solventado por la entidad</w:t>
      </w:r>
      <w:r>
        <w:rPr>
          <w:rFonts w:ascii="Bookman Old Style" w:hAnsi="Bookman Old Style"/>
        </w:rPr>
        <w:t xml:space="preserve"> </w:t>
      </w:r>
      <w:r w:rsidRPr="00D3567E">
        <w:rPr>
          <w:rFonts w:ascii="Bookman Old Style" w:hAnsi="Bookman Old Style"/>
        </w:rPr>
        <w:t>pública. Así pues, se ha dicho:</w:t>
      </w:r>
    </w:p>
    <w:p w:rsidR="00A74EAD" w:rsidRDefault="00A74EAD" w:rsidP="00A74EAD">
      <w:pPr>
        <w:jc w:val="both"/>
        <w:rPr>
          <w:rFonts w:ascii="Bookman Old Style" w:hAnsi="Bookman Old Style"/>
        </w:rPr>
      </w:pPr>
    </w:p>
    <w:p w:rsidR="00A74EAD" w:rsidRDefault="00A74EAD" w:rsidP="00A74EAD">
      <w:pPr>
        <w:ind w:left="708" w:right="616"/>
        <w:jc w:val="both"/>
        <w:rPr>
          <w:rFonts w:ascii="Bookman Old Style" w:hAnsi="Bookman Old Style"/>
          <w:i/>
          <w:iCs/>
        </w:rPr>
      </w:pPr>
      <w:r w:rsidRPr="00D3567E">
        <w:rPr>
          <w:rFonts w:ascii="Bookman Old Style" w:hAnsi="Bookman Old Style"/>
          <w:i/>
          <w:iCs/>
        </w:rPr>
        <w:t>“</w:t>
      </w:r>
      <w:r w:rsidRPr="00D3567E">
        <w:rPr>
          <w:rFonts w:ascii="Bookman Old Style" w:hAnsi="Bookman Old Style"/>
          <w:b/>
          <w:bCs/>
          <w:i/>
          <w:iCs/>
        </w:rPr>
        <w:t>El principio del equilibrio financiero del contrato, medular en el régimen jurídico</w:t>
      </w:r>
      <w:r>
        <w:rPr>
          <w:rFonts w:ascii="Bookman Old Style" w:hAnsi="Bookman Old Style"/>
          <w:b/>
          <w:bCs/>
          <w:i/>
          <w:iCs/>
        </w:rPr>
        <w:t xml:space="preserve"> </w:t>
      </w:r>
      <w:r w:rsidRPr="00D3567E">
        <w:rPr>
          <w:rFonts w:ascii="Bookman Old Style" w:hAnsi="Bookman Old Style"/>
          <w:b/>
          <w:bCs/>
          <w:i/>
          <w:iCs/>
        </w:rPr>
        <w:t>de la contratación pública, consiste, entonces, en garantizar el mantenimiento de</w:t>
      </w:r>
      <w:r>
        <w:rPr>
          <w:rFonts w:ascii="Bookman Old Style" w:hAnsi="Bookman Old Style"/>
          <w:b/>
          <w:bCs/>
          <w:i/>
          <w:iCs/>
        </w:rPr>
        <w:t xml:space="preserve"> </w:t>
      </w:r>
      <w:r w:rsidRPr="00D3567E">
        <w:rPr>
          <w:rFonts w:ascii="Bookman Old Style" w:hAnsi="Bookman Old Style"/>
          <w:b/>
          <w:bCs/>
          <w:i/>
          <w:iCs/>
        </w:rPr>
        <w:t>la igualdad o equivalencia entre derechos y obligaciones surgidos al momento de</w:t>
      </w:r>
      <w:r>
        <w:rPr>
          <w:rFonts w:ascii="Bookman Old Style" w:hAnsi="Bookman Old Style"/>
          <w:b/>
          <w:bCs/>
          <w:i/>
          <w:iCs/>
        </w:rPr>
        <w:t xml:space="preserve"> </w:t>
      </w:r>
      <w:r w:rsidRPr="00D3567E">
        <w:rPr>
          <w:rFonts w:ascii="Bookman Old Style" w:hAnsi="Bookman Old Style"/>
          <w:b/>
          <w:bCs/>
          <w:i/>
          <w:iCs/>
        </w:rPr>
        <w:t>proponer o de contratar, según el caso, de manera que si se rompe por causas</w:t>
      </w:r>
      <w:r>
        <w:rPr>
          <w:rFonts w:ascii="Bookman Old Style" w:hAnsi="Bookman Old Style"/>
          <w:b/>
          <w:bCs/>
          <w:i/>
          <w:iCs/>
        </w:rPr>
        <w:t xml:space="preserve"> </w:t>
      </w:r>
      <w:r w:rsidRPr="00D3567E">
        <w:rPr>
          <w:rFonts w:ascii="Bookman Old Style" w:hAnsi="Bookman Old Style"/>
          <w:b/>
          <w:bCs/>
          <w:i/>
          <w:iCs/>
        </w:rPr>
        <w:t>sobrevinientes, imprevisibles y no imputables a quien resulte afectado, las partes</w:t>
      </w:r>
      <w:r>
        <w:rPr>
          <w:rFonts w:ascii="Bookman Old Style" w:hAnsi="Bookman Old Style"/>
          <w:b/>
          <w:bCs/>
          <w:i/>
          <w:iCs/>
        </w:rPr>
        <w:t xml:space="preserve"> </w:t>
      </w:r>
      <w:r w:rsidRPr="00D3567E">
        <w:rPr>
          <w:rFonts w:ascii="Bookman Old Style" w:hAnsi="Bookman Old Style"/>
          <w:b/>
          <w:bCs/>
          <w:i/>
          <w:iCs/>
        </w:rPr>
        <w:t>adoptarán las medidas necesarias para su restablecimiento, so pena de incurrir</w:t>
      </w:r>
      <w:r>
        <w:rPr>
          <w:rFonts w:ascii="Bookman Old Style" w:hAnsi="Bookman Old Style"/>
          <w:b/>
          <w:bCs/>
          <w:i/>
          <w:iCs/>
        </w:rPr>
        <w:t xml:space="preserve"> </w:t>
      </w:r>
      <w:r w:rsidRPr="00D3567E">
        <w:rPr>
          <w:rFonts w:ascii="Bookman Old Style" w:hAnsi="Bookman Old Style"/>
          <w:b/>
          <w:bCs/>
          <w:i/>
          <w:iCs/>
        </w:rPr>
        <w:t xml:space="preserve">en una responsabilidad contractual tendiente a restituir tal equilibrio. </w:t>
      </w:r>
      <w:r w:rsidRPr="00D3567E">
        <w:rPr>
          <w:rFonts w:ascii="Bookman Old Style" w:hAnsi="Bookman Old Style"/>
          <w:i/>
          <w:iCs/>
        </w:rPr>
        <w:t>(…) ante la</w:t>
      </w:r>
      <w:r>
        <w:rPr>
          <w:rFonts w:ascii="Bookman Old Style" w:hAnsi="Bookman Old Style"/>
          <w:i/>
          <w:iCs/>
        </w:rPr>
        <w:t xml:space="preserve"> </w:t>
      </w:r>
      <w:r w:rsidRPr="00D3567E">
        <w:rPr>
          <w:rFonts w:ascii="Bookman Old Style" w:hAnsi="Bookman Old Style"/>
          <w:i/>
          <w:iCs/>
        </w:rPr>
        <w:t>ruptura del equilibrio económico del contrato, el contratista tiene derecho a exigir su</w:t>
      </w:r>
      <w:r>
        <w:rPr>
          <w:rFonts w:ascii="Bookman Old Style" w:hAnsi="Bookman Old Style"/>
          <w:i/>
          <w:iCs/>
        </w:rPr>
        <w:t xml:space="preserve"> </w:t>
      </w:r>
      <w:r w:rsidRPr="00D3567E">
        <w:rPr>
          <w:rFonts w:ascii="Bookman Old Style" w:hAnsi="Bookman Old Style"/>
          <w:i/>
          <w:iCs/>
        </w:rPr>
        <w:t>restablecimiento, pues no obstante que debe asumir el riesgo normal y propio de</w:t>
      </w:r>
      <w:r>
        <w:rPr>
          <w:rFonts w:ascii="Bookman Old Style" w:hAnsi="Bookman Old Style"/>
          <w:i/>
          <w:iCs/>
        </w:rPr>
        <w:t xml:space="preserve"> </w:t>
      </w:r>
      <w:r w:rsidRPr="00D3567E">
        <w:rPr>
          <w:rFonts w:ascii="Bookman Old Style" w:hAnsi="Bookman Old Style"/>
          <w:i/>
          <w:iCs/>
        </w:rPr>
        <w:t xml:space="preserve">cualquier negocio, </w:t>
      </w:r>
      <w:r w:rsidRPr="00D3567E">
        <w:rPr>
          <w:rFonts w:ascii="Bookman Old Style" w:hAnsi="Bookman Old Style"/>
          <w:b/>
          <w:bCs/>
          <w:i/>
          <w:iCs/>
        </w:rPr>
        <w:t>ello no incluye el deber de soportar un comportamiento del</w:t>
      </w:r>
      <w:r>
        <w:rPr>
          <w:rFonts w:ascii="Bookman Old Style" w:hAnsi="Bookman Old Style"/>
          <w:b/>
          <w:bCs/>
          <w:i/>
          <w:iCs/>
        </w:rPr>
        <w:t xml:space="preserve"> </w:t>
      </w:r>
      <w:r w:rsidRPr="00D3567E">
        <w:rPr>
          <w:rFonts w:ascii="Bookman Old Style" w:hAnsi="Bookman Old Style"/>
          <w:b/>
          <w:bCs/>
          <w:i/>
          <w:iCs/>
        </w:rPr>
        <w:t>contratante o circunstancias ajenas que lo priven de los ingresos y las ganancias</w:t>
      </w:r>
      <w:r>
        <w:rPr>
          <w:rFonts w:ascii="Bookman Old Style" w:hAnsi="Bookman Old Style"/>
          <w:b/>
          <w:bCs/>
          <w:i/>
          <w:iCs/>
        </w:rPr>
        <w:t xml:space="preserve"> </w:t>
      </w:r>
      <w:r w:rsidRPr="00D3567E">
        <w:rPr>
          <w:rFonts w:ascii="Bookman Old Style" w:hAnsi="Bookman Old Style"/>
          <w:b/>
          <w:bCs/>
          <w:i/>
          <w:iCs/>
        </w:rPr>
        <w:t>razonables que podría haber obtenido, si la relación contractual se hubiese</w:t>
      </w:r>
      <w:r>
        <w:rPr>
          <w:rFonts w:ascii="Bookman Old Style" w:hAnsi="Bookman Old Style"/>
          <w:b/>
          <w:bCs/>
          <w:i/>
          <w:iCs/>
        </w:rPr>
        <w:t xml:space="preserve"> </w:t>
      </w:r>
      <w:r w:rsidRPr="00D3567E">
        <w:rPr>
          <w:rFonts w:ascii="Bookman Old Style" w:hAnsi="Bookman Old Style"/>
          <w:b/>
          <w:bCs/>
          <w:i/>
          <w:iCs/>
        </w:rPr>
        <w:t xml:space="preserve">ejecutado en las condiciones inicialmente convenidas. </w:t>
      </w:r>
      <w:r w:rsidRPr="00D3567E">
        <w:rPr>
          <w:rFonts w:ascii="Bookman Old Style" w:hAnsi="Bookman Old Style"/>
          <w:i/>
          <w:iCs/>
        </w:rPr>
        <w:t>Ahora bien, no cualquier</w:t>
      </w:r>
      <w:r>
        <w:rPr>
          <w:rFonts w:ascii="Bookman Old Style" w:hAnsi="Bookman Old Style"/>
          <w:i/>
          <w:iCs/>
        </w:rPr>
        <w:t xml:space="preserve"> </w:t>
      </w:r>
      <w:r w:rsidRPr="00D3567E">
        <w:rPr>
          <w:rFonts w:ascii="Bookman Old Style" w:hAnsi="Bookman Old Style"/>
          <w:i/>
          <w:iCs/>
        </w:rPr>
        <w:t>trastorno o variación de las expectativas que tenía el contratista respecto de los</w:t>
      </w:r>
      <w:r>
        <w:rPr>
          <w:rFonts w:ascii="Bookman Old Style" w:hAnsi="Bookman Old Style"/>
          <w:i/>
          <w:iCs/>
        </w:rPr>
        <w:t xml:space="preserve"> </w:t>
      </w:r>
      <w:r w:rsidRPr="00D3567E">
        <w:rPr>
          <w:rFonts w:ascii="Bookman Old Style" w:hAnsi="Bookman Old Style"/>
          <w:i/>
          <w:iCs/>
        </w:rPr>
        <w:t>resultados económicos del contrato, constituyen rompimiento del equilibrio económico</w:t>
      </w:r>
      <w:r>
        <w:rPr>
          <w:rFonts w:ascii="Bookman Old Style" w:hAnsi="Bookman Old Style"/>
          <w:i/>
          <w:iCs/>
        </w:rPr>
        <w:t xml:space="preserve"> </w:t>
      </w:r>
      <w:r w:rsidRPr="00D3567E">
        <w:rPr>
          <w:rFonts w:ascii="Bookman Old Style" w:hAnsi="Bookman Old Style"/>
          <w:i/>
          <w:iCs/>
        </w:rPr>
        <w:t>del mismo, existiendo siempre unos riesgos inherentes a la misma actividad</w:t>
      </w:r>
      <w:r>
        <w:rPr>
          <w:rFonts w:ascii="Bookman Old Style" w:hAnsi="Bookman Old Style"/>
          <w:i/>
          <w:iCs/>
        </w:rPr>
        <w:t xml:space="preserve"> </w:t>
      </w:r>
      <w:r w:rsidRPr="00D3567E">
        <w:rPr>
          <w:rFonts w:ascii="Bookman Old Style" w:hAnsi="Bookman Old Style"/>
          <w:i/>
          <w:iCs/>
        </w:rPr>
        <w:t>contractual, que deben ser asumidos por él. De acuerdo con la doctrina y la</w:t>
      </w:r>
      <w:r>
        <w:rPr>
          <w:rFonts w:ascii="Bookman Old Style" w:hAnsi="Bookman Old Style"/>
          <w:i/>
          <w:iCs/>
        </w:rPr>
        <w:t xml:space="preserve"> </w:t>
      </w:r>
      <w:r w:rsidRPr="00D3567E">
        <w:rPr>
          <w:rFonts w:ascii="Bookman Old Style" w:hAnsi="Bookman Old Style"/>
          <w:i/>
          <w:iCs/>
        </w:rPr>
        <w:t>jurisprudencia, la ecuación económico financiera del contrato puede verse afectada o</w:t>
      </w:r>
      <w:r>
        <w:rPr>
          <w:rFonts w:ascii="Bookman Old Style" w:hAnsi="Bookman Old Style"/>
          <w:i/>
          <w:iCs/>
        </w:rPr>
        <w:t xml:space="preserve"> </w:t>
      </w:r>
      <w:r w:rsidRPr="00D3567E">
        <w:rPr>
          <w:rFonts w:ascii="Bookman Old Style" w:hAnsi="Bookman Old Style"/>
          <w:i/>
          <w:iCs/>
        </w:rPr>
        <w:t>sufrir menoscabo, por: a) Actos o hechos de la entidad administrativa contratante, como</w:t>
      </w:r>
      <w:r>
        <w:rPr>
          <w:rFonts w:ascii="Bookman Old Style" w:hAnsi="Bookman Old Style"/>
          <w:i/>
          <w:iCs/>
        </w:rPr>
        <w:t xml:space="preserve"> </w:t>
      </w:r>
      <w:r w:rsidRPr="00D3567E">
        <w:rPr>
          <w:rFonts w:ascii="Bookman Old Style" w:hAnsi="Bookman Old Style"/>
          <w:i/>
          <w:iCs/>
        </w:rPr>
        <w:t>cuando no cumple con las obligaciones derivadas del contrato o introduce</w:t>
      </w:r>
      <w:r>
        <w:rPr>
          <w:rFonts w:ascii="Bookman Old Style" w:hAnsi="Bookman Old Style"/>
          <w:i/>
          <w:iCs/>
        </w:rPr>
        <w:t xml:space="preserve"> </w:t>
      </w:r>
      <w:r w:rsidRPr="00D3567E">
        <w:rPr>
          <w:rFonts w:ascii="Bookman Old Style" w:hAnsi="Bookman Old Style"/>
          <w:i/>
          <w:iCs/>
        </w:rPr>
        <w:t>modificaciones al mismo -</w:t>
      </w:r>
      <w:proofErr w:type="spellStart"/>
      <w:r w:rsidRPr="00D3567E">
        <w:rPr>
          <w:rFonts w:ascii="Bookman Old Style" w:hAnsi="Bookman Old Style"/>
          <w:i/>
          <w:iCs/>
        </w:rPr>
        <w:t>ius</w:t>
      </w:r>
      <w:proofErr w:type="spellEnd"/>
      <w:r w:rsidRPr="00D3567E">
        <w:rPr>
          <w:rFonts w:ascii="Bookman Old Style" w:hAnsi="Bookman Old Style"/>
          <w:i/>
          <w:iCs/>
        </w:rPr>
        <w:t xml:space="preserve"> </w:t>
      </w:r>
      <w:proofErr w:type="spellStart"/>
      <w:r w:rsidRPr="00D3567E">
        <w:rPr>
          <w:rFonts w:ascii="Bookman Old Style" w:hAnsi="Bookman Old Style"/>
          <w:i/>
          <w:iCs/>
        </w:rPr>
        <w:t>variandi</w:t>
      </w:r>
      <w:proofErr w:type="spellEnd"/>
      <w:r w:rsidRPr="00D3567E">
        <w:rPr>
          <w:rFonts w:ascii="Bookman Old Style" w:hAnsi="Bookman Old Style"/>
          <w:i/>
          <w:iCs/>
        </w:rPr>
        <w:t>-, sean éstas abusivas o no. b) Actos generales</w:t>
      </w:r>
      <w:r>
        <w:rPr>
          <w:rFonts w:ascii="Bookman Old Style" w:hAnsi="Bookman Old Style"/>
          <w:i/>
          <w:iCs/>
        </w:rPr>
        <w:t xml:space="preserve"> </w:t>
      </w:r>
      <w:r w:rsidRPr="00D3567E">
        <w:rPr>
          <w:rFonts w:ascii="Bookman Old Style" w:hAnsi="Bookman Old Style"/>
          <w:i/>
          <w:iCs/>
        </w:rPr>
        <w:t>de la administración como Estado, o “teoría del hecho del príncipe”, como cuando en</w:t>
      </w:r>
      <w:r>
        <w:rPr>
          <w:rFonts w:ascii="Bookman Old Style" w:hAnsi="Bookman Old Style"/>
          <w:i/>
          <w:iCs/>
        </w:rPr>
        <w:t xml:space="preserve"> </w:t>
      </w:r>
      <w:r w:rsidRPr="00D3567E">
        <w:rPr>
          <w:rFonts w:ascii="Bookman Old Style" w:hAnsi="Bookman Old Style"/>
          <w:i/>
          <w:iCs/>
        </w:rPr>
        <w:t>ejercicio de sus potestades constitucionales y legales, cuya voluntad se manifiesta</w:t>
      </w:r>
      <w:r>
        <w:rPr>
          <w:rFonts w:ascii="Bookman Old Style" w:hAnsi="Bookman Old Style"/>
          <w:i/>
          <w:iCs/>
        </w:rPr>
        <w:t xml:space="preserve"> </w:t>
      </w:r>
      <w:r w:rsidRPr="00D3567E">
        <w:rPr>
          <w:rFonts w:ascii="Bookman Old Style" w:hAnsi="Bookman Old Style"/>
          <w:i/>
          <w:iCs/>
        </w:rPr>
        <w:t>mediante leyes o actos administrativos de carácter general, afecta negativamente el</w:t>
      </w:r>
      <w:r>
        <w:rPr>
          <w:rFonts w:ascii="Bookman Old Style" w:hAnsi="Bookman Old Style"/>
          <w:i/>
          <w:iCs/>
        </w:rPr>
        <w:t xml:space="preserve"> </w:t>
      </w:r>
      <w:r w:rsidRPr="00D3567E">
        <w:rPr>
          <w:rFonts w:ascii="Bookman Old Style" w:hAnsi="Bookman Old Style"/>
          <w:i/>
          <w:iCs/>
        </w:rPr>
        <w:t>contrato. c) Factores exógenos a las partes del negocio, o “teoría de la imprevisión”, o</w:t>
      </w:r>
      <w:r>
        <w:rPr>
          <w:rFonts w:ascii="Bookman Old Style" w:hAnsi="Bookman Old Style"/>
          <w:i/>
          <w:iCs/>
        </w:rPr>
        <w:t xml:space="preserve"> </w:t>
      </w:r>
      <w:r w:rsidRPr="00D3567E">
        <w:rPr>
          <w:rFonts w:ascii="Bookman Old Style" w:hAnsi="Bookman Old Style"/>
          <w:i/>
          <w:iCs/>
        </w:rPr>
        <w:t>“sujeciones materiales imprevistas”, que involucran circunstancias no imputables al</w:t>
      </w:r>
      <w:r>
        <w:rPr>
          <w:rFonts w:ascii="Bookman Old Style" w:hAnsi="Bookman Old Style"/>
          <w:i/>
          <w:iCs/>
        </w:rPr>
        <w:t xml:space="preserve"> </w:t>
      </w:r>
      <w:r w:rsidRPr="00D3567E">
        <w:rPr>
          <w:rFonts w:ascii="Bookman Old Style" w:hAnsi="Bookman Old Style"/>
          <w:i/>
          <w:iCs/>
        </w:rPr>
        <w:t>Estado y externas al contrato pero con incidencia en él. En todos estos eventos surge</w:t>
      </w:r>
      <w:r>
        <w:rPr>
          <w:rFonts w:ascii="Bookman Old Style" w:hAnsi="Bookman Old Style"/>
          <w:i/>
          <w:iCs/>
        </w:rPr>
        <w:t xml:space="preserve"> </w:t>
      </w:r>
      <w:r w:rsidRPr="00D3567E">
        <w:rPr>
          <w:rFonts w:ascii="Bookman Old Style" w:hAnsi="Bookman Old Style"/>
          <w:i/>
          <w:iCs/>
        </w:rPr>
        <w:t>la obligación de la administración contratante de auxiliar al contratista colaborado</w:t>
      </w:r>
      <w:r>
        <w:rPr>
          <w:rFonts w:ascii="Bookman Old Style" w:hAnsi="Bookman Old Style"/>
          <w:i/>
          <w:iCs/>
        </w:rPr>
        <w:t xml:space="preserve">r </w:t>
      </w:r>
      <w:r w:rsidRPr="00D3567E">
        <w:rPr>
          <w:rFonts w:ascii="Bookman Old Style" w:hAnsi="Bookman Old Style"/>
          <w:i/>
          <w:iCs/>
        </w:rPr>
        <w:t>mediante una compensación - llevarlo hasta el punto de no pérdida- o nace el deber de</w:t>
      </w:r>
      <w:r>
        <w:rPr>
          <w:rFonts w:ascii="Bookman Old Style" w:hAnsi="Bookman Old Style"/>
          <w:i/>
          <w:iCs/>
        </w:rPr>
        <w:t xml:space="preserve"> </w:t>
      </w:r>
      <w:r w:rsidRPr="00D3567E">
        <w:rPr>
          <w:rFonts w:ascii="Bookman Old Style" w:hAnsi="Bookman Old Style"/>
          <w:i/>
          <w:iCs/>
        </w:rPr>
        <w:t>indemnizarlo integralmente, según el caso y si se cumplen los requisitos señalados</w:t>
      </w:r>
      <w:r>
        <w:rPr>
          <w:rFonts w:ascii="Bookman Old Style" w:hAnsi="Bookman Old Style"/>
          <w:i/>
          <w:iCs/>
        </w:rPr>
        <w:t xml:space="preserve"> </w:t>
      </w:r>
      <w:r w:rsidRPr="00D3567E">
        <w:rPr>
          <w:rFonts w:ascii="Bookman Old Style" w:hAnsi="Bookman Old Style"/>
          <w:i/>
          <w:iCs/>
        </w:rPr>
        <w:t>para cada figura. (..) con independencia de la causa que se invoque como factor de</w:t>
      </w:r>
      <w:r>
        <w:rPr>
          <w:rFonts w:ascii="Bookman Old Style" w:hAnsi="Bookman Old Style"/>
          <w:i/>
          <w:iCs/>
        </w:rPr>
        <w:t xml:space="preserve"> </w:t>
      </w:r>
      <w:r w:rsidRPr="00D3567E">
        <w:rPr>
          <w:rFonts w:ascii="Bookman Old Style" w:hAnsi="Bookman Old Style"/>
          <w:i/>
          <w:iCs/>
        </w:rPr>
        <w:t>desequilibrio económico y financiero del contrato estatal, dentro de los requisitos</w:t>
      </w:r>
      <w:r>
        <w:rPr>
          <w:rFonts w:ascii="Bookman Old Style" w:hAnsi="Bookman Old Style"/>
          <w:i/>
          <w:iCs/>
        </w:rPr>
        <w:t xml:space="preserve"> </w:t>
      </w:r>
      <w:r w:rsidRPr="00D3567E">
        <w:rPr>
          <w:rFonts w:ascii="Bookman Old Style" w:hAnsi="Bookman Old Style"/>
          <w:i/>
          <w:iCs/>
        </w:rPr>
        <w:t>necesarios para su reconocimiento y el consecuente restablecimiento de la ecuación</w:t>
      </w:r>
      <w:r>
        <w:rPr>
          <w:rFonts w:ascii="Bookman Old Style" w:hAnsi="Bookman Old Style"/>
          <w:i/>
          <w:iCs/>
        </w:rPr>
        <w:t xml:space="preserve"> </w:t>
      </w:r>
      <w:r w:rsidRPr="00D3567E">
        <w:rPr>
          <w:rFonts w:ascii="Bookman Old Style" w:hAnsi="Bookman Old Style"/>
          <w:i/>
          <w:iCs/>
        </w:rPr>
        <w:t>contractual, existen unos elementos comunes que deben acreditarse en forma</w:t>
      </w:r>
      <w:r>
        <w:rPr>
          <w:rFonts w:ascii="Bookman Old Style" w:hAnsi="Bookman Old Style"/>
          <w:i/>
          <w:iCs/>
        </w:rPr>
        <w:t xml:space="preserve"> </w:t>
      </w:r>
      <w:r w:rsidRPr="00D3567E">
        <w:rPr>
          <w:rFonts w:ascii="Bookman Old Style" w:hAnsi="Bookman Old Style"/>
          <w:i/>
          <w:iCs/>
        </w:rPr>
        <w:t>concurrente tales como la imprevisibilidad, la alteración extraordinaria y</w:t>
      </w:r>
      <w:r>
        <w:rPr>
          <w:rFonts w:ascii="Bookman Old Style" w:hAnsi="Bookman Old Style"/>
          <w:i/>
          <w:iCs/>
        </w:rPr>
        <w:t xml:space="preserve"> </w:t>
      </w:r>
      <w:r w:rsidRPr="00D3567E">
        <w:rPr>
          <w:rFonts w:ascii="Bookman Old Style" w:hAnsi="Bookman Old Style"/>
          <w:i/>
          <w:iCs/>
        </w:rPr>
        <w:t>fundamentalmente la demostración o prueba de una pérdida real, grave y anormal en la</w:t>
      </w:r>
      <w:r>
        <w:rPr>
          <w:rFonts w:ascii="Bookman Old Style" w:hAnsi="Bookman Old Style"/>
          <w:i/>
          <w:iCs/>
        </w:rPr>
        <w:t xml:space="preserve"> </w:t>
      </w:r>
      <w:r w:rsidRPr="00D3567E">
        <w:rPr>
          <w:rFonts w:ascii="Bookman Old Style" w:hAnsi="Bookman Old Style"/>
          <w:i/>
          <w:iCs/>
        </w:rPr>
        <w:t>economía del contrato, pues no es viable inferir a priori que acontecido el hecho del</w:t>
      </w:r>
      <w:r>
        <w:rPr>
          <w:rFonts w:ascii="Bookman Old Style" w:hAnsi="Bookman Old Style"/>
          <w:i/>
          <w:iCs/>
        </w:rPr>
        <w:t xml:space="preserve"> </w:t>
      </w:r>
      <w:r w:rsidRPr="00D3567E">
        <w:rPr>
          <w:rFonts w:ascii="Bookman Old Style" w:hAnsi="Bookman Old Style"/>
          <w:i/>
          <w:iCs/>
        </w:rPr>
        <w:t>príncipe o el hecho de imprevisión haya necesariamente rompimiento del equilibrio</w:t>
      </w:r>
      <w:r>
        <w:rPr>
          <w:rFonts w:ascii="Bookman Old Style" w:hAnsi="Bookman Old Style"/>
          <w:i/>
          <w:iCs/>
        </w:rPr>
        <w:t xml:space="preserve"> </w:t>
      </w:r>
      <w:r w:rsidRPr="00D3567E">
        <w:rPr>
          <w:rFonts w:ascii="Bookman Old Style" w:hAnsi="Bookman Old Style"/>
          <w:i/>
          <w:iCs/>
        </w:rPr>
        <w:t>contractual y surja el deber de reparar”.</w:t>
      </w:r>
    </w:p>
    <w:p w:rsidR="00A74EAD" w:rsidRDefault="00A74EAD" w:rsidP="00A74EAD">
      <w:pPr>
        <w:jc w:val="both"/>
        <w:rPr>
          <w:rFonts w:ascii="Bookman Old Style" w:hAnsi="Bookman Old Style"/>
          <w:i/>
          <w:iCs/>
        </w:rPr>
      </w:pPr>
    </w:p>
    <w:p w:rsidR="00A74EAD" w:rsidRDefault="00A74EAD" w:rsidP="00A74EAD">
      <w:pPr>
        <w:jc w:val="both"/>
        <w:rPr>
          <w:rFonts w:ascii="Bookman Old Style" w:hAnsi="Bookman Old Style"/>
        </w:rPr>
      </w:pPr>
      <w:r w:rsidRPr="00D3567E">
        <w:rPr>
          <w:rFonts w:ascii="Bookman Old Style" w:hAnsi="Bookman Old Style"/>
        </w:rPr>
        <w:t>En otra oportunidad, se afirmó:</w:t>
      </w:r>
    </w:p>
    <w:p w:rsidR="00A74EAD" w:rsidRDefault="00A74EAD" w:rsidP="00A74EAD">
      <w:pPr>
        <w:jc w:val="both"/>
        <w:rPr>
          <w:rFonts w:ascii="Bookman Old Style" w:hAnsi="Bookman Old Style"/>
        </w:rPr>
      </w:pPr>
    </w:p>
    <w:p w:rsidR="00A74EAD" w:rsidRDefault="00A74EAD" w:rsidP="00A74EAD">
      <w:pPr>
        <w:ind w:left="708" w:right="616"/>
        <w:jc w:val="both"/>
        <w:rPr>
          <w:rFonts w:ascii="Bookman Old Style" w:hAnsi="Bookman Old Style"/>
          <w:i/>
          <w:iCs/>
        </w:rPr>
      </w:pPr>
      <w:r w:rsidRPr="00D3567E">
        <w:rPr>
          <w:rFonts w:ascii="Bookman Old Style" w:hAnsi="Bookman Old Style"/>
          <w:i/>
          <w:iCs/>
        </w:rPr>
        <w:t>“Acá es preciso recordar que la ruptura del equilibrio económico-financiero del contrato</w:t>
      </w:r>
      <w:r>
        <w:rPr>
          <w:rFonts w:ascii="Bookman Old Style" w:hAnsi="Bookman Old Style"/>
          <w:i/>
          <w:iCs/>
        </w:rPr>
        <w:t xml:space="preserve"> </w:t>
      </w:r>
      <w:r w:rsidRPr="00D3567E">
        <w:rPr>
          <w:rFonts w:ascii="Bookman Old Style" w:hAnsi="Bookman Old Style"/>
          <w:i/>
          <w:iCs/>
        </w:rPr>
        <w:t>supone la alteración del sinalgia funcional (correlación y equivalencia en las</w:t>
      </w:r>
      <w:r>
        <w:rPr>
          <w:rFonts w:ascii="Bookman Old Style" w:hAnsi="Bookman Old Style"/>
          <w:i/>
          <w:iCs/>
        </w:rPr>
        <w:t xml:space="preserve"> </w:t>
      </w:r>
      <w:r w:rsidRPr="00D3567E">
        <w:rPr>
          <w:rFonts w:ascii="Bookman Old Style" w:hAnsi="Bookman Old Style"/>
          <w:i/>
          <w:iCs/>
        </w:rPr>
        <w:t xml:space="preserve">prestaciones) pactado al inicio de la relación </w:t>
      </w:r>
      <w:proofErr w:type="spellStart"/>
      <w:r w:rsidRPr="00D3567E">
        <w:rPr>
          <w:rFonts w:ascii="Bookman Old Style" w:hAnsi="Bookman Old Style"/>
          <w:i/>
          <w:iCs/>
        </w:rPr>
        <w:t>negocial</w:t>
      </w:r>
      <w:proofErr w:type="spellEnd"/>
      <w:r w:rsidRPr="00D3567E">
        <w:rPr>
          <w:rFonts w:ascii="Bookman Old Style" w:hAnsi="Bookman Old Style"/>
          <w:i/>
          <w:iCs/>
        </w:rPr>
        <w:t>, bien sea por la expresión del</w:t>
      </w:r>
      <w:r>
        <w:rPr>
          <w:rFonts w:ascii="Bookman Old Style" w:hAnsi="Bookman Old Style"/>
          <w:i/>
          <w:iCs/>
        </w:rPr>
        <w:t xml:space="preserve"> </w:t>
      </w:r>
      <w:r w:rsidRPr="00D3567E">
        <w:rPr>
          <w:rFonts w:ascii="Bookman Old Style" w:hAnsi="Bookman Old Style"/>
          <w:i/>
          <w:iCs/>
        </w:rPr>
        <w:t>poder soberano del Estado, capaz de afectar el vínculo jurídico a través de decisiones</w:t>
      </w:r>
      <w:r>
        <w:rPr>
          <w:rFonts w:ascii="Bookman Old Style" w:hAnsi="Bookman Old Style"/>
          <w:i/>
          <w:iCs/>
        </w:rPr>
        <w:t xml:space="preserve"> </w:t>
      </w:r>
      <w:r w:rsidRPr="00D3567E">
        <w:rPr>
          <w:rFonts w:ascii="Bookman Old Style" w:hAnsi="Bookman Old Style"/>
          <w:i/>
          <w:iCs/>
        </w:rPr>
        <w:t>con relevancia jurídica, bien por la voluntad de la parte que, dentro de la relación</w:t>
      </w:r>
      <w:r>
        <w:rPr>
          <w:rFonts w:ascii="Bookman Old Style" w:hAnsi="Bookman Old Style"/>
          <w:i/>
          <w:iCs/>
        </w:rPr>
        <w:t xml:space="preserve"> </w:t>
      </w:r>
      <w:r w:rsidRPr="00D3567E">
        <w:rPr>
          <w:rFonts w:ascii="Bookman Old Style" w:hAnsi="Bookman Old Style"/>
          <w:i/>
          <w:iCs/>
        </w:rPr>
        <w:t xml:space="preserve">contractual, ostenta posición de supremacía frente a su </w:t>
      </w:r>
      <w:proofErr w:type="spellStart"/>
      <w:r w:rsidRPr="00D3567E">
        <w:rPr>
          <w:rFonts w:ascii="Bookman Old Style" w:hAnsi="Bookman Old Style"/>
          <w:i/>
          <w:iCs/>
        </w:rPr>
        <w:t>cocontratante</w:t>
      </w:r>
      <w:proofErr w:type="spellEnd"/>
      <w:r w:rsidRPr="00D3567E">
        <w:rPr>
          <w:rFonts w:ascii="Bookman Old Style" w:hAnsi="Bookman Old Style"/>
          <w:i/>
          <w:iCs/>
        </w:rPr>
        <w:t>, bien por</w:t>
      </w:r>
      <w:r>
        <w:rPr>
          <w:rFonts w:ascii="Bookman Old Style" w:hAnsi="Bookman Old Style"/>
          <w:i/>
          <w:iCs/>
        </w:rPr>
        <w:t xml:space="preserve"> </w:t>
      </w:r>
      <w:r w:rsidRPr="00D3567E">
        <w:rPr>
          <w:rFonts w:ascii="Bookman Old Style" w:hAnsi="Bookman Old Style"/>
          <w:i/>
          <w:iCs/>
        </w:rPr>
        <w:t>situaciones imprevistas, imprevisibles e irresistibles que impactan la economía del</w:t>
      </w:r>
      <w:r>
        <w:rPr>
          <w:rFonts w:ascii="Bookman Old Style" w:hAnsi="Bookman Old Style"/>
          <w:i/>
          <w:iCs/>
        </w:rPr>
        <w:t xml:space="preserve"> </w:t>
      </w:r>
      <w:r w:rsidRPr="00D3567E">
        <w:rPr>
          <w:rFonts w:ascii="Bookman Old Style" w:hAnsi="Bookman Old Style"/>
          <w:i/>
          <w:iCs/>
        </w:rPr>
        <w:t>contrato o por hechos previsibles en cuanto a su ocurrencia, pero con efectos</w:t>
      </w:r>
      <w:r>
        <w:rPr>
          <w:rFonts w:ascii="Bookman Old Style" w:hAnsi="Bookman Old Style"/>
          <w:i/>
          <w:iCs/>
        </w:rPr>
        <w:t xml:space="preserve"> </w:t>
      </w:r>
      <w:r w:rsidRPr="00D3567E">
        <w:rPr>
          <w:rFonts w:ascii="Bookman Old Style" w:hAnsi="Bookman Old Style"/>
          <w:i/>
          <w:iCs/>
        </w:rPr>
        <w:t>imprevistos e irresistibles (como la variación de precios), por razones no imputables a</w:t>
      </w:r>
      <w:r>
        <w:rPr>
          <w:rFonts w:ascii="Bookman Old Style" w:hAnsi="Bookman Old Style"/>
          <w:i/>
          <w:iCs/>
        </w:rPr>
        <w:t xml:space="preserve"> </w:t>
      </w:r>
      <w:r w:rsidRPr="00D3567E">
        <w:rPr>
          <w:rFonts w:ascii="Bookman Old Style" w:hAnsi="Bookman Old Style"/>
          <w:i/>
          <w:iCs/>
        </w:rPr>
        <w:t>las partes”.</w:t>
      </w:r>
    </w:p>
    <w:p w:rsidR="00A74EAD" w:rsidRDefault="00A74EAD" w:rsidP="00A74EAD">
      <w:pPr>
        <w:jc w:val="both"/>
        <w:rPr>
          <w:rFonts w:ascii="Bookman Old Style" w:hAnsi="Bookman Old Style"/>
          <w:i/>
          <w:iCs/>
        </w:rPr>
      </w:pPr>
    </w:p>
    <w:p w:rsidR="00A74EAD" w:rsidRDefault="00A74EAD" w:rsidP="00A74EAD">
      <w:pPr>
        <w:jc w:val="both"/>
        <w:rPr>
          <w:rFonts w:ascii="Bookman Old Style" w:hAnsi="Bookman Old Style"/>
        </w:rPr>
      </w:pPr>
      <w:r w:rsidRPr="00D3567E">
        <w:rPr>
          <w:rFonts w:ascii="Bookman Old Style" w:hAnsi="Bookman Old Style"/>
        </w:rPr>
        <w:lastRenderedPageBreak/>
        <w:t>Entonces, tenemos que el Consejo de Estado ha reconocido que existen tres (3) situaciones capaces</w:t>
      </w:r>
      <w:r>
        <w:rPr>
          <w:rFonts w:ascii="Bookman Old Style" w:hAnsi="Bookman Old Style"/>
        </w:rPr>
        <w:t xml:space="preserve"> </w:t>
      </w:r>
      <w:r w:rsidRPr="00D3567E">
        <w:rPr>
          <w:rFonts w:ascii="Bookman Old Style" w:hAnsi="Bookman Old Style"/>
        </w:rPr>
        <w:t xml:space="preserve">de romper el equilibrio contractual que debe mantenerse en las relaciones </w:t>
      </w:r>
      <w:proofErr w:type="spellStart"/>
      <w:r w:rsidRPr="00D3567E">
        <w:rPr>
          <w:rFonts w:ascii="Bookman Old Style" w:hAnsi="Bookman Old Style"/>
        </w:rPr>
        <w:t>negociales</w:t>
      </w:r>
      <w:proofErr w:type="spellEnd"/>
      <w:r w:rsidRPr="00D3567E">
        <w:rPr>
          <w:rFonts w:ascii="Bookman Old Style" w:hAnsi="Bookman Old Style"/>
        </w:rPr>
        <w:t xml:space="preserve"> con el Estado, </w:t>
      </w:r>
      <w:r w:rsidRPr="00D3567E">
        <w:rPr>
          <w:rFonts w:ascii="Bookman Old Style" w:hAnsi="Bookman Old Style"/>
          <w:b/>
          <w:bCs/>
        </w:rPr>
        <w:t>y</w:t>
      </w:r>
      <w:r>
        <w:rPr>
          <w:rFonts w:ascii="Bookman Old Style" w:hAnsi="Bookman Old Style"/>
          <w:b/>
          <w:bCs/>
        </w:rPr>
        <w:t xml:space="preserve"> </w:t>
      </w:r>
      <w:r w:rsidRPr="00D3567E">
        <w:rPr>
          <w:rFonts w:ascii="Bookman Old Style" w:hAnsi="Bookman Old Style"/>
          <w:b/>
          <w:bCs/>
        </w:rPr>
        <w:t xml:space="preserve">que correlativamente implican el restablecimiento de la ecuación financiera </w:t>
      </w:r>
      <w:r w:rsidRPr="00D3567E">
        <w:rPr>
          <w:rFonts w:ascii="Bookman Old Style" w:hAnsi="Bookman Old Style"/>
          <w:b/>
          <w:bCs/>
          <w:i/>
          <w:iCs/>
        </w:rPr>
        <w:t xml:space="preserve">so pena </w:t>
      </w:r>
      <w:r w:rsidRPr="00D3567E">
        <w:rPr>
          <w:rFonts w:ascii="Bookman Old Style" w:hAnsi="Bookman Old Style"/>
          <w:b/>
          <w:bCs/>
        </w:rPr>
        <w:t>de</w:t>
      </w:r>
      <w:r>
        <w:rPr>
          <w:rFonts w:ascii="Bookman Old Style" w:hAnsi="Bookman Old Style"/>
          <w:b/>
          <w:bCs/>
        </w:rPr>
        <w:t xml:space="preserve"> </w:t>
      </w:r>
      <w:r w:rsidRPr="00D3567E">
        <w:rPr>
          <w:rFonts w:ascii="Bookman Old Style" w:hAnsi="Bookman Old Style"/>
          <w:b/>
          <w:bCs/>
        </w:rPr>
        <w:t>responsabilidad contractual</w:t>
      </w:r>
      <w:r w:rsidRPr="00D3567E">
        <w:rPr>
          <w:rFonts w:ascii="Bookman Old Style" w:hAnsi="Bookman Old Style"/>
        </w:rPr>
        <w:t>, esto es, i) actos imputables a la administración por incumplimiento de las</w:t>
      </w:r>
      <w:r>
        <w:rPr>
          <w:rFonts w:ascii="Bookman Old Style" w:hAnsi="Bookman Old Style"/>
        </w:rPr>
        <w:t xml:space="preserve"> </w:t>
      </w:r>
      <w:r w:rsidRPr="00D3567E">
        <w:rPr>
          <w:rFonts w:ascii="Bookman Old Style" w:hAnsi="Bookman Old Style"/>
        </w:rPr>
        <w:t>obligaciones, ii) actos del Estado en ejercicio de sus potestades legales o constitucionales, lo que se ha</w:t>
      </w:r>
      <w:r>
        <w:rPr>
          <w:rFonts w:ascii="Bookman Old Style" w:hAnsi="Bookman Old Style"/>
        </w:rPr>
        <w:t xml:space="preserve"> </w:t>
      </w:r>
      <w:r w:rsidRPr="00D3567E">
        <w:rPr>
          <w:rFonts w:ascii="Bookman Old Style" w:hAnsi="Bookman Old Style"/>
        </w:rPr>
        <w:t xml:space="preserve">denominado como </w:t>
      </w:r>
      <w:r w:rsidRPr="00D3567E">
        <w:rPr>
          <w:rFonts w:ascii="Bookman Old Style" w:hAnsi="Bookman Old Style"/>
          <w:i/>
          <w:iCs/>
        </w:rPr>
        <w:t xml:space="preserve">“hecho del príncipe”, </w:t>
      </w:r>
      <w:r w:rsidRPr="00D3567E">
        <w:rPr>
          <w:rFonts w:ascii="Bookman Old Style" w:hAnsi="Bookman Old Style"/>
        </w:rPr>
        <w:t>y) iii) actos imprevisibles e irresistibles que no son imputables a</w:t>
      </w:r>
      <w:r>
        <w:rPr>
          <w:rFonts w:ascii="Bookman Old Style" w:hAnsi="Bookman Old Style"/>
        </w:rPr>
        <w:t xml:space="preserve"> </w:t>
      </w:r>
      <w:r w:rsidRPr="00D3567E">
        <w:rPr>
          <w:rFonts w:ascii="Bookman Old Style" w:hAnsi="Bookman Old Style"/>
        </w:rPr>
        <w:t xml:space="preserve">ninguna de las partes, o teoría de la imprevisión. </w:t>
      </w:r>
    </w:p>
    <w:p w:rsidR="00A74EAD" w:rsidRPr="00D3567E" w:rsidRDefault="00A74EAD" w:rsidP="00A74EAD">
      <w:pPr>
        <w:jc w:val="both"/>
        <w:rPr>
          <w:rFonts w:ascii="Bookman Old Style" w:hAnsi="Bookman Old Style"/>
        </w:rPr>
      </w:pPr>
    </w:p>
    <w:p w:rsidR="00A74EAD" w:rsidRDefault="00A74EAD" w:rsidP="00A74EAD">
      <w:pPr>
        <w:jc w:val="both"/>
        <w:rPr>
          <w:rFonts w:ascii="Bookman Old Style" w:hAnsi="Bookman Old Style"/>
          <w:b/>
          <w:bCs/>
        </w:rPr>
      </w:pPr>
      <w:r w:rsidRPr="00D3567E">
        <w:rPr>
          <w:rFonts w:ascii="Bookman Old Style" w:hAnsi="Bookman Old Style"/>
          <w:b/>
          <w:bCs/>
        </w:rPr>
        <w:t>En todos estos casos, es necesario que la administración restablezca las condiciones</w:t>
      </w:r>
      <w:r>
        <w:rPr>
          <w:rFonts w:ascii="Bookman Old Style" w:hAnsi="Bookman Old Style"/>
          <w:b/>
          <w:bCs/>
        </w:rPr>
        <w:t xml:space="preserve"> </w:t>
      </w:r>
      <w:r w:rsidRPr="00D3567E">
        <w:rPr>
          <w:rFonts w:ascii="Bookman Old Style" w:hAnsi="Bookman Old Style"/>
          <w:b/>
          <w:bCs/>
        </w:rPr>
        <w:t>contractuales y económicas a efectos de reajustar la ecuación financiera del contrato, a través</w:t>
      </w:r>
      <w:r>
        <w:rPr>
          <w:rFonts w:ascii="Bookman Old Style" w:hAnsi="Bookman Old Style"/>
          <w:b/>
          <w:bCs/>
        </w:rPr>
        <w:t xml:space="preserve"> </w:t>
      </w:r>
      <w:r w:rsidRPr="00D3567E">
        <w:rPr>
          <w:rFonts w:ascii="Bookman Old Style" w:hAnsi="Bookman Old Style"/>
          <w:b/>
          <w:bCs/>
        </w:rPr>
        <w:t xml:space="preserve">de compensaciones o indemnizaciones. </w:t>
      </w:r>
    </w:p>
    <w:p w:rsidR="00A74EAD" w:rsidRPr="00D3567E" w:rsidRDefault="00A74EAD" w:rsidP="00A74EAD">
      <w:pPr>
        <w:jc w:val="both"/>
        <w:rPr>
          <w:rFonts w:ascii="Bookman Old Style" w:hAnsi="Bookman Old Style"/>
        </w:rPr>
      </w:pPr>
    </w:p>
    <w:p w:rsidR="00A74EAD" w:rsidRPr="002F5FF9" w:rsidRDefault="00A74EAD" w:rsidP="00A74EAD">
      <w:pPr>
        <w:jc w:val="both"/>
        <w:rPr>
          <w:rFonts w:ascii="Bookman Old Style" w:hAnsi="Bookman Old Style"/>
        </w:rPr>
      </w:pPr>
      <w:r w:rsidRPr="00D3567E">
        <w:rPr>
          <w:rFonts w:ascii="Bookman Old Style" w:hAnsi="Bookman Old Style"/>
        </w:rPr>
        <w:t>Vemos aquí que existieron situaciones imprevisibles, irresistibles y no imputables al contratista que</w:t>
      </w:r>
      <w:r>
        <w:rPr>
          <w:rFonts w:ascii="Bookman Old Style" w:hAnsi="Bookman Old Style"/>
        </w:rPr>
        <w:t xml:space="preserve"> </w:t>
      </w:r>
      <w:r w:rsidRPr="00D3567E">
        <w:rPr>
          <w:rFonts w:ascii="Bookman Old Style" w:hAnsi="Bookman Old Style"/>
        </w:rPr>
        <w:t>rompieron la ecuación económica del contrato, a tal punto de imposibilitarlo para continuar con la</w:t>
      </w:r>
      <w:r>
        <w:rPr>
          <w:rFonts w:ascii="Bookman Old Style" w:hAnsi="Bookman Old Style"/>
        </w:rPr>
        <w:t xml:space="preserve"> </w:t>
      </w:r>
      <w:r w:rsidRPr="00D3567E">
        <w:rPr>
          <w:rFonts w:ascii="Bookman Old Style" w:hAnsi="Bookman Old Style"/>
        </w:rPr>
        <w:t>ejecución del mismo, aun así, no se tomaron las medidas de saneamiento correspondientes, de modo</w:t>
      </w:r>
      <w:r>
        <w:rPr>
          <w:rFonts w:ascii="Bookman Old Style" w:hAnsi="Bookman Old Style"/>
        </w:rPr>
        <w:t xml:space="preserve"> </w:t>
      </w:r>
      <w:r w:rsidRPr="00D3567E">
        <w:rPr>
          <w:rFonts w:ascii="Bookman Old Style" w:hAnsi="Bookman Old Style"/>
        </w:rPr>
        <w:t xml:space="preserve">tal que los retrasos y parálisis del proyecto son imputables única y exclusivamente al </w:t>
      </w:r>
      <w:r>
        <w:rPr>
          <w:rFonts w:ascii="Bookman Old Style" w:hAnsi="Bookman Old Style"/>
        </w:rPr>
        <w:t>Municipio de Los Santos</w:t>
      </w:r>
      <w:r w:rsidRPr="00D3567E">
        <w:rPr>
          <w:rFonts w:ascii="Bookman Old Style" w:hAnsi="Bookman Old Style"/>
        </w:rPr>
        <w:t xml:space="preserve"> y la</w:t>
      </w:r>
      <w:r>
        <w:rPr>
          <w:rFonts w:ascii="Bookman Old Style" w:hAnsi="Bookman Old Style"/>
        </w:rPr>
        <w:t xml:space="preserve"> </w:t>
      </w:r>
      <w:r w:rsidRPr="00D3567E">
        <w:rPr>
          <w:rFonts w:ascii="Bookman Old Style" w:hAnsi="Bookman Old Style"/>
        </w:rPr>
        <w:t>interventoría por desconocer su obligación de restablecer el equilibrio económico del contrato</w:t>
      </w:r>
      <w:r>
        <w:rPr>
          <w:rFonts w:ascii="Bookman Old Style" w:hAnsi="Bookman Old Style"/>
        </w:rPr>
        <w:t>, aun con mayor razón cuando se dejaron de pagar oportunamente las actas parciales de avance</w:t>
      </w:r>
      <w:r w:rsidRPr="00D3567E">
        <w:rPr>
          <w:rFonts w:ascii="Bookman Old Style" w:hAnsi="Bookman Old Style"/>
        </w:rPr>
        <w:t>.</w:t>
      </w:r>
    </w:p>
    <w:p w:rsidR="00A74EAD" w:rsidRDefault="00A74EAD" w:rsidP="00A74EAD">
      <w:pPr>
        <w:jc w:val="both"/>
        <w:rPr>
          <w:rFonts w:ascii="Bookman Old Style" w:hAnsi="Bookman Old Style"/>
          <w:lang w:val="es-MX"/>
        </w:rPr>
      </w:pPr>
    </w:p>
    <w:p w:rsidR="00A74EAD" w:rsidRDefault="00A74EAD" w:rsidP="00A74EAD">
      <w:pPr>
        <w:jc w:val="both"/>
        <w:rPr>
          <w:rFonts w:ascii="Bookman Old Style" w:hAnsi="Bookman Old Style"/>
          <w:lang w:val="es-MX"/>
        </w:rPr>
      </w:pPr>
      <w:r w:rsidRPr="003604ED">
        <w:rPr>
          <w:rFonts w:ascii="Bookman Old Style" w:hAnsi="Bookman Old Style"/>
          <w:b/>
          <w:lang w:val="es-MX"/>
        </w:rPr>
        <w:t xml:space="preserve">2.- </w:t>
      </w:r>
      <w:r w:rsidRPr="003604ED">
        <w:rPr>
          <w:rFonts w:ascii="Bookman Old Style" w:hAnsi="Bookman Old Style"/>
          <w:b/>
          <w:u w:val="single"/>
          <w:lang w:val="es-MX"/>
        </w:rPr>
        <w:t>Contrato No Cumplido</w:t>
      </w:r>
      <w:r w:rsidRPr="003604ED">
        <w:rPr>
          <w:rFonts w:ascii="Bookman Old Style" w:hAnsi="Bookman Old Style"/>
          <w:b/>
          <w:lang w:val="es-MX"/>
        </w:rPr>
        <w:t>:</w:t>
      </w:r>
      <w:r>
        <w:rPr>
          <w:rFonts w:ascii="Bookman Old Style" w:hAnsi="Bookman Old Style"/>
          <w:lang w:val="es-MX"/>
        </w:rPr>
        <w:t xml:space="preserve"> La Alcaldía como contratante faltó a la cláusula cuarta – forma de pago, pues una vez recibida el acta parcial, se contaría con 90 días calendario para cancelar al contratista. Está probado que el acta No. 11 fue presentada y recibida el 20 de diciembre de 2023, y hasta el momento de esta diligencia no se ha cancelado, lo que de contera conlleva a incumplir el numeral 1 de la cláusula 8 del contrato, que estipula la obligación en cabeza del contratante de cancelar oportunamente los dineros pactados y que corresponden para lograr el cumplimiento del contrato.</w:t>
      </w:r>
    </w:p>
    <w:p w:rsidR="00A74EAD" w:rsidRDefault="00A74EAD" w:rsidP="00A74EAD">
      <w:pPr>
        <w:jc w:val="both"/>
        <w:rPr>
          <w:rFonts w:ascii="Bookman Old Style" w:hAnsi="Bookman Old Style"/>
          <w:lang w:val="es-MX"/>
        </w:rPr>
      </w:pPr>
    </w:p>
    <w:p w:rsidR="00A74EAD" w:rsidRDefault="00A74EAD" w:rsidP="00A74EAD">
      <w:pPr>
        <w:jc w:val="both"/>
        <w:rPr>
          <w:rFonts w:ascii="Bookman Old Style" w:hAnsi="Bookman Old Style"/>
        </w:rPr>
      </w:pPr>
      <w:r w:rsidRPr="00D3567E">
        <w:rPr>
          <w:rFonts w:ascii="Bookman Old Style" w:hAnsi="Bookman Old Style"/>
        </w:rPr>
        <w:t>Acerca de esta excepción, debe señalarse que está contemplada en el artículo 1609 del Código Civil,</w:t>
      </w:r>
      <w:r>
        <w:rPr>
          <w:rFonts w:ascii="Bookman Old Style" w:hAnsi="Bookman Old Style"/>
        </w:rPr>
        <w:t xml:space="preserve"> que establece</w:t>
      </w:r>
      <w:r w:rsidRPr="00D3567E">
        <w:rPr>
          <w:rFonts w:ascii="Bookman Old Style" w:hAnsi="Bookman Old Style"/>
        </w:rPr>
        <w:t xml:space="preserve">: </w:t>
      </w:r>
    </w:p>
    <w:p w:rsidR="00A74EAD" w:rsidRPr="00D3567E" w:rsidRDefault="00A74EAD" w:rsidP="00A74EAD">
      <w:pPr>
        <w:jc w:val="both"/>
        <w:rPr>
          <w:rFonts w:ascii="Bookman Old Style" w:hAnsi="Bookman Old Style"/>
        </w:rPr>
      </w:pPr>
    </w:p>
    <w:p w:rsidR="00A74EAD" w:rsidRDefault="00A74EAD" w:rsidP="00A74EAD">
      <w:pPr>
        <w:ind w:left="708" w:right="616"/>
        <w:jc w:val="both"/>
        <w:rPr>
          <w:rFonts w:ascii="Bookman Old Style" w:hAnsi="Bookman Old Style"/>
          <w:i/>
          <w:iCs/>
        </w:rPr>
      </w:pPr>
      <w:r w:rsidRPr="00D3567E">
        <w:rPr>
          <w:rFonts w:ascii="Bookman Old Style" w:hAnsi="Bookman Old Style"/>
          <w:i/>
          <w:iCs/>
        </w:rPr>
        <w:t>“ARTICULO 1609. &lt;MORA EN LOS CONTRATOS BILATERALES&gt;. En los contratos bilaterales</w:t>
      </w:r>
      <w:r>
        <w:rPr>
          <w:rFonts w:ascii="Bookman Old Style" w:hAnsi="Bookman Old Style"/>
          <w:i/>
          <w:iCs/>
        </w:rPr>
        <w:t xml:space="preserve"> </w:t>
      </w:r>
      <w:r w:rsidRPr="00D3567E">
        <w:rPr>
          <w:rFonts w:ascii="Bookman Old Style" w:hAnsi="Bookman Old Style"/>
          <w:i/>
          <w:iCs/>
        </w:rPr>
        <w:t>ninguno de los contratantes está en mora dejando de cumplir lo pactado, mientras el otro no lo</w:t>
      </w:r>
      <w:r>
        <w:rPr>
          <w:rFonts w:ascii="Bookman Old Style" w:hAnsi="Bookman Old Style"/>
          <w:i/>
          <w:iCs/>
        </w:rPr>
        <w:t xml:space="preserve"> </w:t>
      </w:r>
      <w:r w:rsidRPr="00D3567E">
        <w:rPr>
          <w:rFonts w:ascii="Bookman Old Style" w:hAnsi="Bookman Old Style"/>
          <w:i/>
          <w:iCs/>
        </w:rPr>
        <w:t>cumpla por su parte, o no se allana a cumplirlo en la forma y tiempo debidos”.</w:t>
      </w:r>
    </w:p>
    <w:p w:rsidR="00A74EAD" w:rsidRDefault="00A74EAD" w:rsidP="00A74EAD">
      <w:pPr>
        <w:jc w:val="both"/>
        <w:rPr>
          <w:rFonts w:ascii="Bookman Old Style" w:hAnsi="Bookman Old Style"/>
          <w:i/>
          <w:iCs/>
        </w:rPr>
      </w:pPr>
    </w:p>
    <w:p w:rsidR="00A74EAD" w:rsidRDefault="00A74EAD" w:rsidP="00A74EAD">
      <w:pPr>
        <w:jc w:val="both"/>
        <w:rPr>
          <w:rFonts w:ascii="Bookman Old Style" w:hAnsi="Bookman Old Style"/>
        </w:rPr>
      </w:pPr>
      <w:r w:rsidRPr="00D3567E">
        <w:rPr>
          <w:rFonts w:ascii="Bookman Old Style" w:hAnsi="Bookman Old Style"/>
        </w:rPr>
        <w:t>Con relación a esta excepción, el Consejo de Estado ha aclarado que procede en los contratos</w:t>
      </w:r>
      <w:r>
        <w:rPr>
          <w:rFonts w:ascii="Bookman Old Style" w:hAnsi="Bookman Old Style"/>
        </w:rPr>
        <w:t xml:space="preserve"> </w:t>
      </w:r>
      <w:r w:rsidRPr="00D3567E">
        <w:rPr>
          <w:rFonts w:ascii="Bookman Old Style" w:hAnsi="Bookman Old Style"/>
        </w:rPr>
        <w:t>estatales aun cuando esta debe ser armonizada con las normas de derecho público y, por tanto, tienen</w:t>
      </w:r>
      <w:r>
        <w:rPr>
          <w:rFonts w:ascii="Bookman Old Style" w:hAnsi="Bookman Old Style"/>
        </w:rPr>
        <w:t xml:space="preserve"> </w:t>
      </w:r>
      <w:r w:rsidRPr="00D3567E">
        <w:rPr>
          <w:rFonts w:ascii="Bookman Old Style" w:hAnsi="Bookman Old Style"/>
        </w:rPr>
        <w:t>que cumplirse ciertas características para que se configure. De este modo, se afirmó:</w:t>
      </w:r>
    </w:p>
    <w:p w:rsidR="00A74EAD" w:rsidRDefault="00A74EAD" w:rsidP="00A74EAD">
      <w:pPr>
        <w:jc w:val="both"/>
        <w:rPr>
          <w:rFonts w:ascii="Bookman Old Style" w:hAnsi="Bookman Old Style"/>
        </w:rPr>
      </w:pPr>
    </w:p>
    <w:p w:rsidR="00A74EAD" w:rsidRDefault="00A74EAD" w:rsidP="00A74EAD">
      <w:pPr>
        <w:ind w:left="708" w:right="616"/>
        <w:jc w:val="both"/>
        <w:rPr>
          <w:rFonts w:ascii="Bookman Old Style" w:hAnsi="Bookman Old Style"/>
          <w:i/>
          <w:iCs/>
        </w:rPr>
      </w:pPr>
      <w:r w:rsidRPr="00D3567E">
        <w:rPr>
          <w:rFonts w:ascii="Bookman Old Style" w:hAnsi="Bookman Old Style"/>
          <w:i/>
          <w:iCs/>
        </w:rPr>
        <w:t>“El artículo 1609 del Código Civil prevé que en los contratos bilaterales ninguno de los</w:t>
      </w:r>
      <w:r>
        <w:rPr>
          <w:rFonts w:ascii="Bookman Old Style" w:hAnsi="Bookman Old Style"/>
          <w:i/>
          <w:iCs/>
        </w:rPr>
        <w:t xml:space="preserve"> </w:t>
      </w:r>
      <w:r w:rsidRPr="00D3567E">
        <w:rPr>
          <w:rFonts w:ascii="Bookman Old Style" w:hAnsi="Bookman Old Style"/>
          <w:i/>
          <w:iCs/>
        </w:rPr>
        <w:t>contratantes está en mora dejando de cumplir lo pactado, mientras el otro no lo cumpla por su</w:t>
      </w:r>
      <w:r>
        <w:rPr>
          <w:rFonts w:ascii="Bookman Old Style" w:hAnsi="Bookman Old Style"/>
          <w:i/>
          <w:iCs/>
        </w:rPr>
        <w:t xml:space="preserve"> </w:t>
      </w:r>
      <w:r w:rsidRPr="00D3567E">
        <w:rPr>
          <w:rFonts w:ascii="Bookman Old Style" w:hAnsi="Bookman Old Style"/>
          <w:i/>
          <w:iCs/>
        </w:rPr>
        <w:t>parte, o no se allane a cumplirlo en la forma y tiempo debidos. Norma que, además de regular la</w:t>
      </w:r>
      <w:r>
        <w:rPr>
          <w:rFonts w:ascii="Bookman Old Style" w:hAnsi="Bookman Old Style"/>
          <w:i/>
          <w:iCs/>
        </w:rPr>
        <w:t xml:space="preserve"> </w:t>
      </w:r>
      <w:r w:rsidRPr="00D3567E">
        <w:rPr>
          <w:rFonts w:ascii="Bookman Old Style" w:hAnsi="Bookman Old Style"/>
          <w:i/>
          <w:iCs/>
        </w:rPr>
        <w:t>mora en los contratos bilaterales, que descansa en el aforismo con arreglo al cual “la mora de</w:t>
      </w:r>
      <w:r>
        <w:rPr>
          <w:rFonts w:ascii="Bookman Old Style" w:hAnsi="Bookman Old Style"/>
          <w:i/>
          <w:iCs/>
        </w:rPr>
        <w:t xml:space="preserve"> </w:t>
      </w:r>
      <w:r w:rsidRPr="00D3567E">
        <w:rPr>
          <w:rFonts w:ascii="Bookman Old Style" w:hAnsi="Bookman Old Style"/>
          <w:i/>
          <w:iCs/>
        </w:rPr>
        <w:t xml:space="preserve">uno purga la mora del otro”, consagra la </w:t>
      </w:r>
      <w:proofErr w:type="spellStart"/>
      <w:r w:rsidRPr="00D3567E">
        <w:rPr>
          <w:rFonts w:ascii="Bookman Old Style" w:hAnsi="Bookman Old Style"/>
          <w:i/>
          <w:iCs/>
        </w:rPr>
        <w:t>exceptio</w:t>
      </w:r>
      <w:proofErr w:type="spellEnd"/>
      <w:r w:rsidRPr="00D3567E">
        <w:rPr>
          <w:rFonts w:ascii="Bookman Old Style" w:hAnsi="Bookman Old Style"/>
          <w:i/>
          <w:iCs/>
        </w:rPr>
        <w:t xml:space="preserve"> non </w:t>
      </w:r>
      <w:proofErr w:type="spellStart"/>
      <w:r w:rsidRPr="00D3567E">
        <w:rPr>
          <w:rFonts w:ascii="Bookman Old Style" w:hAnsi="Bookman Old Style"/>
          <w:i/>
          <w:iCs/>
        </w:rPr>
        <w:t>adimpleti</w:t>
      </w:r>
      <w:proofErr w:type="spellEnd"/>
      <w:r w:rsidRPr="00D3567E">
        <w:rPr>
          <w:rFonts w:ascii="Bookman Old Style" w:hAnsi="Bookman Old Style"/>
          <w:i/>
          <w:iCs/>
        </w:rPr>
        <w:t xml:space="preserve"> </w:t>
      </w:r>
      <w:proofErr w:type="spellStart"/>
      <w:r w:rsidRPr="00D3567E">
        <w:rPr>
          <w:rFonts w:ascii="Bookman Old Style" w:hAnsi="Bookman Old Style"/>
          <w:i/>
          <w:iCs/>
        </w:rPr>
        <w:t>contractus</w:t>
      </w:r>
      <w:proofErr w:type="spellEnd"/>
      <w:r w:rsidRPr="00D3567E">
        <w:rPr>
          <w:rFonts w:ascii="Bookman Old Style" w:hAnsi="Bookman Old Style"/>
          <w:i/>
          <w:iCs/>
        </w:rPr>
        <w:t>, medio de defensa</w:t>
      </w:r>
      <w:r>
        <w:rPr>
          <w:rFonts w:ascii="Bookman Old Style" w:hAnsi="Bookman Old Style"/>
          <w:i/>
          <w:iCs/>
        </w:rPr>
        <w:t xml:space="preserve"> </w:t>
      </w:r>
      <w:r w:rsidRPr="00D3567E">
        <w:rPr>
          <w:rFonts w:ascii="Bookman Old Style" w:hAnsi="Bookman Old Style"/>
          <w:i/>
          <w:iCs/>
        </w:rPr>
        <w:t>que puede invocar una de las partes del contrato cuando no ha cumplido porque la otra</w:t>
      </w:r>
      <w:r>
        <w:rPr>
          <w:rFonts w:ascii="Bookman Old Style" w:hAnsi="Bookman Old Style"/>
          <w:i/>
          <w:iCs/>
        </w:rPr>
        <w:t xml:space="preserve"> </w:t>
      </w:r>
      <w:r w:rsidRPr="00D3567E">
        <w:rPr>
          <w:rFonts w:ascii="Bookman Old Style" w:hAnsi="Bookman Old Style"/>
          <w:i/>
          <w:iCs/>
        </w:rPr>
        <w:t>tampoco lo ha hecho, caso en el cual su conducta no es tomada como antijurídica. (…) Sin</w:t>
      </w:r>
      <w:r>
        <w:rPr>
          <w:rFonts w:ascii="Bookman Old Style" w:hAnsi="Bookman Old Style"/>
          <w:i/>
          <w:iCs/>
        </w:rPr>
        <w:t xml:space="preserve"> </w:t>
      </w:r>
      <w:r w:rsidRPr="00D3567E">
        <w:rPr>
          <w:rFonts w:ascii="Bookman Old Style" w:hAnsi="Bookman Old Style"/>
          <w:i/>
          <w:iCs/>
        </w:rPr>
        <w:t>embargo, la jurisprudencia tiene determinado que esta institución en materia de contratos</w:t>
      </w:r>
      <w:r>
        <w:rPr>
          <w:rFonts w:ascii="Bookman Old Style" w:hAnsi="Bookman Old Style"/>
          <w:i/>
          <w:iCs/>
        </w:rPr>
        <w:t xml:space="preserve"> </w:t>
      </w:r>
      <w:r w:rsidRPr="00D3567E">
        <w:rPr>
          <w:rFonts w:ascii="Bookman Old Style" w:hAnsi="Bookman Old Style"/>
          <w:i/>
          <w:iCs/>
        </w:rPr>
        <w:t xml:space="preserve">estatales debe ser armonizada con las reglas del derecho público. La </w:t>
      </w:r>
      <w:proofErr w:type="spellStart"/>
      <w:r w:rsidRPr="00D3567E">
        <w:rPr>
          <w:rFonts w:ascii="Bookman Old Style" w:hAnsi="Bookman Old Style"/>
          <w:i/>
          <w:iCs/>
        </w:rPr>
        <w:t>exceptio</w:t>
      </w:r>
      <w:proofErr w:type="spellEnd"/>
      <w:r w:rsidRPr="00D3567E">
        <w:rPr>
          <w:rFonts w:ascii="Bookman Old Style" w:hAnsi="Bookman Old Style"/>
          <w:i/>
          <w:iCs/>
        </w:rPr>
        <w:t xml:space="preserve"> non </w:t>
      </w:r>
      <w:proofErr w:type="spellStart"/>
      <w:r w:rsidRPr="00D3567E">
        <w:rPr>
          <w:rFonts w:ascii="Bookman Old Style" w:hAnsi="Bookman Old Style"/>
          <w:i/>
          <w:iCs/>
        </w:rPr>
        <w:t>adimpleticontractus</w:t>
      </w:r>
      <w:proofErr w:type="spellEnd"/>
      <w:r w:rsidRPr="00D3567E">
        <w:rPr>
          <w:rFonts w:ascii="Bookman Old Style" w:hAnsi="Bookman Old Style"/>
          <w:i/>
          <w:iCs/>
        </w:rPr>
        <w:t xml:space="preserve"> tiene lugar únicamente en aquellos contratos sinalagmáticos en que el</w:t>
      </w:r>
      <w:r>
        <w:rPr>
          <w:rFonts w:ascii="Bookman Old Style" w:hAnsi="Bookman Old Style"/>
          <w:i/>
          <w:iCs/>
        </w:rPr>
        <w:t xml:space="preserve"> </w:t>
      </w:r>
      <w:r w:rsidRPr="00D3567E">
        <w:rPr>
          <w:rFonts w:ascii="Bookman Old Style" w:hAnsi="Bookman Old Style"/>
          <w:i/>
          <w:iCs/>
        </w:rPr>
        <w:t>incumplimiento imputable a la entidad pública sea grave, serio, determinante, trascendente y de</w:t>
      </w:r>
      <w:r>
        <w:rPr>
          <w:rFonts w:ascii="Bookman Old Style" w:hAnsi="Bookman Old Style"/>
          <w:i/>
          <w:iCs/>
        </w:rPr>
        <w:t xml:space="preserve"> </w:t>
      </w:r>
      <w:r w:rsidRPr="00D3567E">
        <w:rPr>
          <w:rFonts w:ascii="Bookman Old Style" w:hAnsi="Bookman Old Style"/>
          <w:i/>
          <w:iCs/>
        </w:rPr>
        <w:t>gran significación, de manera que sitúe al contratista en una razonable imposibilidad de cumplir</w:t>
      </w:r>
      <w:r>
        <w:rPr>
          <w:rFonts w:ascii="Bookman Old Style" w:hAnsi="Bookman Old Style"/>
          <w:i/>
          <w:iCs/>
        </w:rPr>
        <w:t xml:space="preserve"> </w:t>
      </w:r>
      <w:r w:rsidRPr="00D3567E">
        <w:rPr>
          <w:rFonts w:ascii="Bookman Old Style" w:hAnsi="Bookman Old Style"/>
          <w:i/>
          <w:iCs/>
        </w:rPr>
        <w:t>sus obligaciones, siendo en ese caso procedente que éste la pueda alegar y suspender el</w:t>
      </w:r>
      <w:r>
        <w:rPr>
          <w:rFonts w:ascii="Bookman Old Style" w:hAnsi="Bookman Old Style"/>
          <w:i/>
          <w:iCs/>
        </w:rPr>
        <w:t xml:space="preserve"> </w:t>
      </w:r>
      <w:r w:rsidRPr="00D3567E">
        <w:rPr>
          <w:rFonts w:ascii="Bookman Old Style" w:hAnsi="Bookman Old Style"/>
          <w:i/>
          <w:iCs/>
        </w:rPr>
        <w:t>cumplimiento de sus obligaciones”.</w:t>
      </w:r>
    </w:p>
    <w:p w:rsidR="00A74EAD" w:rsidRDefault="00A74EAD" w:rsidP="00A74EAD">
      <w:pPr>
        <w:jc w:val="both"/>
        <w:rPr>
          <w:rFonts w:ascii="Bookman Old Style" w:hAnsi="Bookman Old Style"/>
          <w:i/>
          <w:iCs/>
        </w:rPr>
      </w:pPr>
    </w:p>
    <w:p w:rsidR="00A74EAD" w:rsidRDefault="00A74EAD" w:rsidP="00A74EAD">
      <w:pPr>
        <w:jc w:val="both"/>
        <w:rPr>
          <w:rFonts w:ascii="Bookman Old Style" w:hAnsi="Bookman Old Style"/>
        </w:rPr>
      </w:pPr>
      <w:r w:rsidRPr="00D3567E">
        <w:rPr>
          <w:rFonts w:ascii="Bookman Old Style" w:hAnsi="Bookman Old Style"/>
        </w:rPr>
        <w:t>En pronunciamiento más reciente, esta Corporación adujo:</w:t>
      </w:r>
    </w:p>
    <w:p w:rsidR="00A74EAD" w:rsidRDefault="00A74EAD" w:rsidP="00A74EAD">
      <w:pPr>
        <w:jc w:val="both"/>
        <w:rPr>
          <w:rFonts w:ascii="Bookman Old Style" w:hAnsi="Bookman Old Style"/>
        </w:rPr>
      </w:pPr>
    </w:p>
    <w:p w:rsidR="00A74EAD" w:rsidRDefault="00A74EAD" w:rsidP="00A74EAD">
      <w:pPr>
        <w:ind w:left="708" w:right="474"/>
        <w:jc w:val="both"/>
        <w:rPr>
          <w:rFonts w:ascii="Bookman Old Style" w:hAnsi="Bookman Old Style"/>
          <w:i/>
          <w:iCs/>
        </w:rPr>
      </w:pPr>
      <w:r w:rsidRPr="00D3567E">
        <w:rPr>
          <w:rFonts w:ascii="Bookman Old Style" w:hAnsi="Bookman Old Style"/>
          <w:i/>
          <w:iCs/>
        </w:rPr>
        <w:t>“En materia de contratación estatal no cualquier desatención obligacional de la entidad tiene la</w:t>
      </w:r>
      <w:r>
        <w:rPr>
          <w:rFonts w:ascii="Bookman Old Style" w:hAnsi="Bookman Old Style"/>
          <w:i/>
          <w:iCs/>
        </w:rPr>
        <w:t xml:space="preserve"> </w:t>
      </w:r>
      <w:r w:rsidRPr="00D3567E">
        <w:rPr>
          <w:rFonts w:ascii="Bookman Old Style" w:hAnsi="Bookman Old Style"/>
          <w:i/>
          <w:iCs/>
        </w:rPr>
        <w:t>virtualidad de situar en estado de incumplimiento al contratista o de conjurarlo. Ello obedece a</w:t>
      </w:r>
      <w:r>
        <w:rPr>
          <w:rFonts w:ascii="Bookman Old Style" w:hAnsi="Bookman Old Style"/>
          <w:i/>
          <w:iCs/>
        </w:rPr>
        <w:t xml:space="preserve"> </w:t>
      </w:r>
      <w:r w:rsidRPr="00D3567E">
        <w:rPr>
          <w:rFonts w:ascii="Bookman Old Style" w:hAnsi="Bookman Old Style"/>
          <w:i/>
          <w:iCs/>
        </w:rPr>
        <w:t>que, en atención al fin público que se encuentra ínsito en la suscripción de un contrato estatal,</w:t>
      </w:r>
      <w:r>
        <w:rPr>
          <w:rFonts w:ascii="Bookman Old Style" w:hAnsi="Bookman Old Style"/>
          <w:i/>
          <w:iCs/>
        </w:rPr>
        <w:t xml:space="preserve"> </w:t>
      </w:r>
      <w:r w:rsidRPr="00D3567E">
        <w:rPr>
          <w:rFonts w:ascii="Bookman Old Style" w:hAnsi="Bookman Old Style"/>
          <w:i/>
          <w:iCs/>
        </w:rPr>
        <w:t>el contratista debe procurar satisfacer su objeto en las condiciones inicialmente convenidas, a</w:t>
      </w:r>
      <w:r>
        <w:rPr>
          <w:rFonts w:ascii="Bookman Old Style" w:hAnsi="Bookman Old Style"/>
          <w:i/>
          <w:iCs/>
        </w:rPr>
        <w:t xml:space="preserve"> </w:t>
      </w:r>
      <w:r w:rsidRPr="00D3567E">
        <w:rPr>
          <w:rFonts w:ascii="Bookman Old Style" w:hAnsi="Bookman Old Style"/>
          <w:i/>
          <w:iCs/>
        </w:rPr>
        <w:t>menos que, en realidad, el apartamiento de las obligaciones a cargo de la entidad lo lleven a un</w:t>
      </w:r>
      <w:r>
        <w:rPr>
          <w:rFonts w:ascii="Bookman Old Style" w:hAnsi="Bookman Old Style"/>
          <w:i/>
          <w:iCs/>
        </w:rPr>
        <w:t xml:space="preserve"> </w:t>
      </w:r>
      <w:r w:rsidRPr="00D3567E">
        <w:rPr>
          <w:rFonts w:ascii="Bookman Old Style" w:hAnsi="Bookman Old Style"/>
          <w:i/>
          <w:iCs/>
        </w:rPr>
        <w:t>estado de imposibilidad material de cumplirlo</w:t>
      </w:r>
      <w:r>
        <w:rPr>
          <w:rFonts w:ascii="Bookman Old Style" w:hAnsi="Bookman Old Style"/>
          <w:i/>
          <w:iCs/>
        </w:rPr>
        <w:t>…</w:t>
      </w:r>
      <w:r w:rsidRPr="00D3567E">
        <w:rPr>
          <w:rFonts w:ascii="Bookman Old Style" w:hAnsi="Bookman Old Style"/>
          <w:i/>
          <w:iCs/>
        </w:rPr>
        <w:t>”</w:t>
      </w:r>
    </w:p>
    <w:p w:rsidR="00A74EAD" w:rsidRDefault="00A74EAD" w:rsidP="00A74EAD">
      <w:pPr>
        <w:jc w:val="both"/>
        <w:rPr>
          <w:rFonts w:ascii="Bookman Old Style" w:hAnsi="Bookman Old Style"/>
          <w:i/>
          <w:iCs/>
        </w:rPr>
      </w:pPr>
    </w:p>
    <w:p w:rsidR="00A74EAD" w:rsidRDefault="00A74EAD" w:rsidP="00A74EAD">
      <w:pPr>
        <w:jc w:val="both"/>
        <w:rPr>
          <w:rFonts w:ascii="Bookman Old Style" w:hAnsi="Bookman Old Style"/>
        </w:rPr>
      </w:pPr>
      <w:r w:rsidRPr="00D3567E">
        <w:rPr>
          <w:rFonts w:ascii="Bookman Old Style" w:hAnsi="Bookman Old Style"/>
        </w:rPr>
        <w:t>Como se aprecia, para que se predique la excepción de contrato no cumplido en materia estatal, el</w:t>
      </w:r>
      <w:r>
        <w:rPr>
          <w:rFonts w:ascii="Bookman Old Style" w:hAnsi="Bookman Old Style"/>
        </w:rPr>
        <w:t xml:space="preserve"> </w:t>
      </w:r>
      <w:r w:rsidRPr="00D3567E">
        <w:rPr>
          <w:rFonts w:ascii="Bookman Old Style" w:hAnsi="Bookman Old Style"/>
        </w:rPr>
        <w:t>incumplimiento de la entidad debe ser grave, determinante y trascendente, al punto de situar al</w:t>
      </w:r>
      <w:r>
        <w:rPr>
          <w:rFonts w:ascii="Bookman Old Style" w:hAnsi="Bookman Old Style"/>
        </w:rPr>
        <w:t xml:space="preserve"> </w:t>
      </w:r>
      <w:r w:rsidRPr="00D3567E">
        <w:rPr>
          <w:rFonts w:ascii="Bookman Old Style" w:hAnsi="Bookman Old Style"/>
        </w:rPr>
        <w:t>contratista en una razonable imposibilidad de cumplir con sus obligaciones. Dichas características se</w:t>
      </w:r>
      <w:r>
        <w:rPr>
          <w:rFonts w:ascii="Bookman Old Style" w:hAnsi="Bookman Old Style"/>
        </w:rPr>
        <w:t xml:space="preserve"> </w:t>
      </w:r>
      <w:r w:rsidRPr="00D3567E">
        <w:rPr>
          <w:rFonts w:ascii="Bookman Old Style" w:hAnsi="Bookman Old Style"/>
        </w:rPr>
        <w:t xml:space="preserve">cumplen en el caso que nos ocupa, pues es tal el incumplimiento </w:t>
      </w:r>
      <w:r>
        <w:rPr>
          <w:rFonts w:ascii="Bookman Old Style" w:hAnsi="Bookman Old Style"/>
        </w:rPr>
        <w:t>del municipio de Los Santos</w:t>
      </w:r>
      <w:r w:rsidRPr="00D3567E">
        <w:rPr>
          <w:rFonts w:ascii="Bookman Old Style" w:hAnsi="Bookman Old Style"/>
        </w:rPr>
        <w:t xml:space="preserve"> que imposibilitó al</w:t>
      </w:r>
      <w:r>
        <w:rPr>
          <w:rFonts w:ascii="Bookman Old Style" w:hAnsi="Bookman Old Style"/>
        </w:rPr>
        <w:t xml:space="preserve"> </w:t>
      </w:r>
      <w:r w:rsidRPr="00D3567E">
        <w:rPr>
          <w:rFonts w:ascii="Bookman Old Style" w:hAnsi="Bookman Old Style"/>
        </w:rPr>
        <w:t>contratista a continuar con la ejecución del contrato, dada la evidente iliquidez en la que se encontraba</w:t>
      </w:r>
      <w:r>
        <w:rPr>
          <w:rFonts w:ascii="Bookman Old Style" w:hAnsi="Bookman Old Style"/>
        </w:rPr>
        <w:t>, recordemos que estamos ante un contrato sin anticipo, y que la mayoría de las actas parciales fueron canceladas tardíamente, como bien lo expuso el testigo Germán Serrano</w:t>
      </w:r>
      <w:r w:rsidRPr="00D3567E">
        <w:rPr>
          <w:rFonts w:ascii="Bookman Old Style" w:hAnsi="Bookman Old Style"/>
        </w:rPr>
        <w:t>.</w:t>
      </w:r>
    </w:p>
    <w:p w:rsidR="00A74EAD" w:rsidRDefault="00A74EAD" w:rsidP="00A74EAD">
      <w:pPr>
        <w:jc w:val="both"/>
        <w:rPr>
          <w:rFonts w:ascii="Bookman Old Style" w:hAnsi="Bookman Old Style"/>
        </w:rPr>
      </w:pPr>
    </w:p>
    <w:p w:rsidR="00A74EAD" w:rsidRDefault="00A74EAD" w:rsidP="00A74EAD">
      <w:pPr>
        <w:jc w:val="both"/>
        <w:rPr>
          <w:rFonts w:ascii="Bookman Old Style" w:hAnsi="Bookman Old Style"/>
        </w:rPr>
      </w:pPr>
      <w:r w:rsidRPr="003604ED">
        <w:rPr>
          <w:rFonts w:ascii="Bookman Old Style" w:hAnsi="Bookman Old Style"/>
          <w:b/>
        </w:rPr>
        <w:t xml:space="preserve">3.- </w:t>
      </w:r>
      <w:r w:rsidRPr="003604ED">
        <w:rPr>
          <w:rFonts w:ascii="Bookman Old Style" w:hAnsi="Bookman Old Style"/>
          <w:b/>
          <w:u w:val="single"/>
        </w:rPr>
        <w:t>Fuerza Mayor y Caso Fortuito:</w:t>
      </w:r>
      <w:r>
        <w:rPr>
          <w:rFonts w:ascii="Bookman Old Style" w:hAnsi="Bookman Old Style"/>
        </w:rPr>
        <w:t xml:space="preserve"> En el desarrollo del objeto contractual se presentaron dos situaciones imprevisibles e irresistibles, las cuales devienen de hechos no imputables al contratista, tal como lo fue aquel comportamiento de la comunidad que impidió la ejecución de las actividades hidráulicas que dependían de la toma de agua del tanque principal </w:t>
      </w:r>
      <w:proofErr w:type="spellStart"/>
      <w:r>
        <w:rPr>
          <w:rFonts w:ascii="Bookman Old Style" w:hAnsi="Bookman Old Style"/>
        </w:rPr>
        <w:t>veredal</w:t>
      </w:r>
      <w:proofErr w:type="spellEnd"/>
      <w:r>
        <w:rPr>
          <w:rFonts w:ascii="Bookman Old Style" w:hAnsi="Bookman Old Style"/>
        </w:rPr>
        <w:t>, lo que no consideró la entidad contratante a tal punto que obligó al contratista a cumplir con unos diseños imposibles de ejecutar.</w:t>
      </w:r>
    </w:p>
    <w:p w:rsidR="00A74EAD" w:rsidRDefault="00A74EAD" w:rsidP="00A74EAD">
      <w:pPr>
        <w:jc w:val="both"/>
        <w:rPr>
          <w:rFonts w:ascii="Bookman Old Style" w:hAnsi="Bookman Old Style"/>
        </w:rPr>
      </w:pPr>
    </w:p>
    <w:p w:rsidR="00A74EAD" w:rsidRPr="006953EC" w:rsidRDefault="00A74EAD" w:rsidP="00A74EAD">
      <w:pPr>
        <w:jc w:val="both"/>
        <w:rPr>
          <w:rFonts w:ascii="Bookman Old Style" w:hAnsi="Bookman Old Style"/>
        </w:rPr>
      </w:pPr>
      <w:r w:rsidRPr="003604ED">
        <w:rPr>
          <w:rFonts w:ascii="Bookman Old Style" w:hAnsi="Bookman Old Style"/>
          <w:b/>
        </w:rPr>
        <w:t xml:space="preserve">4.- </w:t>
      </w:r>
      <w:r w:rsidRPr="003604ED">
        <w:rPr>
          <w:rFonts w:ascii="Bookman Old Style" w:hAnsi="Bookman Old Style"/>
          <w:b/>
          <w:u w:val="single"/>
        </w:rPr>
        <w:t>La imprevisión</w:t>
      </w:r>
      <w:r>
        <w:rPr>
          <w:rFonts w:ascii="Bookman Old Style" w:hAnsi="Bookman Old Style"/>
          <w:u w:val="single"/>
        </w:rPr>
        <w:t>:</w:t>
      </w:r>
      <w:r>
        <w:rPr>
          <w:rFonts w:ascii="Bookman Old Style" w:hAnsi="Bookman Old Style"/>
        </w:rPr>
        <w:t xml:space="preserve"> T</w:t>
      </w:r>
      <w:r w:rsidRPr="006953EC">
        <w:rPr>
          <w:rFonts w:ascii="Bookman Old Style" w:hAnsi="Bookman Old Style"/>
        </w:rPr>
        <w:t xml:space="preserve">ratada en la sentencia 21990 del 28 de junio del 2012 del Consejo de Estado como ponente la magistrada Stella Correa Palacios, la cual se presenta cuando situaciones extraordinarias, ajenas a las partes, imprevisibles y posteriores a la celebración del contrato alteran la ecuación financiera del mismo en forma anormal y grave, lo que sucedió en este caso, </w:t>
      </w:r>
      <w:r>
        <w:rPr>
          <w:rFonts w:ascii="Bookman Old Style" w:hAnsi="Bookman Old Style"/>
        </w:rPr>
        <w:t>ya que los diseños originales no respondieron a las necesidades eléctricas e hidráulicas</w:t>
      </w:r>
      <w:r w:rsidRPr="006953EC">
        <w:rPr>
          <w:rFonts w:ascii="Bookman Old Style" w:hAnsi="Bookman Old Style"/>
        </w:rPr>
        <w:t>.</w:t>
      </w:r>
    </w:p>
    <w:p w:rsidR="00A74EAD" w:rsidRDefault="00A74EAD" w:rsidP="00A74EAD">
      <w:pPr>
        <w:jc w:val="both"/>
        <w:rPr>
          <w:rFonts w:ascii="Bookman Old Style" w:hAnsi="Bookman Old Style"/>
          <w:lang w:val="es-MX"/>
        </w:rPr>
      </w:pPr>
    </w:p>
    <w:p w:rsidR="00A74EAD" w:rsidRPr="006953EC" w:rsidRDefault="00A74EAD" w:rsidP="00A74EAD">
      <w:pPr>
        <w:jc w:val="both"/>
        <w:rPr>
          <w:rFonts w:ascii="Bookman Old Style" w:hAnsi="Bookman Old Style"/>
          <w:i/>
          <w:lang w:val="es-MX"/>
        </w:rPr>
      </w:pPr>
      <w:r w:rsidRPr="003604ED">
        <w:rPr>
          <w:rFonts w:ascii="Bookman Old Style" w:hAnsi="Bookman Old Style"/>
          <w:b/>
          <w:lang w:val="es-MX"/>
        </w:rPr>
        <w:t xml:space="preserve">5.- </w:t>
      </w:r>
      <w:r w:rsidRPr="003604ED">
        <w:rPr>
          <w:rFonts w:ascii="Bookman Old Style" w:hAnsi="Bookman Old Style"/>
          <w:b/>
          <w:u w:val="single"/>
          <w:lang w:val="es-MX"/>
        </w:rPr>
        <w:t>Reducción de la indemnización:</w:t>
      </w:r>
      <w:r>
        <w:rPr>
          <w:rFonts w:ascii="Bookman Old Style" w:hAnsi="Bookman Old Style"/>
          <w:lang w:val="es-MX"/>
        </w:rPr>
        <w:t xml:space="preserve"> En el numeral 4, del capítulo III – condiciones aplicables a todo tipo de contrato, de las condiciones generales de la póliza de cumplimiento No. 994000008105, se pactó: </w:t>
      </w:r>
      <w:r>
        <w:rPr>
          <w:rFonts w:ascii="Bookman Old Style" w:hAnsi="Bookman Old Style"/>
          <w:i/>
          <w:lang w:val="es-MX"/>
        </w:rPr>
        <w:t>“</w:t>
      </w:r>
      <w:r>
        <w:rPr>
          <w:rFonts w:ascii="Bookman Old Style" w:hAnsi="Bookman Old Style"/>
          <w:b/>
          <w:i/>
          <w:lang w:val="es-MX"/>
        </w:rPr>
        <w:t xml:space="preserve">4. REDUCCIÓN DE LA INDEMNIZACÓN: </w:t>
      </w:r>
      <w:r>
        <w:rPr>
          <w:rFonts w:ascii="Bookman Old Style" w:hAnsi="Bookman Old Style"/>
          <w:i/>
          <w:lang w:val="es-MX"/>
        </w:rPr>
        <w:t>Si el asegurado o beneficiario, al momento de tener conocimiento del incumplimiento o con posterioridad a este y anterior al pago de la indemnización, fuere deudor del contratista por cualquier concepto, se aplicará la compensación y la indemnización se disminuirá en el monto de las acreencias, según la Ley, de conformidad con lo señalado en los artículos 1714 y subsiguientes del código civil”.</w:t>
      </w:r>
    </w:p>
    <w:p w:rsidR="00A74EAD" w:rsidRDefault="00A74EAD" w:rsidP="00A74EAD">
      <w:pPr>
        <w:jc w:val="center"/>
        <w:rPr>
          <w:rFonts w:ascii="Bookman Old Style" w:hAnsi="Bookman Old Style"/>
          <w:lang w:val="es-MX"/>
        </w:rPr>
      </w:pPr>
    </w:p>
    <w:p w:rsidR="00A74EAD" w:rsidRDefault="00A74EAD" w:rsidP="00A74EAD">
      <w:pPr>
        <w:jc w:val="both"/>
        <w:rPr>
          <w:rFonts w:ascii="Bookman Old Style" w:hAnsi="Bookman Old Style"/>
          <w:lang w:val="es-MX"/>
        </w:rPr>
      </w:pPr>
      <w:r>
        <w:rPr>
          <w:rFonts w:ascii="Bookman Old Style" w:hAnsi="Bookman Old Style"/>
          <w:lang w:val="es-MX"/>
        </w:rPr>
        <w:t>En este caso está probado que la entidad contratante debe al contratista los valores correspondientes al acta parcial de avance No. 11 por suma de $520.000.000 M/Cte., razón por la cual la indemnización que eventualmente se llegara a ordenar, deberá ser sujeto de esta reducción frente al amparo de cumplimiento.</w:t>
      </w:r>
    </w:p>
    <w:p w:rsidR="00A74EAD" w:rsidRDefault="00A74EAD" w:rsidP="00A74EAD">
      <w:pPr>
        <w:jc w:val="both"/>
        <w:rPr>
          <w:rFonts w:ascii="Bookman Old Style" w:hAnsi="Bookman Old Style"/>
          <w:lang w:val="es-MX"/>
        </w:rPr>
      </w:pPr>
    </w:p>
    <w:p w:rsidR="00A74EAD" w:rsidRDefault="00A74EAD" w:rsidP="00A74EAD">
      <w:pPr>
        <w:jc w:val="both"/>
        <w:rPr>
          <w:rFonts w:ascii="Bookman Old Style" w:hAnsi="Bookman Old Style"/>
        </w:rPr>
      </w:pPr>
      <w:r w:rsidRPr="003604ED">
        <w:rPr>
          <w:rFonts w:ascii="Bookman Old Style" w:hAnsi="Bookman Old Style"/>
          <w:b/>
          <w:lang w:val="es-MX"/>
        </w:rPr>
        <w:t xml:space="preserve">6.- </w:t>
      </w:r>
      <w:r w:rsidRPr="003604ED">
        <w:rPr>
          <w:rFonts w:ascii="Bookman Old Style" w:hAnsi="Bookman Old Style"/>
          <w:b/>
          <w:u w:val="single"/>
          <w:lang w:val="es-MX"/>
        </w:rPr>
        <w:t>Proporcionalidad con Relación al Incumplimiento de Otras Obligaciones:</w:t>
      </w:r>
      <w:r>
        <w:rPr>
          <w:rFonts w:ascii="Bookman Old Style" w:hAnsi="Bookman Old Style"/>
          <w:lang w:val="es-MX"/>
        </w:rPr>
        <w:t xml:space="preserve"> </w:t>
      </w:r>
      <w:r>
        <w:rPr>
          <w:rFonts w:ascii="Bookman Old Style" w:hAnsi="Bookman Old Style"/>
        </w:rPr>
        <w:t>Se recuerda</w:t>
      </w:r>
      <w:r w:rsidRPr="00D3567E">
        <w:rPr>
          <w:rFonts w:ascii="Bookman Old Style" w:hAnsi="Bookman Old Style"/>
        </w:rPr>
        <w:t xml:space="preserve"> que en virtud del artículo 1596 del Código Civil, se debe aplicar el principio de</w:t>
      </w:r>
      <w:r>
        <w:rPr>
          <w:rFonts w:ascii="Bookman Old Style" w:hAnsi="Bookman Old Style"/>
        </w:rPr>
        <w:t xml:space="preserve"> </w:t>
      </w:r>
      <w:r w:rsidRPr="00D3567E">
        <w:rPr>
          <w:rFonts w:ascii="Bookman Old Style" w:hAnsi="Bookman Old Style"/>
        </w:rPr>
        <w:t>proporcionalidad con relación a las obligaciones parcialmente cumplidas.</w:t>
      </w:r>
    </w:p>
    <w:p w:rsidR="00A74EAD" w:rsidRDefault="00A74EAD" w:rsidP="00A74EAD">
      <w:pPr>
        <w:jc w:val="both"/>
        <w:rPr>
          <w:rFonts w:ascii="Bookman Old Style" w:hAnsi="Bookman Old Style"/>
        </w:rPr>
      </w:pPr>
    </w:p>
    <w:p w:rsidR="00A74EAD" w:rsidRDefault="00A74EAD" w:rsidP="00A74EAD">
      <w:pPr>
        <w:jc w:val="both"/>
        <w:rPr>
          <w:rFonts w:ascii="Bookman Old Style" w:hAnsi="Bookman Old Style"/>
        </w:rPr>
      </w:pPr>
      <w:r w:rsidRPr="0039159D">
        <w:rPr>
          <w:rFonts w:ascii="Bookman Old Style" w:hAnsi="Bookman Old Style"/>
        </w:rPr>
        <w:t>Es importante precisar que, en el remoto e improbable evento en que se llegue a comprobar un incumplimiento de las obligaciones a cargo del contratista, resulta forzosa la aplicación del principio de proporcionalidad, a fin de adoptar decisiones que se ajusten a los postulados legales y jurisprudenciales que se aplican sobre el particular. Al respecto, el artículo 44 de la Ley 1437 de 2011 dispone:</w:t>
      </w:r>
    </w:p>
    <w:p w:rsidR="00A74EAD" w:rsidRDefault="00A74EAD" w:rsidP="00A74EAD">
      <w:pPr>
        <w:jc w:val="both"/>
        <w:rPr>
          <w:rFonts w:ascii="Bookman Old Style" w:hAnsi="Bookman Old Style"/>
        </w:rPr>
      </w:pPr>
    </w:p>
    <w:p w:rsidR="00A74EAD" w:rsidRPr="0039159D" w:rsidRDefault="00A74EAD" w:rsidP="00A74EAD">
      <w:pPr>
        <w:ind w:left="708" w:right="474"/>
        <w:jc w:val="both"/>
        <w:rPr>
          <w:rFonts w:ascii="Bookman Old Style" w:hAnsi="Bookman Old Style"/>
          <w:i/>
        </w:rPr>
      </w:pPr>
      <w:r w:rsidRPr="0039159D">
        <w:rPr>
          <w:rFonts w:ascii="Bookman Old Style" w:hAnsi="Bookman Old Style"/>
          <w:i/>
        </w:rPr>
        <w:t xml:space="preserve">“Artículo 44. Decisiones discrecionales. En la medida en que el contenido de una decisión de carácter general o particular sea discrecional, debe ser adecuada a los fines de la norma que la autoriza, </w:t>
      </w:r>
      <w:r w:rsidRPr="0039159D">
        <w:rPr>
          <w:rFonts w:ascii="Bookman Old Style" w:hAnsi="Bookman Old Style"/>
          <w:b/>
          <w:i/>
        </w:rPr>
        <w:t>y proporcional a los hechos que le sirven de causa</w:t>
      </w:r>
      <w:r w:rsidRPr="0039159D">
        <w:rPr>
          <w:rFonts w:ascii="Bookman Old Style" w:hAnsi="Bookman Old Style"/>
          <w:i/>
        </w:rPr>
        <w:t>”.</w:t>
      </w:r>
    </w:p>
    <w:p w:rsidR="00A74EAD" w:rsidRDefault="00A74EAD" w:rsidP="00A74EAD">
      <w:pPr>
        <w:jc w:val="both"/>
        <w:rPr>
          <w:rFonts w:ascii="Bookman Old Style" w:hAnsi="Bookman Old Style"/>
        </w:rPr>
      </w:pPr>
    </w:p>
    <w:p w:rsidR="00A74EAD" w:rsidRPr="0039159D" w:rsidRDefault="00A74EAD" w:rsidP="00A74EAD">
      <w:pPr>
        <w:jc w:val="both"/>
        <w:rPr>
          <w:rFonts w:ascii="Bookman Old Style" w:hAnsi="Bookman Old Style"/>
        </w:rPr>
      </w:pPr>
      <w:r w:rsidRPr="0039159D">
        <w:rPr>
          <w:rFonts w:ascii="Bookman Old Style" w:hAnsi="Bookman Old Style"/>
        </w:rPr>
        <w:lastRenderedPageBreak/>
        <w:t>Igualmente, el artículo 867 del Código de Comercio también hace referencia al principio de proporcionalidad en los siguientes términos:</w:t>
      </w:r>
    </w:p>
    <w:p w:rsidR="00A74EAD" w:rsidRPr="0039159D" w:rsidRDefault="00A74EAD" w:rsidP="00A74EAD">
      <w:pPr>
        <w:jc w:val="both"/>
        <w:rPr>
          <w:rFonts w:ascii="Bookman Old Style" w:hAnsi="Bookman Old Style"/>
        </w:rPr>
      </w:pPr>
    </w:p>
    <w:p w:rsidR="00A74EAD" w:rsidRPr="00C96FF2" w:rsidRDefault="00A74EAD" w:rsidP="00A74EAD">
      <w:pPr>
        <w:ind w:left="708" w:right="474"/>
        <w:jc w:val="both"/>
        <w:rPr>
          <w:rFonts w:ascii="Bookman Old Style" w:hAnsi="Bookman Old Style"/>
          <w:i/>
          <w:iCs/>
        </w:rPr>
      </w:pPr>
      <w:r w:rsidRPr="00C96FF2">
        <w:rPr>
          <w:rFonts w:ascii="Bookman Old Style" w:hAnsi="Bookman Old Style"/>
          <w:b/>
          <w:i/>
          <w:iCs/>
        </w:rPr>
        <w:t xml:space="preserve">ARTÍCULO 867. &lt;CLÁUSULA PENAL&gt;. </w:t>
      </w:r>
      <w:r w:rsidRPr="00C96FF2">
        <w:rPr>
          <w:rFonts w:ascii="Bookman Old Style" w:hAnsi="Bookman Old Style"/>
          <w:i/>
          <w:iCs/>
        </w:rPr>
        <w:t xml:space="preserve"> </w:t>
      </w:r>
      <w:r w:rsidRPr="00C96FF2">
        <w:rPr>
          <w:rFonts w:ascii="Bookman Old Style" w:hAnsi="Bookman Old Style"/>
          <w:b/>
          <w:i/>
          <w:iCs/>
        </w:rPr>
        <w:t>Cuando la prestación principal no esté determinada ni sea determinable en una suma cierta de dinero, podrá el juez reducir equitativamente la pena, si la considera manifiestamente excesiva habida cuenta del interés que tenga el acreedor en que se cumpla la obligación. Lo mismo hará cuando la obligación principal se haya cumplido en parte</w:t>
      </w:r>
      <w:r w:rsidRPr="00C96FF2">
        <w:rPr>
          <w:rFonts w:ascii="Bookman Old Style" w:hAnsi="Bookman Old Style"/>
          <w:i/>
          <w:iCs/>
        </w:rPr>
        <w:t xml:space="preserve">” </w:t>
      </w:r>
    </w:p>
    <w:p w:rsidR="00A74EAD" w:rsidRDefault="00A74EAD" w:rsidP="00A74EAD">
      <w:pPr>
        <w:jc w:val="both"/>
        <w:rPr>
          <w:rFonts w:ascii="Bookman Old Style" w:hAnsi="Bookman Old Style"/>
        </w:rPr>
      </w:pPr>
    </w:p>
    <w:p w:rsidR="00A74EAD" w:rsidRDefault="00A74EAD" w:rsidP="00A74EAD">
      <w:pPr>
        <w:jc w:val="both"/>
        <w:rPr>
          <w:rFonts w:ascii="Bookman Old Style" w:hAnsi="Bookman Old Style"/>
        </w:rPr>
      </w:pPr>
      <w:r w:rsidRPr="0039159D">
        <w:rPr>
          <w:rFonts w:ascii="Bookman Old Style" w:hAnsi="Bookman Old Style"/>
        </w:rPr>
        <w:t xml:space="preserve">Al respecto, se hace necesario aclarar que la cláusula penal es una estipulación pactada de común acuerdo por las partes del contrato, con el objeto de fijar anticipadamente el valor de los perjuicios en caso de un incumplimiento por cualquiera de ellas, cuyo efecto jurídico más importante es que exime a la parte cumplida de la obligación de demostrar la cuantía de la indemnización. </w:t>
      </w:r>
      <w:r>
        <w:rPr>
          <w:rFonts w:ascii="Bookman Old Style" w:hAnsi="Bookman Old Style"/>
        </w:rPr>
        <w:t>Si bien se pactó en el contrato una</w:t>
      </w:r>
      <w:r w:rsidRPr="0039159D">
        <w:rPr>
          <w:rFonts w:ascii="Bookman Old Style" w:hAnsi="Bookman Old Style"/>
        </w:rPr>
        <w:t xml:space="preserve"> cláusula </w:t>
      </w:r>
      <w:r>
        <w:rPr>
          <w:rFonts w:ascii="Bookman Old Style" w:hAnsi="Bookman Old Style"/>
        </w:rPr>
        <w:t>de hasta el 2</w:t>
      </w:r>
      <w:r w:rsidRPr="0039159D">
        <w:rPr>
          <w:rFonts w:ascii="Bookman Old Style" w:hAnsi="Bookman Old Style"/>
        </w:rPr>
        <w:t xml:space="preserve">0% del valor del </w:t>
      </w:r>
      <w:r>
        <w:rPr>
          <w:rFonts w:ascii="Bookman Old Style" w:hAnsi="Bookman Old Style"/>
        </w:rPr>
        <w:t>mismo</w:t>
      </w:r>
      <w:r w:rsidRPr="0039159D">
        <w:rPr>
          <w:rFonts w:ascii="Bookman Old Style" w:hAnsi="Bookman Old Style"/>
        </w:rPr>
        <w:t xml:space="preserve">, sería </w:t>
      </w:r>
      <w:r>
        <w:rPr>
          <w:rFonts w:ascii="Bookman Old Style" w:hAnsi="Bookman Old Style"/>
        </w:rPr>
        <w:t>desproporcionado aplicar la totalidad de esta, cuando está probado de los informes de interventoría que el incumplimiento es del 21.15%, y además está tasado en tales informes por la en suma de $225.676.17.56 sobre el valor de la cláusula penal, como se aprecia:</w:t>
      </w:r>
    </w:p>
    <w:p w:rsidR="00A74EAD" w:rsidRDefault="00A74EAD" w:rsidP="00A74EAD">
      <w:pPr>
        <w:jc w:val="both"/>
        <w:rPr>
          <w:rFonts w:ascii="Bookman Old Style" w:hAnsi="Bookman Old Style"/>
        </w:rPr>
      </w:pPr>
    </w:p>
    <w:p w:rsidR="00A74EAD" w:rsidRPr="00BE2094" w:rsidRDefault="00A74EAD" w:rsidP="00A74EAD">
      <w:pPr>
        <w:jc w:val="both"/>
        <w:rPr>
          <w:rFonts w:ascii="Bookman Old Style" w:hAnsi="Bookman Old Style"/>
          <w:b/>
          <w:u w:val="single"/>
        </w:rPr>
      </w:pPr>
      <w:r w:rsidRPr="00BE2094">
        <w:rPr>
          <w:rFonts w:ascii="Bookman Old Style" w:hAnsi="Bookman Old Style"/>
          <w:b/>
          <w:u w:val="single"/>
        </w:rPr>
        <w:t>.- Informe de Interventoría Por Posible Incumplimiento de Diciembre de 2023:</w:t>
      </w:r>
    </w:p>
    <w:p w:rsidR="00A74EAD" w:rsidRDefault="00A74EAD" w:rsidP="00A74EAD">
      <w:pPr>
        <w:jc w:val="both"/>
        <w:rPr>
          <w:rFonts w:ascii="Bookman Old Style" w:hAnsi="Bookman Old Style"/>
        </w:rPr>
      </w:pPr>
    </w:p>
    <w:p w:rsidR="00A74EAD" w:rsidRDefault="00A74EAD" w:rsidP="00A74EAD">
      <w:pPr>
        <w:jc w:val="center"/>
        <w:rPr>
          <w:rFonts w:ascii="Bookman Old Style" w:hAnsi="Bookman Old Style"/>
        </w:rPr>
      </w:pPr>
      <w:r>
        <w:rPr>
          <w:noProof/>
          <w:lang w:val="es-CO" w:eastAsia="es-CO"/>
        </w:rPr>
        <w:drawing>
          <wp:inline distT="0" distB="0" distL="0" distR="0" wp14:anchorId="4EC46C48" wp14:editId="607AEC95">
            <wp:extent cx="4972049" cy="30099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14218" t="46920" r="56590" b="30805"/>
                    <a:stretch/>
                  </pic:blipFill>
                  <pic:spPr bwMode="auto">
                    <a:xfrm>
                      <a:off x="0" y="0"/>
                      <a:ext cx="5001782" cy="3027899"/>
                    </a:xfrm>
                    <a:prstGeom prst="rect">
                      <a:avLst/>
                    </a:prstGeom>
                    <a:ln>
                      <a:noFill/>
                    </a:ln>
                    <a:extLst>
                      <a:ext uri="{53640926-AAD7-44D8-BBD7-CCE9431645EC}">
                        <a14:shadowObscured xmlns:a14="http://schemas.microsoft.com/office/drawing/2010/main"/>
                      </a:ext>
                    </a:extLst>
                  </pic:spPr>
                </pic:pic>
              </a:graphicData>
            </a:graphic>
          </wp:inline>
        </w:drawing>
      </w:r>
    </w:p>
    <w:p w:rsidR="00A74EAD" w:rsidRDefault="00A74EAD" w:rsidP="00A74EAD">
      <w:pPr>
        <w:jc w:val="center"/>
        <w:rPr>
          <w:rFonts w:ascii="Bookman Old Style" w:hAnsi="Bookman Old Style"/>
        </w:rPr>
      </w:pPr>
      <w:r>
        <w:rPr>
          <w:noProof/>
          <w:lang w:val="es-CO" w:eastAsia="es-CO"/>
        </w:rPr>
        <w:drawing>
          <wp:inline distT="0" distB="0" distL="0" distR="0" wp14:anchorId="66D2F594" wp14:editId="46242CB8">
            <wp:extent cx="5246268" cy="32670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8530" t="32702" r="51661" b="40284"/>
                    <a:stretch/>
                  </pic:blipFill>
                  <pic:spPr bwMode="auto">
                    <a:xfrm>
                      <a:off x="0" y="0"/>
                      <a:ext cx="5256249" cy="3273290"/>
                    </a:xfrm>
                    <a:prstGeom prst="rect">
                      <a:avLst/>
                    </a:prstGeom>
                    <a:ln>
                      <a:noFill/>
                    </a:ln>
                    <a:extLst>
                      <a:ext uri="{53640926-AAD7-44D8-BBD7-CCE9431645EC}">
                        <a14:shadowObscured xmlns:a14="http://schemas.microsoft.com/office/drawing/2010/main"/>
                      </a:ext>
                    </a:extLst>
                  </pic:spPr>
                </pic:pic>
              </a:graphicData>
            </a:graphic>
          </wp:inline>
        </w:drawing>
      </w:r>
    </w:p>
    <w:p w:rsidR="00A74EAD" w:rsidRDefault="00A74EAD" w:rsidP="00A74EAD">
      <w:pPr>
        <w:jc w:val="center"/>
        <w:rPr>
          <w:rFonts w:ascii="Bookman Old Style" w:hAnsi="Bookman Old Style"/>
        </w:rPr>
      </w:pPr>
    </w:p>
    <w:p w:rsidR="00A74EAD" w:rsidRDefault="00A74EAD" w:rsidP="00A74EAD">
      <w:pPr>
        <w:jc w:val="center"/>
        <w:rPr>
          <w:rFonts w:ascii="Bookman Old Style" w:hAnsi="Bookman Old Style"/>
        </w:rPr>
      </w:pPr>
    </w:p>
    <w:p w:rsidR="00A74EAD" w:rsidRDefault="00A74EAD" w:rsidP="00A74EAD">
      <w:pPr>
        <w:jc w:val="center"/>
        <w:rPr>
          <w:rFonts w:ascii="Bookman Old Style" w:hAnsi="Bookman Old Style"/>
        </w:rPr>
      </w:pPr>
      <w:r>
        <w:rPr>
          <w:noProof/>
          <w:lang w:val="es-CO" w:eastAsia="es-CO"/>
        </w:rPr>
        <w:drawing>
          <wp:inline distT="0" distB="0" distL="0" distR="0" wp14:anchorId="74D475A4" wp14:editId="15B21CE0">
            <wp:extent cx="5543550" cy="24479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7014" t="27725" r="50145" b="47156"/>
                    <a:stretch/>
                  </pic:blipFill>
                  <pic:spPr bwMode="auto">
                    <a:xfrm>
                      <a:off x="0" y="0"/>
                      <a:ext cx="5556467" cy="2453629"/>
                    </a:xfrm>
                    <a:prstGeom prst="rect">
                      <a:avLst/>
                    </a:prstGeom>
                    <a:ln>
                      <a:noFill/>
                    </a:ln>
                    <a:extLst>
                      <a:ext uri="{53640926-AAD7-44D8-BBD7-CCE9431645EC}">
                        <a14:shadowObscured xmlns:a14="http://schemas.microsoft.com/office/drawing/2010/main"/>
                      </a:ext>
                    </a:extLst>
                  </pic:spPr>
                </pic:pic>
              </a:graphicData>
            </a:graphic>
          </wp:inline>
        </w:drawing>
      </w:r>
    </w:p>
    <w:p w:rsidR="00A74EAD" w:rsidRDefault="00A74EAD" w:rsidP="00A74EAD">
      <w:pPr>
        <w:jc w:val="center"/>
        <w:rPr>
          <w:rFonts w:ascii="Bookman Old Style" w:hAnsi="Bookman Old Style"/>
        </w:rPr>
      </w:pPr>
    </w:p>
    <w:p w:rsidR="00A74EAD" w:rsidRPr="00BE2094" w:rsidRDefault="00A74EAD" w:rsidP="00A74EAD">
      <w:pPr>
        <w:jc w:val="both"/>
        <w:rPr>
          <w:rFonts w:ascii="Bookman Old Style" w:hAnsi="Bookman Old Style"/>
          <w:b/>
          <w:u w:val="single"/>
        </w:rPr>
      </w:pPr>
      <w:r w:rsidRPr="00BE2094">
        <w:rPr>
          <w:rFonts w:ascii="Bookman Old Style" w:hAnsi="Bookman Old Style"/>
          <w:b/>
          <w:u w:val="single"/>
        </w:rPr>
        <w:t>.- Informe de Interventoría Por Posible Incumplimiento de Mayo de 2024:</w:t>
      </w:r>
    </w:p>
    <w:p w:rsidR="00A74EAD" w:rsidRDefault="00A74EAD" w:rsidP="00A74EAD">
      <w:pPr>
        <w:jc w:val="both"/>
        <w:rPr>
          <w:rFonts w:ascii="Bookman Old Style" w:hAnsi="Bookman Old Style"/>
        </w:rPr>
      </w:pPr>
    </w:p>
    <w:p w:rsidR="00A74EAD" w:rsidRDefault="00A74EAD" w:rsidP="00A74EAD">
      <w:pPr>
        <w:jc w:val="center"/>
        <w:rPr>
          <w:rFonts w:ascii="Bookman Old Style" w:hAnsi="Bookman Old Style"/>
        </w:rPr>
      </w:pPr>
      <w:r>
        <w:rPr>
          <w:noProof/>
          <w:lang w:val="es-CO" w:eastAsia="es-CO"/>
        </w:rPr>
        <w:drawing>
          <wp:inline distT="0" distB="0" distL="0" distR="0" wp14:anchorId="6D0A806F" wp14:editId="46EE11F8">
            <wp:extent cx="4914900" cy="20669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11753" t="44076" r="54884" b="32938"/>
                    <a:stretch/>
                  </pic:blipFill>
                  <pic:spPr bwMode="auto">
                    <a:xfrm>
                      <a:off x="0" y="0"/>
                      <a:ext cx="4919446" cy="2068837"/>
                    </a:xfrm>
                    <a:prstGeom prst="rect">
                      <a:avLst/>
                    </a:prstGeom>
                    <a:ln>
                      <a:noFill/>
                    </a:ln>
                    <a:extLst>
                      <a:ext uri="{53640926-AAD7-44D8-BBD7-CCE9431645EC}">
                        <a14:shadowObscured xmlns:a14="http://schemas.microsoft.com/office/drawing/2010/main"/>
                      </a:ext>
                    </a:extLst>
                  </pic:spPr>
                </pic:pic>
              </a:graphicData>
            </a:graphic>
          </wp:inline>
        </w:drawing>
      </w:r>
    </w:p>
    <w:p w:rsidR="00A74EAD" w:rsidRDefault="00A74EAD" w:rsidP="00A74EAD">
      <w:pPr>
        <w:jc w:val="center"/>
        <w:rPr>
          <w:rFonts w:ascii="Bookman Old Style" w:hAnsi="Bookman Old Style"/>
        </w:rPr>
      </w:pPr>
      <w:r>
        <w:rPr>
          <w:noProof/>
          <w:lang w:val="es-CO" w:eastAsia="es-CO"/>
        </w:rPr>
        <w:drawing>
          <wp:inline distT="0" distB="0" distL="0" distR="0" wp14:anchorId="36342372" wp14:editId="0940A9C7">
            <wp:extent cx="5240785" cy="208398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Lst>
                    </a:blip>
                    <a:srcRect l="8530" t="20142" r="51282" b="60901"/>
                    <a:stretch/>
                  </pic:blipFill>
                  <pic:spPr bwMode="auto">
                    <a:xfrm>
                      <a:off x="0" y="0"/>
                      <a:ext cx="5243719" cy="2085148"/>
                    </a:xfrm>
                    <a:prstGeom prst="rect">
                      <a:avLst/>
                    </a:prstGeom>
                    <a:ln>
                      <a:noFill/>
                    </a:ln>
                    <a:extLst>
                      <a:ext uri="{53640926-AAD7-44D8-BBD7-CCE9431645EC}">
                        <a14:shadowObscured xmlns:a14="http://schemas.microsoft.com/office/drawing/2010/main"/>
                      </a:ext>
                    </a:extLst>
                  </pic:spPr>
                </pic:pic>
              </a:graphicData>
            </a:graphic>
          </wp:inline>
        </w:drawing>
      </w:r>
    </w:p>
    <w:p w:rsidR="00A74EAD" w:rsidRDefault="00A74EAD" w:rsidP="00A74EAD">
      <w:pPr>
        <w:jc w:val="center"/>
        <w:rPr>
          <w:rFonts w:ascii="Bookman Old Style" w:hAnsi="Bookman Old Style"/>
        </w:rPr>
      </w:pPr>
    </w:p>
    <w:p w:rsidR="00A74EAD" w:rsidRDefault="00A74EAD" w:rsidP="00A74EAD">
      <w:pPr>
        <w:jc w:val="center"/>
        <w:rPr>
          <w:rFonts w:ascii="Bookman Old Style" w:hAnsi="Bookman Old Style"/>
        </w:rPr>
      </w:pPr>
    </w:p>
    <w:p w:rsidR="00A74EAD" w:rsidRDefault="00A74EAD" w:rsidP="00A74EAD">
      <w:pPr>
        <w:jc w:val="center"/>
        <w:rPr>
          <w:rFonts w:ascii="Bookman Old Style" w:hAnsi="Bookman Old Style"/>
        </w:rPr>
      </w:pPr>
      <w:r>
        <w:rPr>
          <w:noProof/>
          <w:lang w:val="es-CO" w:eastAsia="es-CO"/>
        </w:rPr>
        <w:drawing>
          <wp:inline distT="0" distB="0" distL="0" distR="0" wp14:anchorId="10BDF736" wp14:editId="62C183C5">
            <wp:extent cx="5285137" cy="24860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Lst>
                    </a:blip>
                    <a:srcRect l="6256" t="29858" r="49576" b="40284"/>
                    <a:stretch/>
                  </pic:blipFill>
                  <pic:spPr bwMode="auto">
                    <a:xfrm>
                      <a:off x="0" y="0"/>
                      <a:ext cx="5291978" cy="2489243"/>
                    </a:xfrm>
                    <a:prstGeom prst="rect">
                      <a:avLst/>
                    </a:prstGeom>
                    <a:ln>
                      <a:noFill/>
                    </a:ln>
                    <a:extLst>
                      <a:ext uri="{53640926-AAD7-44D8-BBD7-CCE9431645EC}">
                        <a14:shadowObscured xmlns:a14="http://schemas.microsoft.com/office/drawing/2010/main"/>
                      </a:ext>
                    </a:extLst>
                  </pic:spPr>
                </pic:pic>
              </a:graphicData>
            </a:graphic>
          </wp:inline>
        </w:drawing>
      </w:r>
    </w:p>
    <w:p w:rsidR="00A74EAD" w:rsidRDefault="00A74EAD" w:rsidP="00A74EAD">
      <w:pPr>
        <w:jc w:val="center"/>
        <w:rPr>
          <w:rFonts w:ascii="Bookman Old Style" w:hAnsi="Bookman Old Style"/>
        </w:rPr>
      </w:pPr>
    </w:p>
    <w:p w:rsidR="00A74EAD" w:rsidRDefault="00A74EAD" w:rsidP="00A74EAD">
      <w:pPr>
        <w:jc w:val="both"/>
        <w:rPr>
          <w:rFonts w:ascii="Bookman Old Style" w:hAnsi="Bookman Old Style"/>
        </w:rPr>
      </w:pPr>
    </w:p>
    <w:p w:rsidR="00A74EAD" w:rsidRPr="0039159D" w:rsidRDefault="00A74EAD" w:rsidP="00A74EAD">
      <w:pPr>
        <w:jc w:val="both"/>
        <w:rPr>
          <w:rFonts w:ascii="Bookman Old Style" w:hAnsi="Bookman Old Style"/>
        </w:rPr>
      </w:pPr>
      <w:r w:rsidRPr="0039159D">
        <w:rPr>
          <w:rFonts w:ascii="Bookman Old Style" w:hAnsi="Bookman Old Style"/>
        </w:rPr>
        <w:t>Teniendo en cuenta lo antes expuesto, el Código Civil estableció una fórmula que permite graduar la misma en función del porcentaje de ejecución del contrato. Lo anterior, con el objeto  de evitar que se produzca un enriquecimiento sin causa a favor de la parte que hace efectiva la mencionada estipulación. No obstante, frente a las dos disposiciones citadas, las cuales son propias de la jurisdicción ordinaria civil, la Sección Tercera del Consejo de Estado</w:t>
      </w:r>
      <w:r>
        <w:rPr>
          <w:rFonts w:ascii="Bookman Old Style" w:hAnsi="Bookman Old Style"/>
          <w:vertAlign w:val="superscript"/>
        </w:rPr>
        <w:t>,</w:t>
      </w:r>
      <w:r w:rsidRPr="0039159D">
        <w:rPr>
          <w:rFonts w:ascii="Bookman Old Style" w:hAnsi="Bookman Old Style"/>
          <w:vertAlign w:val="superscript"/>
        </w:rPr>
        <w:t xml:space="preserve"> </w:t>
      </w:r>
      <w:r w:rsidRPr="0039159D">
        <w:rPr>
          <w:rFonts w:ascii="Bookman Old Style" w:hAnsi="Bookman Old Style"/>
        </w:rPr>
        <w:t>Sección Tercera. Sentencia de 13 de noviembre de 2008. Rad. 17009. C.P. Dr. Enrique Gil Botero</w:t>
      </w:r>
      <w:r>
        <w:rPr>
          <w:rFonts w:ascii="Bookman Old Style" w:hAnsi="Bookman Old Style"/>
        </w:rPr>
        <w:t xml:space="preserve">, </w:t>
      </w:r>
      <w:r w:rsidRPr="0039159D">
        <w:rPr>
          <w:rFonts w:ascii="Bookman Old Style" w:hAnsi="Bookman Old Style"/>
        </w:rPr>
        <w:t>ha sostenido:</w:t>
      </w:r>
    </w:p>
    <w:p w:rsidR="00A74EAD" w:rsidRDefault="00A74EAD" w:rsidP="00A74EAD">
      <w:pPr>
        <w:jc w:val="both"/>
        <w:rPr>
          <w:rFonts w:ascii="Bookman Old Style" w:hAnsi="Bookman Old Style"/>
        </w:rPr>
      </w:pPr>
    </w:p>
    <w:p w:rsidR="00A74EAD" w:rsidRPr="00C96FF2" w:rsidRDefault="00A74EAD" w:rsidP="00A74EAD">
      <w:pPr>
        <w:ind w:left="708" w:right="474"/>
        <w:jc w:val="both"/>
        <w:rPr>
          <w:rFonts w:ascii="Bookman Old Style" w:hAnsi="Bookman Old Style"/>
          <w:b/>
          <w:i/>
          <w:iCs/>
        </w:rPr>
      </w:pPr>
      <w:r w:rsidRPr="00C96FF2">
        <w:rPr>
          <w:rFonts w:ascii="Bookman Old Style" w:hAnsi="Bookman Old Style"/>
          <w:b/>
          <w:i/>
          <w:iCs/>
        </w:rPr>
        <w:t>Dice el art. 1539 que ‘si el deudor cumple solamente una parte de la obligación principal y el acreedor acepta esa parte, tendrá derecho para que se rebaje proporcionalmente la pena estipulada por la falta de cumplimiento de la obligación principal’</w:t>
      </w:r>
    </w:p>
    <w:p w:rsidR="00A74EAD" w:rsidRPr="00C96FF2" w:rsidRDefault="00A74EAD" w:rsidP="00A74EAD">
      <w:pPr>
        <w:jc w:val="both"/>
        <w:rPr>
          <w:rFonts w:ascii="Bookman Old Style" w:hAnsi="Bookman Old Style"/>
          <w:b/>
          <w:i/>
          <w:iCs/>
        </w:rPr>
      </w:pPr>
    </w:p>
    <w:p w:rsidR="00A74EAD" w:rsidRPr="00C96FF2" w:rsidRDefault="00A74EAD" w:rsidP="00A74EAD">
      <w:pPr>
        <w:ind w:left="708" w:right="474"/>
        <w:jc w:val="both"/>
        <w:rPr>
          <w:rFonts w:ascii="Bookman Old Style" w:hAnsi="Bookman Old Style"/>
          <w:b/>
          <w:i/>
          <w:iCs/>
        </w:rPr>
      </w:pPr>
      <w:r w:rsidRPr="00C96FF2">
        <w:rPr>
          <w:rFonts w:ascii="Bookman Old Style" w:hAnsi="Bookman Old Style"/>
          <w:b/>
          <w:i/>
          <w:iCs/>
        </w:rPr>
        <w:t>“Esta disposición tiene su fundamento en la equidad. El deudor no puede pagar al acreedor, contra la voluntad de éste, una parte de su deuda, aunque ésta sea divisible; y por consiguiente, los efectos de pago parcial no pueden libertarlo de parte alguna de la pena estipulada en caso de inejecución. Pero, si el acreedor acepta recibir la parte que el deudor le ofrece, el deudor tendrá el derecho que la ley le reconoce para que, si el acreedor le exige la pena, se rebaje esta proporcionalmente a la parte que el deudor ha pagado de la obligación primitiva</w:t>
      </w:r>
    </w:p>
    <w:p w:rsidR="00A74EAD" w:rsidRPr="00C96FF2" w:rsidRDefault="00A74EAD" w:rsidP="00A74EAD">
      <w:pPr>
        <w:jc w:val="both"/>
        <w:rPr>
          <w:rFonts w:ascii="Bookman Old Style" w:hAnsi="Bookman Old Style"/>
          <w:b/>
          <w:i/>
          <w:iCs/>
        </w:rPr>
      </w:pPr>
    </w:p>
    <w:p w:rsidR="00A74EAD" w:rsidRPr="00C96FF2" w:rsidRDefault="00A74EAD" w:rsidP="00A74EAD">
      <w:pPr>
        <w:ind w:left="708" w:right="474"/>
        <w:jc w:val="both"/>
        <w:rPr>
          <w:rFonts w:ascii="Bookman Old Style" w:hAnsi="Bookman Old Style"/>
          <w:b/>
          <w:i/>
          <w:iCs/>
        </w:rPr>
      </w:pPr>
      <w:r w:rsidRPr="00C96FF2">
        <w:rPr>
          <w:rFonts w:ascii="Bookman Old Style" w:hAnsi="Bookman Old Style"/>
          <w:b/>
          <w:i/>
          <w:iCs/>
        </w:rPr>
        <w:t xml:space="preserve">“Nuestro Código da en este caso al deudor el derecho para que se rebaje proporcionalmente la pena estipulada; de modo que no depende del arbitrio del juez o no esta rebaja, ni hacer una rebaja arbitraria y antojadiza, sino que tiene que hacerla guardando proporción entre la parte de la obligación principal que ha sido cumplida y la parte aún no ejecutada; de modo que si el deudor ha ejecutado la mitad o más o menos la mitad de la obligación principal deberá rebajar la mitad de la pena; si la tercera parte de la obligación principal, la tercera parte de la pena. </w:t>
      </w:r>
      <w:r w:rsidRPr="00C96FF2">
        <w:rPr>
          <w:rFonts w:ascii="Bookman Old Style" w:hAnsi="Bookman Old Style"/>
          <w:i/>
          <w:iCs/>
        </w:rPr>
        <w:t>(…)</w:t>
      </w:r>
    </w:p>
    <w:p w:rsidR="00A74EAD" w:rsidRPr="0039159D" w:rsidRDefault="00A74EAD" w:rsidP="00A74EAD">
      <w:pPr>
        <w:jc w:val="both"/>
        <w:rPr>
          <w:rFonts w:ascii="Bookman Old Style" w:hAnsi="Bookman Old Style"/>
          <w:i/>
        </w:rPr>
      </w:pPr>
    </w:p>
    <w:p w:rsidR="00A74EAD" w:rsidRPr="0039159D" w:rsidRDefault="00A74EAD" w:rsidP="00A74EAD">
      <w:pPr>
        <w:jc w:val="both"/>
        <w:rPr>
          <w:rFonts w:ascii="Bookman Old Style" w:hAnsi="Bookman Old Style"/>
        </w:rPr>
      </w:pPr>
      <w:r w:rsidRPr="0039159D">
        <w:rPr>
          <w:rFonts w:ascii="Bookman Old Style" w:hAnsi="Bookman Old Style"/>
        </w:rPr>
        <w:t>Como se evidencia, con fundamento en las normas previamente citadas, el Consejo de Estado ha reconocido la necesidad de proporcionar y disminuir la sanción penal en concordancia al porcentaje de obra ejecutada o el incumplimiento de las obligaciones, a</w:t>
      </w:r>
      <w:r>
        <w:rPr>
          <w:rFonts w:ascii="Bookman Old Style" w:hAnsi="Bookman Old Style"/>
        </w:rPr>
        <w:t xml:space="preserve"> luces del principio de equidad, por lo cual, en el caso concreto y de acuerdo a los informes por posible incumplimiento elaborados por la interventoría, la cláusula penal por incumplimiento no podría ser superior a la suma de $225.676.679.51 M/Cte.</w:t>
      </w:r>
      <w:r w:rsidR="00973181">
        <w:rPr>
          <w:rFonts w:ascii="Bookman Old Style" w:hAnsi="Bookman Old Style"/>
        </w:rPr>
        <w:t>, lo cual debe ir de la mano del principio de congruencia estipulado en el artículo 281 del CGP.</w:t>
      </w:r>
      <w:r w:rsidR="00737FE6">
        <w:rPr>
          <w:rFonts w:ascii="Bookman Old Style" w:hAnsi="Bookman Old Style"/>
        </w:rPr>
        <w:t>, máxime cuando se tiene probado que producto del acta parcial de avance No. 11, la administración debe al contratista inclusive un valor mayor a la proporción de la sanción por la cláusula penal, de ahí, que aplicando la reducción de la indemnización, sea que se establezca que al contratista se le adeudan $400.000.000, o que se le adeudan $520.000.000, lo cierto es que esta suma es superior a la proporción de la pena de $225.676.679.51, lo que impide la afectación del amparo de cumplimiento de la póliza No. 730-47-994000008105.</w:t>
      </w:r>
    </w:p>
    <w:p w:rsidR="00A74EAD" w:rsidRDefault="00A74EAD" w:rsidP="00A74EAD">
      <w:pPr>
        <w:jc w:val="both"/>
        <w:rPr>
          <w:rFonts w:ascii="Bookman Old Style" w:hAnsi="Bookman Old Style"/>
        </w:rPr>
      </w:pPr>
    </w:p>
    <w:p w:rsidR="00A74EAD" w:rsidRPr="003604ED" w:rsidRDefault="00A74EAD" w:rsidP="00A74EAD">
      <w:pPr>
        <w:jc w:val="both"/>
        <w:rPr>
          <w:rFonts w:ascii="Bookman Old Style" w:hAnsi="Bookman Old Style"/>
          <w:b/>
        </w:rPr>
      </w:pPr>
      <w:r w:rsidRPr="003604ED">
        <w:rPr>
          <w:rFonts w:ascii="Bookman Old Style" w:hAnsi="Bookman Old Style"/>
          <w:b/>
        </w:rPr>
        <w:t xml:space="preserve">7.- </w:t>
      </w:r>
      <w:r w:rsidRPr="003604ED">
        <w:rPr>
          <w:rFonts w:ascii="Bookman Old Style" w:hAnsi="Bookman Old Style"/>
          <w:b/>
          <w:u w:val="single"/>
        </w:rPr>
        <w:t>Inexistencia de Obligación Indemnizatoria a Cargo de Mi Prohijada por La No Configuración Del Riesgo Asegurado – Situaciones No imputables Al Contratista.</w:t>
      </w:r>
    </w:p>
    <w:p w:rsidR="00A74EAD" w:rsidRPr="0057619D" w:rsidRDefault="00A74EAD" w:rsidP="00A74EAD">
      <w:pPr>
        <w:jc w:val="both"/>
        <w:rPr>
          <w:rFonts w:ascii="Bookman Old Style" w:hAnsi="Bookman Old Style"/>
        </w:rPr>
      </w:pPr>
      <w:r w:rsidRPr="0057619D">
        <w:rPr>
          <w:rFonts w:ascii="Bookman Old Style" w:hAnsi="Bookman Old Style"/>
        </w:rPr>
        <w:t xml:space="preserve"> </w:t>
      </w:r>
    </w:p>
    <w:p w:rsidR="00A74EAD" w:rsidRDefault="00A74EAD" w:rsidP="00A74EAD">
      <w:pPr>
        <w:jc w:val="both"/>
        <w:rPr>
          <w:rFonts w:ascii="Bookman Old Style" w:hAnsi="Bookman Old Style"/>
          <w:lang w:val="es-MX"/>
        </w:rPr>
      </w:pPr>
      <w:r w:rsidRPr="0057619D">
        <w:rPr>
          <w:rFonts w:ascii="Bookman Old Style" w:hAnsi="Bookman Old Style"/>
        </w:rPr>
        <w:t>Son situaciones NO imputables al contratista: No atención del restablecimiento del equilibrio</w:t>
      </w:r>
      <w:r>
        <w:rPr>
          <w:rFonts w:ascii="Bookman Old Style" w:hAnsi="Bookman Old Style"/>
        </w:rPr>
        <w:t xml:space="preserve"> </w:t>
      </w:r>
      <w:r w:rsidRPr="0057619D">
        <w:rPr>
          <w:rFonts w:ascii="Bookman Old Style" w:hAnsi="Bookman Old Style"/>
        </w:rPr>
        <w:t>económico</w:t>
      </w:r>
      <w:r>
        <w:rPr>
          <w:rFonts w:ascii="Bookman Old Style" w:hAnsi="Bookman Old Style"/>
        </w:rPr>
        <w:t xml:space="preserve"> y por el hecho de un tercero que impidió ejecutar el sistema hidráulico</w:t>
      </w:r>
      <w:r w:rsidRPr="0057619D">
        <w:rPr>
          <w:rFonts w:ascii="Bookman Old Style" w:hAnsi="Bookman Old Style"/>
        </w:rPr>
        <w:t>.</w:t>
      </w:r>
    </w:p>
    <w:p w:rsidR="00A74EAD" w:rsidRDefault="00A74EAD" w:rsidP="00A74EAD">
      <w:pPr>
        <w:jc w:val="both"/>
        <w:rPr>
          <w:rFonts w:ascii="Bookman Old Style" w:hAnsi="Bookman Old Style"/>
          <w:lang w:val="es-MX"/>
        </w:rPr>
      </w:pPr>
    </w:p>
    <w:p w:rsidR="00A74EAD" w:rsidRDefault="00A74EAD" w:rsidP="00A74EAD">
      <w:pPr>
        <w:jc w:val="both"/>
        <w:rPr>
          <w:rFonts w:ascii="Bookman Old Style" w:hAnsi="Bookman Old Style"/>
          <w:lang w:val="es-MX"/>
        </w:rPr>
      </w:pPr>
      <w:r w:rsidRPr="003604ED">
        <w:rPr>
          <w:rFonts w:ascii="Bookman Old Style" w:hAnsi="Bookman Old Style"/>
          <w:b/>
          <w:lang w:val="es-MX"/>
        </w:rPr>
        <w:t xml:space="preserve">8.- </w:t>
      </w:r>
      <w:r w:rsidRPr="003604ED">
        <w:rPr>
          <w:rFonts w:ascii="Bookman Old Style" w:hAnsi="Bookman Old Style"/>
          <w:b/>
          <w:u w:val="single"/>
          <w:lang w:val="es-MX"/>
        </w:rPr>
        <w:t>Exclusiones del Contrato de Seguro:</w:t>
      </w:r>
      <w:r>
        <w:rPr>
          <w:rFonts w:ascii="Bookman Old Style" w:hAnsi="Bookman Old Style"/>
          <w:lang w:val="es-MX"/>
        </w:rPr>
        <w:t xml:space="preserve"> Es importante señalar que según el numeral 2.1, de la cláusula segunda del condicionado general de la póliza de cumplimiento, excluye expresamente los riesgos derivados por causa extraña, esto es, la fuerza mayor o caso fortuito, el hecho de un tercero o la culpa exclusiva de la víctima. Lo anterior, está acreditado conforme a las excepciones ya relacionadas, lo que impide la afectación del </w:t>
      </w:r>
      <w:r>
        <w:rPr>
          <w:rFonts w:ascii="Bookman Old Style" w:hAnsi="Bookman Old Style"/>
          <w:lang w:val="es-MX"/>
        </w:rPr>
        <w:lastRenderedPageBreak/>
        <w:t>contrato de seguro</w:t>
      </w:r>
      <w:r w:rsidR="00B22296">
        <w:rPr>
          <w:rFonts w:ascii="Bookman Old Style" w:hAnsi="Bookman Old Style"/>
          <w:lang w:val="es-MX"/>
        </w:rPr>
        <w:t>, tomando en consideración que existió fuerza mayor toda vez que los diseños hidráulicos no pudieron ejecutarse por impedimento de la comunidad, siendo que de igual modo, existió el hecho de un tercero, en este caso, la ESSA, quien no aprobó los diseños eléctricos y finalmente la culpa de la propia administración quien no adecuó los diseños, todos estos son riesgos excluido de la póliza de cumplimiento que impiden afectarla</w:t>
      </w:r>
      <w:r>
        <w:rPr>
          <w:rFonts w:ascii="Bookman Old Style" w:hAnsi="Bookman Old Style"/>
          <w:lang w:val="es-MX"/>
        </w:rPr>
        <w:t>.</w:t>
      </w:r>
    </w:p>
    <w:p w:rsidR="00132BFE" w:rsidRDefault="00132BFE" w:rsidP="00A74EAD">
      <w:pPr>
        <w:jc w:val="both"/>
        <w:rPr>
          <w:rFonts w:ascii="Bookman Old Style" w:hAnsi="Bookman Old Style"/>
          <w:lang w:val="es-MX"/>
        </w:rPr>
      </w:pPr>
    </w:p>
    <w:p w:rsidR="00132BFE" w:rsidRPr="00132BFE" w:rsidRDefault="00132BFE" w:rsidP="00A74EAD">
      <w:pPr>
        <w:jc w:val="both"/>
        <w:rPr>
          <w:rFonts w:ascii="Bookman Old Style" w:hAnsi="Bookman Old Style"/>
          <w:lang w:val="es-MX"/>
        </w:rPr>
      </w:pPr>
      <w:r>
        <w:rPr>
          <w:rFonts w:ascii="Bookman Old Style" w:hAnsi="Bookman Old Style"/>
          <w:b/>
          <w:lang w:val="es-MX"/>
        </w:rPr>
        <w:t xml:space="preserve">9.- </w:t>
      </w:r>
      <w:r>
        <w:rPr>
          <w:rFonts w:ascii="Bookman Old Style" w:hAnsi="Bookman Old Style"/>
          <w:b/>
          <w:u w:val="single"/>
          <w:lang w:val="es-MX"/>
        </w:rPr>
        <w:t xml:space="preserve">Falta de Cobertura Material y Temporal de la Póliza RCE No. 730-47-994000001667: </w:t>
      </w:r>
      <w:r>
        <w:rPr>
          <w:rFonts w:ascii="Bookman Old Style" w:hAnsi="Bookman Old Style"/>
          <w:lang w:val="es-MX"/>
        </w:rPr>
        <w:t>Basta mencionar que esta garantía no puede ser sujeto de afectación habida cuenta que no contempla el amparo de cumplimiento que es el que cubre la cláusula penal del contrato No. 00053 de 2019, es decir, no tiene cobertura material, y adicionalmente, tomando en consideración que el hecho de incumplimiento contractual se materializó el día 30 de diciembre de 2023 con la terminación del plazo del contrato sin que este se hubiese ejecutado en un 100%, lo cierto es que este carece de cobertura temporal, ya que la vigencia del seguro inició el 18 de junio de 2019 y terminó el 22 de octubre de 2023, es decir, el hecho investigado se dio por fuera de la temporalidad contratada, razón que hace imposible la afectación del seguro.</w:t>
      </w:r>
    </w:p>
    <w:p w:rsidR="00A74EAD" w:rsidRDefault="00A74EAD" w:rsidP="00A74EAD">
      <w:pPr>
        <w:jc w:val="both"/>
        <w:rPr>
          <w:rFonts w:ascii="Bookman Old Style" w:hAnsi="Bookman Old Style"/>
          <w:lang w:val="es-MX"/>
        </w:rPr>
      </w:pPr>
    </w:p>
    <w:p w:rsidR="00A74EAD" w:rsidRDefault="00A74EAD" w:rsidP="00A74EAD">
      <w:pPr>
        <w:jc w:val="center"/>
        <w:rPr>
          <w:rFonts w:ascii="Bookman Old Style" w:hAnsi="Bookman Old Style"/>
          <w:b/>
          <w:u w:val="single"/>
          <w:lang w:val="es-MX"/>
        </w:rPr>
      </w:pPr>
      <w:r>
        <w:rPr>
          <w:rFonts w:ascii="Bookman Old Style" w:hAnsi="Bookman Old Style"/>
          <w:b/>
          <w:lang w:val="es-MX"/>
        </w:rPr>
        <w:t xml:space="preserve">.- </w:t>
      </w:r>
      <w:r>
        <w:rPr>
          <w:rFonts w:ascii="Bookman Old Style" w:hAnsi="Bookman Old Style"/>
          <w:b/>
          <w:u w:val="single"/>
          <w:lang w:val="es-MX"/>
        </w:rPr>
        <w:t>PETICIONES:</w:t>
      </w:r>
    </w:p>
    <w:p w:rsidR="00A74EAD" w:rsidRDefault="00A74EAD" w:rsidP="00A74EAD">
      <w:pPr>
        <w:jc w:val="both"/>
        <w:rPr>
          <w:rFonts w:ascii="Bookman Old Style" w:hAnsi="Bookman Old Style"/>
          <w:b/>
          <w:u w:val="single"/>
          <w:lang w:val="es-MX"/>
        </w:rPr>
      </w:pPr>
    </w:p>
    <w:p w:rsidR="00A74EAD" w:rsidRPr="00374FFB" w:rsidRDefault="00A74EAD" w:rsidP="00A74EAD">
      <w:pPr>
        <w:jc w:val="both"/>
        <w:rPr>
          <w:rFonts w:ascii="Bookman Old Style" w:hAnsi="Bookman Old Style"/>
          <w:lang w:val="es-CO"/>
        </w:rPr>
      </w:pPr>
      <w:r w:rsidRPr="00374FFB">
        <w:rPr>
          <w:rFonts w:ascii="Bookman Old Style" w:hAnsi="Bookman Old Style"/>
          <w:lang w:val="es-CO"/>
        </w:rPr>
        <w:t xml:space="preserve">De acuerdo con lo expuesto, respetuosamente se solicita </w:t>
      </w:r>
      <w:r>
        <w:rPr>
          <w:rFonts w:ascii="Bookman Old Style" w:hAnsi="Bookman Old Style"/>
          <w:b/>
          <w:bCs/>
        </w:rPr>
        <w:t>AL MUNICIPIO DE LOS SANTOS - SANTANDER</w:t>
      </w:r>
      <w:r w:rsidRPr="00374FFB">
        <w:rPr>
          <w:rFonts w:ascii="Bookman Old Style" w:hAnsi="Bookman Old Style"/>
          <w:b/>
          <w:bCs/>
          <w:lang w:val="es-CO"/>
        </w:rPr>
        <w:t>:</w:t>
      </w:r>
    </w:p>
    <w:p w:rsidR="00A74EAD" w:rsidRPr="00374FFB" w:rsidRDefault="00A74EAD" w:rsidP="00A74EAD">
      <w:pPr>
        <w:jc w:val="both"/>
        <w:rPr>
          <w:rFonts w:ascii="Bookman Old Style" w:hAnsi="Bookman Old Style"/>
          <w:lang w:val="es-CO"/>
        </w:rPr>
      </w:pPr>
    </w:p>
    <w:p w:rsidR="00A74EAD" w:rsidRPr="00374FFB" w:rsidRDefault="00A74EAD" w:rsidP="00A74EAD">
      <w:pPr>
        <w:jc w:val="both"/>
        <w:rPr>
          <w:rFonts w:ascii="Bookman Old Style" w:hAnsi="Bookman Old Style"/>
          <w:lang w:val="es-CO"/>
        </w:rPr>
      </w:pPr>
      <w:r w:rsidRPr="00374FFB">
        <w:rPr>
          <w:rFonts w:ascii="Bookman Old Style" w:hAnsi="Bookman Old Style"/>
          <w:b/>
          <w:bCs/>
          <w:lang w:val="es-CO"/>
        </w:rPr>
        <w:t>PRIMERO:</w:t>
      </w:r>
      <w:r w:rsidRPr="00374FFB">
        <w:rPr>
          <w:rFonts w:ascii="Bookman Old Style" w:hAnsi="Bookman Old Style"/>
          <w:lang w:val="es-CO"/>
        </w:rPr>
        <w:t xml:space="preserve"> </w:t>
      </w:r>
      <w:r>
        <w:rPr>
          <w:rFonts w:ascii="Bookman Old Style" w:hAnsi="Bookman Old Style"/>
        </w:rPr>
        <w:t>DECRETAR l</w:t>
      </w:r>
      <w:r w:rsidRPr="00374FFB">
        <w:rPr>
          <w:rFonts w:ascii="Bookman Old Style" w:hAnsi="Bookman Old Style"/>
          <w:lang w:val="es-CO"/>
        </w:rPr>
        <w:t xml:space="preserve">a terminación del presente trámite por no hallarse probada la imputación de incumplimiento, como quiera que </w:t>
      </w:r>
      <w:r>
        <w:rPr>
          <w:rFonts w:ascii="Bookman Old Style" w:hAnsi="Bookman Old Style"/>
        </w:rPr>
        <w:t>los medios de excepción desvirtuaron la misma</w:t>
      </w:r>
      <w:r w:rsidRPr="00374FFB">
        <w:rPr>
          <w:rFonts w:ascii="Bookman Old Style" w:hAnsi="Bookman Old Style"/>
          <w:lang w:val="es-CO"/>
        </w:rPr>
        <w:t xml:space="preserve">. </w:t>
      </w:r>
    </w:p>
    <w:p w:rsidR="00A74EAD" w:rsidRPr="00374FFB" w:rsidRDefault="00A74EAD" w:rsidP="00A74EAD">
      <w:pPr>
        <w:jc w:val="both"/>
        <w:rPr>
          <w:rFonts w:ascii="Bookman Old Style" w:hAnsi="Bookman Old Style"/>
          <w:lang w:val="es-CO"/>
        </w:rPr>
      </w:pPr>
    </w:p>
    <w:p w:rsidR="00A74EAD" w:rsidRDefault="00A74EAD" w:rsidP="00A74EAD">
      <w:pPr>
        <w:jc w:val="both"/>
        <w:rPr>
          <w:rFonts w:ascii="Bookman Old Style" w:hAnsi="Bookman Old Style"/>
          <w:lang w:val="es-CO"/>
        </w:rPr>
      </w:pPr>
      <w:r w:rsidRPr="00374FFB">
        <w:rPr>
          <w:rFonts w:ascii="Bookman Old Style" w:hAnsi="Bookman Old Style"/>
          <w:b/>
          <w:bCs/>
          <w:lang w:val="es-CO"/>
        </w:rPr>
        <w:t>SEGUNDO:</w:t>
      </w:r>
      <w:r w:rsidRPr="00374FFB">
        <w:rPr>
          <w:rFonts w:ascii="Bookman Old Style" w:hAnsi="Bookman Old Style"/>
          <w:lang w:val="es-CO"/>
        </w:rPr>
        <w:t xml:space="preserve"> </w:t>
      </w:r>
      <w:r>
        <w:rPr>
          <w:rFonts w:ascii="Bookman Old Style" w:hAnsi="Bookman Old Style"/>
        </w:rPr>
        <w:t>En</w:t>
      </w:r>
      <w:r w:rsidRPr="00374FFB">
        <w:rPr>
          <w:rFonts w:ascii="Bookman Old Style" w:hAnsi="Bookman Old Style"/>
          <w:lang w:val="es-CO"/>
        </w:rPr>
        <w:t xml:space="preserve"> caso de que la entidad estatal considere que sí hubo un incumplimiento por parte del contratista</w:t>
      </w:r>
      <w:r>
        <w:rPr>
          <w:rFonts w:ascii="Bookman Old Style" w:hAnsi="Bookman Old Style"/>
        </w:rPr>
        <w:t xml:space="preserve"> y que está probada la imputación</w:t>
      </w:r>
      <w:r w:rsidRPr="00374FFB">
        <w:rPr>
          <w:rFonts w:ascii="Bookman Old Style" w:hAnsi="Bookman Old Style"/>
          <w:lang w:val="es-CO"/>
        </w:rPr>
        <w:t>, comedidamente solicito que mi procurada sea desvinculada y exonerada de condena alguna, de acuerdo a las condiciones generales y particulares el contrato de seguros</w:t>
      </w:r>
      <w:r>
        <w:rPr>
          <w:rFonts w:ascii="Bookman Old Style" w:hAnsi="Bookman Old Style"/>
        </w:rPr>
        <w:t xml:space="preserve"> explicadas en los medios de excepción</w:t>
      </w:r>
      <w:r w:rsidRPr="00374FFB">
        <w:rPr>
          <w:rFonts w:ascii="Bookman Old Style" w:hAnsi="Bookman Old Style"/>
          <w:lang w:val="es-CO"/>
        </w:rPr>
        <w:t xml:space="preserve">. </w:t>
      </w:r>
    </w:p>
    <w:p w:rsidR="007147D9" w:rsidRDefault="007147D9" w:rsidP="00A74EAD">
      <w:pPr>
        <w:jc w:val="both"/>
        <w:rPr>
          <w:rFonts w:ascii="Bookman Old Style" w:hAnsi="Bookman Old Style"/>
          <w:lang w:val="es-CO"/>
        </w:rPr>
      </w:pPr>
    </w:p>
    <w:p w:rsidR="007147D9" w:rsidRDefault="007147D9" w:rsidP="00A74EAD">
      <w:pPr>
        <w:jc w:val="both"/>
        <w:rPr>
          <w:rFonts w:ascii="Bookman Old Style" w:hAnsi="Bookman Old Style"/>
          <w:lang w:val="es-CO"/>
        </w:rPr>
      </w:pPr>
      <w:r>
        <w:rPr>
          <w:rFonts w:ascii="Bookman Old Style" w:hAnsi="Bookman Old Style"/>
          <w:lang w:val="es-CO"/>
        </w:rPr>
        <w:t>Sin motivo distinto, me suscribo con el decoro merecido.</w:t>
      </w:r>
    </w:p>
    <w:p w:rsidR="007147D9" w:rsidRDefault="007147D9" w:rsidP="00A74EAD">
      <w:pPr>
        <w:jc w:val="both"/>
        <w:rPr>
          <w:rFonts w:ascii="Bookman Old Style" w:hAnsi="Bookman Old Style"/>
          <w:lang w:val="es-CO"/>
        </w:rPr>
      </w:pPr>
      <w:r w:rsidRPr="006B66AC">
        <w:rPr>
          <w:rFonts w:ascii="Bookman Old Style" w:hAnsi="Bookman Old Style"/>
          <w:noProof/>
          <w:lang w:val="es-CO" w:eastAsia="es-CO"/>
        </w:rPr>
        <w:drawing>
          <wp:anchor distT="0" distB="0" distL="114300" distR="114300" simplePos="0" relativeHeight="251659264" behindDoc="1" locked="0" layoutInCell="1" allowOverlap="1" wp14:anchorId="1A435F02" wp14:editId="25A0A0BA">
            <wp:simplePos x="0" y="0"/>
            <wp:positionH relativeFrom="margin">
              <wp:posOffset>214630</wp:posOffset>
            </wp:positionH>
            <wp:positionV relativeFrom="paragraph">
              <wp:posOffset>29210</wp:posOffset>
            </wp:positionV>
            <wp:extent cx="2208530" cy="1409700"/>
            <wp:effectExtent l="0" t="0" r="1270" b="0"/>
            <wp:wrapNone/>
            <wp:docPr id="9" name="Imagen 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 Cart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853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7D9" w:rsidRDefault="007147D9" w:rsidP="00A74EAD">
      <w:pPr>
        <w:jc w:val="both"/>
        <w:rPr>
          <w:rFonts w:ascii="Bookman Old Style" w:hAnsi="Bookman Old Style"/>
          <w:lang w:val="es-CO"/>
        </w:rPr>
      </w:pPr>
      <w:r>
        <w:rPr>
          <w:rFonts w:ascii="Bookman Old Style" w:hAnsi="Bookman Old Style"/>
          <w:lang w:val="es-CO"/>
        </w:rPr>
        <w:t>Atentamente:</w:t>
      </w:r>
    </w:p>
    <w:p w:rsidR="007147D9" w:rsidRDefault="007147D9" w:rsidP="00A74EAD">
      <w:pPr>
        <w:jc w:val="both"/>
        <w:rPr>
          <w:rFonts w:ascii="Bookman Old Style" w:hAnsi="Bookman Old Style"/>
          <w:lang w:val="es-CO"/>
        </w:rPr>
      </w:pPr>
    </w:p>
    <w:p w:rsidR="007147D9" w:rsidRDefault="007147D9" w:rsidP="00A74EAD">
      <w:pPr>
        <w:jc w:val="both"/>
        <w:rPr>
          <w:rFonts w:ascii="Bookman Old Style" w:hAnsi="Bookman Old Style"/>
          <w:lang w:val="es-CO"/>
        </w:rPr>
      </w:pPr>
    </w:p>
    <w:p w:rsidR="007147D9" w:rsidRDefault="007147D9" w:rsidP="00A74EAD">
      <w:pPr>
        <w:jc w:val="both"/>
        <w:rPr>
          <w:rFonts w:ascii="Bookman Old Style" w:hAnsi="Bookman Old Style"/>
          <w:lang w:val="es-CO"/>
        </w:rPr>
      </w:pPr>
    </w:p>
    <w:p w:rsidR="007147D9" w:rsidRPr="007147D9" w:rsidRDefault="007147D9" w:rsidP="007147D9">
      <w:pPr>
        <w:jc w:val="both"/>
        <w:rPr>
          <w:rFonts w:ascii="Bookman Old Style" w:hAnsi="Bookman Old Style"/>
          <w:b/>
          <w:bCs/>
          <w:lang w:val="es-ES_tradnl"/>
        </w:rPr>
      </w:pPr>
      <w:r w:rsidRPr="007147D9">
        <w:rPr>
          <w:rFonts w:ascii="Bookman Old Style" w:hAnsi="Bookman Old Style"/>
          <w:b/>
          <w:bCs/>
          <w:lang w:val="es-ES_tradnl"/>
        </w:rPr>
        <w:t>GUSTAVO ALBERTO HERRERA ÁVILA</w:t>
      </w:r>
    </w:p>
    <w:p w:rsidR="007147D9" w:rsidRPr="007147D9" w:rsidRDefault="007147D9" w:rsidP="007147D9">
      <w:pPr>
        <w:jc w:val="both"/>
        <w:rPr>
          <w:rFonts w:ascii="Bookman Old Style" w:hAnsi="Bookman Old Style"/>
          <w:lang w:val="es-ES_tradnl"/>
        </w:rPr>
      </w:pPr>
      <w:r w:rsidRPr="007147D9">
        <w:rPr>
          <w:rFonts w:ascii="Bookman Old Style" w:hAnsi="Bookman Old Style"/>
          <w:lang w:val="es-ES_tradnl"/>
        </w:rPr>
        <w:t>C.C. No. 19.395.114 de Bogotá D. C.</w:t>
      </w:r>
    </w:p>
    <w:p w:rsidR="007147D9" w:rsidRPr="007147D9" w:rsidRDefault="007147D9" w:rsidP="007147D9">
      <w:pPr>
        <w:jc w:val="both"/>
        <w:rPr>
          <w:rFonts w:ascii="Bookman Old Style" w:hAnsi="Bookman Old Style"/>
          <w:lang w:val="es-ES_tradnl"/>
        </w:rPr>
      </w:pPr>
      <w:r w:rsidRPr="007147D9">
        <w:rPr>
          <w:rFonts w:ascii="Bookman Old Style" w:hAnsi="Bookman Old Style"/>
          <w:lang w:val="es-ES_tradnl"/>
        </w:rPr>
        <w:t>T.P. No. 39.116 del C. S. J</w:t>
      </w:r>
    </w:p>
    <w:p w:rsidR="007147D9" w:rsidRPr="007147D9" w:rsidRDefault="007147D9" w:rsidP="007147D9">
      <w:pPr>
        <w:jc w:val="both"/>
        <w:rPr>
          <w:rFonts w:ascii="Bookman Old Style" w:hAnsi="Bookman Old Style"/>
          <w:iCs/>
          <w:u w:val="single"/>
        </w:rPr>
      </w:pPr>
      <w:r w:rsidRPr="007147D9">
        <w:rPr>
          <w:rFonts w:ascii="Bookman Old Style" w:hAnsi="Bookman Old Style"/>
          <w:iCs/>
        </w:rPr>
        <w:t xml:space="preserve">Correo: </w:t>
      </w:r>
      <w:hyperlink r:id="rId23" w:history="1">
        <w:r w:rsidRPr="007147D9">
          <w:rPr>
            <w:rStyle w:val="Hipervnculo"/>
            <w:rFonts w:ascii="Bookman Old Style" w:hAnsi="Bookman Old Style"/>
            <w:iCs/>
          </w:rPr>
          <w:t>notificaciones@gha.com.co</w:t>
        </w:r>
      </w:hyperlink>
    </w:p>
    <w:p w:rsidR="007147D9" w:rsidRPr="00374FFB" w:rsidRDefault="007147D9" w:rsidP="00A74EAD">
      <w:pPr>
        <w:jc w:val="both"/>
        <w:rPr>
          <w:rFonts w:ascii="Bookman Old Style" w:hAnsi="Bookman Old Style"/>
          <w:lang w:val="es-CO"/>
        </w:rPr>
      </w:pPr>
    </w:p>
    <w:p w:rsidR="00A74EAD" w:rsidRDefault="00A74EAD" w:rsidP="00A74EAD">
      <w:pPr>
        <w:jc w:val="both"/>
        <w:rPr>
          <w:rFonts w:ascii="Bookman Old Style" w:hAnsi="Bookman Old Style"/>
          <w:lang w:val="es-MX"/>
        </w:rPr>
      </w:pPr>
    </w:p>
    <w:p w:rsidR="00A74EAD" w:rsidRDefault="00A74EAD" w:rsidP="00A74EAD">
      <w:pPr>
        <w:jc w:val="both"/>
        <w:rPr>
          <w:rFonts w:ascii="Bookman Old Style" w:hAnsi="Bookman Old Style"/>
        </w:rPr>
      </w:pPr>
    </w:p>
    <w:p w:rsidR="00A74EAD" w:rsidRPr="00D3567E" w:rsidRDefault="00A74EAD" w:rsidP="00A74EAD">
      <w:pPr>
        <w:jc w:val="both"/>
        <w:rPr>
          <w:rFonts w:ascii="Bookman Old Style" w:hAnsi="Bookman Old Style"/>
        </w:rPr>
      </w:pPr>
    </w:p>
    <w:p w:rsidR="00A74EAD" w:rsidRDefault="00A74EAD" w:rsidP="00A74EAD">
      <w:pPr>
        <w:jc w:val="both"/>
        <w:rPr>
          <w:rFonts w:ascii="Bookman Old Style" w:hAnsi="Bookman Old Style"/>
          <w:lang w:val="es-MX"/>
        </w:rPr>
      </w:pPr>
    </w:p>
    <w:p w:rsidR="00A74EAD" w:rsidRPr="00B005BF" w:rsidRDefault="00A74EAD" w:rsidP="00A74EAD">
      <w:pPr>
        <w:jc w:val="both"/>
        <w:rPr>
          <w:rFonts w:ascii="Bookman Old Style" w:hAnsi="Bookman Old Style"/>
          <w:lang w:val="es-MX"/>
        </w:rPr>
      </w:pPr>
    </w:p>
    <w:p w:rsidR="006B66AC" w:rsidRPr="006B66AC" w:rsidRDefault="006B66AC" w:rsidP="00A74EAD">
      <w:pPr>
        <w:tabs>
          <w:tab w:val="left" w:pos="0"/>
        </w:tabs>
        <w:jc w:val="both"/>
        <w:rPr>
          <w:rFonts w:ascii="Bookman Old Style" w:hAnsi="Bookman Old Style" w:cs="Arial"/>
          <w:iCs/>
        </w:rPr>
      </w:pPr>
    </w:p>
    <w:sectPr w:rsidR="006B66AC" w:rsidRPr="006B66AC" w:rsidSect="00DC3831">
      <w:headerReference w:type="default" r:id="rId24"/>
      <w:footerReference w:type="default" r:id="rId25"/>
      <w:pgSz w:w="12240" w:h="20160" w:code="5"/>
      <w:pgMar w:top="1737" w:right="1304" w:bottom="2410" w:left="1304" w:header="709" w:footer="624"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E31" w:rsidRDefault="00622E31" w:rsidP="0025591F">
      <w:r>
        <w:separator/>
      </w:r>
    </w:p>
  </w:endnote>
  <w:endnote w:type="continuationSeparator" w:id="0">
    <w:p w:rsidR="00622E31" w:rsidRDefault="00622E31"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Raleway">
    <w:altName w:val="Times New Roman"/>
    <w:charset w:val="00"/>
    <w:family w:val="auto"/>
    <w:pitch w:val="variable"/>
    <w:sig w:usb0="00000001"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E57" w:rsidRDefault="00741E57"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4CCBF3E6" wp14:editId="47588DE7">
          <wp:simplePos x="0" y="0"/>
          <wp:positionH relativeFrom="column">
            <wp:posOffset>4491990</wp:posOffset>
          </wp:positionH>
          <wp:positionV relativeFrom="margin">
            <wp:posOffset>10036810</wp:posOffset>
          </wp:positionV>
          <wp:extent cx="1466850" cy="905510"/>
          <wp:effectExtent l="0" t="0" r="0" b="889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2B48BE78" wp14:editId="20BFDC7C">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41E57" w:rsidRPr="004A356B" w:rsidRDefault="00741E57"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rsidR="00741E57" w:rsidRPr="004A356B" w:rsidRDefault="00741E57"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" filled="f" stroked="f" strokeweight="1pt">
              <v:textbox>
                <w:txbxContent>
                  <w:p w:rsidR="00741E57" w:rsidRPr="004A356B" w:rsidRDefault="00741E57"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rsidR="00741E57" w:rsidRPr="004A356B" w:rsidRDefault="00741E57"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B7A412F" wp14:editId="1C23947F">
          <wp:simplePos x="0" y="0"/>
          <wp:positionH relativeFrom="page">
            <wp:align>left</wp:align>
          </wp:positionH>
          <wp:positionV relativeFrom="page">
            <wp:align>bottom</wp:align>
          </wp:positionV>
          <wp:extent cx="7767778" cy="1868509"/>
          <wp:effectExtent l="0" t="0" r="508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E57" w:rsidRDefault="00741E57" w:rsidP="00416F84">
    <w:pPr>
      <w:ind w:left="7080" w:firstLine="708"/>
      <w:rPr>
        <w:color w:val="222A35" w:themeColor="text2" w:themeShade="80"/>
      </w:rPr>
    </w:pPr>
  </w:p>
  <w:p w:rsidR="00741E57" w:rsidRDefault="00741E57"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1C049FAF" wp14:editId="786EC45A">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41E57" w:rsidRPr="004A356B" w:rsidRDefault="00741E57"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DGD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" filled="f" stroked="f" strokeweight="1pt">
              <v:textbox>
                <w:txbxContent>
                  <w:p w:rsidR="00741E57" w:rsidRPr="004A356B" w:rsidRDefault="00741E57"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DGD</w:t>
                    </w:r>
                  </w:p>
                </w:txbxContent>
              </v:textbox>
              <w10:wrap anchorx="page" anchory="margin"/>
            </v:rect>
          </w:pict>
        </mc:Fallback>
      </mc:AlternateContent>
    </w:r>
  </w:p>
  <w:p w:rsidR="00741E57" w:rsidRDefault="00741E57" w:rsidP="004A356B">
    <w:pPr>
      <w:rPr>
        <w:color w:val="222A35" w:themeColor="text2" w:themeShade="80"/>
      </w:rPr>
    </w:pPr>
  </w:p>
  <w:p w:rsidR="00741E57" w:rsidRPr="00194DAC" w:rsidRDefault="00741E57"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484419">
      <w:rPr>
        <w:rFonts w:ascii="Raleway" w:hAnsi="Raleway"/>
        <w:b/>
        <w:bCs/>
        <w:noProof/>
        <w:color w:val="222A35" w:themeColor="text2" w:themeShade="80"/>
        <w:sz w:val="16"/>
        <w:szCs w:val="16"/>
      </w:rPr>
      <w:t>1</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484419">
      <w:rPr>
        <w:rFonts w:ascii="Raleway" w:hAnsi="Raleway"/>
        <w:b/>
        <w:bCs/>
        <w:noProof/>
        <w:color w:val="222A35" w:themeColor="text2" w:themeShade="80"/>
        <w:sz w:val="16"/>
        <w:szCs w:val="16"/>
      </w:rPr>
      <w:t>8</w:t>
    </w:r>
    <w:r w:rsidRPr="00194DAC">
      <w:rPr>
        <w:rFonts w:ascii="Raleway" w:hAnsi="Raleway"/>
        <w:b/>
        <w:bCs/>
        <w:color w:val="222A35" w:themeColor="text2" w:themeShade="80"/>
        <w:sz w:val="16"/>
        <w:szCs w:val="16"/>
      </w:rPr>
      <w:fldChar w:fldCharType="end"/>
    </w:r>
  </w:p>
  <w:p w:rsidR="00741E57" w:rsidRDefault="00741E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E31" w:rsidRDefault="00622E31" w:rsidP="0025591F">
      <w:r>
        <w:separator/>
      </w:r>
    </w:p>
  </w:footnote>
  <w:footnote w:type="continuationSeparator" w:id="0">
    <w:p w:rsidR="00622E31" w:rsidRDefault="00622E31" w:rsidP="002559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E57" w:rsidRDefault="00741E57">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17420315" wp14:editId="5A7CE7A3">
          <wp:simplePos x="0" y="0"/>
          <wp:positionH relativeFrom="column">
            <wp:posOffset>-161289</wp:posOffset>
          </wp:positionH>
          <wp:positionV relativeFrom="page">
            <wp:posOffset>457200</wp:posOffset>
          </wp:positionV>
          <wp:extent cx="2209800" cy="668265"/>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7141" cy="6674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A8F4A4"/>
    <w:multiLevelType w:val="hybridMultilevel"/>
    <w:tmpl w:val="35D0AC9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F66E8F"/>
    <w:multiLevelType w:val="hybridMultilevel"/>
    <w:tmpl w:val="BB4CC522"/>
    <w:lvl w:ilvl="0" w:tplc="ADC61CC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2494FBD"/>
    <w:multiLevelType w:val="multilevel"/>
    <w:tmpl w:val="ADEA57F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3AC0F35"/>
    <w:multiLevelType w:val="hybridMultilevel"/>
    <w:tmpl w:val="A23AF3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FEA442B"/>
    <w:multiLevelType w:val="hybridMultilevel"/>
    <w:tmpl w:val="ABC42296"/>
    <w:lvl w:ilvl="0" w:tplc="1BB69E84">
      <w:start w:val="1"/>
      <w:numFmt w:val="lowerLetter"/>
      <w:lvlText w:val="%1)"/>
      <w:lvlJc w:val="left"/>
      <w:pPr>
        <w:ind w:left="1068" w:hanging="360"/>
      </w:pPr>
      <w:rPr>
        <w:rFonts w:hint="default"/>
        <w:i w:val="0"/>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2A32537"/>
    <w:multiLevelType w:val="hybridMultilevel"/>
    <w:tmpl w:val="C408DA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79D0757"/>
    <w:multiLevelType w:val="hybridMultilevel"/>
    <w:tmpl w:val="80B66F32"/>
    <w:lvl w:ilvl="0" w:tplc="240A0001">
      <w:start w:val="1"/>
      <w:numFmt w:val="bullet"/>
      <w:lvlText w:val=""/>
      <w:lvlJc w:val="left"/>
      <w:pPr>
        <w:ind w:left="1305" w:hanging="360"/>
      </w:pPr>
      <w:rPr>
        <w:rFonts w:ascii="Symbol" w:hAnsi="Symbol" w:hint="default"/>
      </w:rPr>
    </w:lvl>
    <w:lvl w:ilvl="1" w:tplc="240A0003" w:tentative="1">
      <w:start w:val="1"/>
      <w:numFmt w:val="bullet"/>
      <w:lvlText w:val="o"/>
      <w:lvlJc w:val="left"/>
      <w:pPr>
        <w:ind w:left="2025" w:hanging="360"/>
      </w:pPr>
      <w:rPr>
        <w:rFonts w:ascii="Courier New" w:hAnsi="Courier New" w:cs="Courier New" w:hint="default"/>
      </w:rPr>
    </w:lvl>
    <w:lvl w:ilvl="2" w:tplc="240A0005" w:tentative="1">
      <w:start w:val="1"/>
      <w:numFmt w:val="bullet"/>
      <w:lvlText w:val=""/>
      <w:lvlJc w:val="left"/>
      <w:pPr>
        <w:ind w:left="2745" w:hanging="360"/>
      </w:pPr>
      <w:rPr>
        <w:rFonts w:ascii="Wingdings" w:hAnsi="Wingdings" w:hint="default"/>
      </w:rPr>
    </w:lvl>
    <w:lvl w:ilvl="3" w:tplc="240A0001" w:tentative="1">
      <w:start w:val="1"/>
      <w:numFmt w:val="bullet"/>
      <w:lvlText w:val=""/>
      <w:lvlJc w:val="left"/>
      <w:pPr>
        <w:ind w:left="3465" w:hanging="360"/>
      </w:pPr>
      <w:rPr>
        <w:rFonts w:ascii="Symbol" w:hAnsi="Symbol" w:hint="default"/>
      </w:rPr>
    </w:lvl>
    <w:lvl w:ilvl="4" w:tplc="240A0003" w:tentative="1">
      <w:start w:val="1"/>
      <w:numFmt w:val="bullet"/>
      <w:lvlText w:val="o"/>
      <w:lvlJc w:val="left"/>
      <w:pPr>
        <w:ind w:left="4185" w:hanging="360"/>
      </w:pPr>
      <w:rPr>
        <w:rFonts w:ascii="Courier New" w:hAnsi="Courier New" w:cs="Courier New" w:hint="default"/>
      </w:rPr>
    </w:lvl>
    <w:lvl w:ilvl="5" w:tplc="240A0005" w:tentative="1">
      <w:start w:val="1"/>
      <w:numFmt w:val="bullet"/>
      <w:lvlText w:val=""/>
      <w:lvlJc w:val="left"/>
      <w:pPr>
        <w:ind w:left="4905" w:hanging="360"/>
      </w:pPr>
      <w:rPr>
        <w:rFonts w:ascii="Wingdings" w:hAnsi="Wingdings" w:hint="default"/>
      </w:rPr>
    </w:lvl>
    <w:lvl w:ilvl="6" w:tplc="240A0001" w:tentative="1">
      <w:start w:val="1"/>
      <w:numFmt w:val="bullet"/>
      <w:lvlText w:val=""/>
      <w:lvlJc w:val="left"/>
      <w:pPr>
        <w:ind w:left="5625" w:hanging="360"/>
      </w:pPr>
      <w:rPr>
        <w:rFonts w:ascii="Symbol" w:hAnsi="Symbol" w:hint="default"/>
      </w:rPr>
    </w:lvl>
    <w:lvl w:ilvl="7" w:tplc="240A0003" w:tentative="1">
      <w:start w:val="1"/>
      <w:numFmt w:val="bullet"/>
      <w:lvlText w:val="o"/>
      <w:lvlJc w:val="left"/>
      <w:pPr>
        <w:ind w:left="6345" w:hanging="360"/>
      </w:pPr>
      <w:rPr>
        <w:rFonts w:ascii="Courier New" w:hAnsi="Courier New" w:cs="Courier New" w:hint="default"/>
      </w:rPr>
    </w:lvl>
    <w:lvl w:ilvl="8" w:tplc="240A0005" w:tentative="1">
      <w:start w:val="1"/>
      <w:numFmt w:val="bullet"/>
      <w:lvlText w:val=""/>
      <w:lvlJc w:val="left"/>
      <w:pPr>
        <w:ind w:left="7065" w:hanging="360"/>
      </w:pPr>
      <w:rPr>
        <w:rFonts w:ascii="Wingdings" w:hAnsi="Wingdings" w:hint="default"/>
      </w:rPr>
    </w:lvl>
  </w:abstractNum>
  <w:abstractNum w:abstractNumId="8">
    <w:nsid w:val="17D57FA2"/>
    <w:multiLevelType w:val="hybridMultilevel"/>
    <w:tmpl w:val="82B866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B747000"/>
    <w:multiLevelType w:val="hybridMultilevel"/>
    <w:tmpl w:val="253277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1B8F01C3"/>
    <w:multiLevelType w:val="hybridMultilevel"/>
    <w:tmpl w:val="B5144E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C7A2E5B"/>
    <w:multiLevelType w:val="hybridMultilevel"/>
    <w:tmpl w:val="3A066120"/>
    <w:lvl w:ilvl="0" w:tplc="BABAFDCC">
      <w:start w:val="1"/>
      <w:numFmt w:val="lowerLetter"/>
      <w:lvlText w:val="%1)"/>
      <w:lvlJc w:val="left"/>
      <w:pPr>
        <w:ind w:left="1068" w:hanging="360"/>
      </w:pPr>
      <w:rPr>
        <w:rFonts w:hint="default"/>
        <w:u w:val="single"/>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2">
    <w:nsid w:val="1F262CC6"/>
    <w:multiLevelType w:val="hybridMultilevel"/>
    <w:tmpl w:val="3ABA81C6"/>
    <w:lvl w:ilvl="0" w:tplc="8DAC700E">
      <w:start w:val="1"/>
      <w:numFmt w:val="lowerLetter"/>
      <w:lvlText w:val="%1)"/>
      <w:lvlJc w:val="left"/>
      <w:pPr>
        <w:ind w:left="1068" w:hanging="360"/>
      </w:pPr>
      <w:rPr>
        <w:rFonts w:hint="default"/>
        <w:sz w:val="21"/>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3">
    <w:nsid w:val="1FE545CE"/>
    <w:multiLevelType w:val="hybridMultilevel"/>
    <w:tmpl w:val="458A53B0"/>
    <w:lvl w:ilvl="0" w:tplc="29227A68">
      <w:start w:val="2"/>
      <w:numFmt w:val="bullet"/>
      <w:lvlText w:val="-"/>
      <w:lvlJc w:val="left"/>
      <w:pPr>
        <w:ind w:left="1068" w:hanging="360"/>
      </w:pPr>
      <w:rPr>
        <w:rFonts w:ascii="Arial" w:eastAsia="Calibri" w:hAnsi="Arial" w:cs="Arial" w:hint="default"/>
        <w:i/>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4">
    <w:nsid w:val="210205E8"/>
    <w:multiLevelType w:val="hybridMultilevel"/>
    <w:tmpl w:val="E34C8FA6"/>
    <w:lvl w:ilvl="0" w:tplc="C58AC28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45D2B72"/>
    <w:multiLevelType w:val="hybridMultilevel"/>
    <w:tmpl w:val="CBECB22E"/>
    <w:lvl w:ilvl="0" w:tplc="CE7E2BE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C4B6E2C"/>
    <w:multiLevelType w:val="hybridMultilevel"/>
    <w:tmpl w:val="01687322"/>
    <w:lvl w:ilvl="0" w:tplc="18B8C062">
      <w:start w:val="1"/>
      <w:numFmt w:val="lowerLetter"/>
      <w:lvlText w:val="%1)"/>
      <w:lvlJc w:val="left"/>
      <w:pPr>
        <w:ind w:left="1068" w:hanging="360"/>
      </w:pPr>
      <w:rPr>
        <w:rFonts w:hint="default"/>
        <w:u w:val="single"/>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7">
    <w:nsid w:val="34962C04"/>
    <w:multiLevelType w:val="hybridMultilevel"/>
    <w:tmpl w:val="3DB4AB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6621D52"/>
    <w:multiLevelType w:val="hybridMultilevel"/>
    <w:tmpl w:val="E7B6C01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nsid w:val="37C8439E"/>
    <w:multiLevelType w:val="hybridMultilevel"/>
    <w:tmpl w:val="7C4A928A"/>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0">
    <w:nsid w:val="39B640ED"/>
    <w:multiLevelType w:val="hybridMultilevel"/>
    <w:tmpl w:val="8BEC59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1D5498B"/>
    <w:multiLevelType w:val="hybridMultilevel"/>
    <w:tmpl w:val="E34C8FA6"/>
    <w:lvl w:ilvl="0" w:tplc="C58AC28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454A70E1"/>
    <w:multiLevelType w:val="multilevel"/>
    <w:tmpl w:val="821AA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A938FC"/>
    <w:multiLevelType w:val="hybridMultilevel"/>
    <w:tmpl w:val="49D61E1A"/>
    <w:lvl w:ilvl="0" w:tplc="FFBEB85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80F3238"/>
    <w:multiLevelType w:val="hybridMultilevel"/>
    <w:tmpl w:val="A23AF3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49A50BF1"/>
    <w:multiLevelType w:val="hybridMultilevel"/>
    <w:tmpl w:val="67C673EC"/>
    <w:lvl w:ilvl="0" w:tplc="7EAC1E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4F1C3E37"/>
    <w:multiLevelType w:val="hybridMultilevel"/>
    <w:tmpl w:val="6C64A5C2"/>
    <w:lvl w:ilvl="0" w:tplc="3052095C">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04D5FD5"/>
    <w:multiLevelType w:val="hybridMultilevel"/>
    <w:tmpl w:val="E34C8FA6"/>
    <w:lvl w:ilvl="0" w:tplc="C58AC284">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24A21E5"/>
    <w:multiLevelType w:val="hybridMultilevel"/>
    <w:tmpl w:val="294A7CD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53F94E25"/>
    <w:multiLevelType w:val="hybridMultilevel"/>
    <w:tmpl w:val="30905AD6"/>
    <w:lvl w:ilvl="0" w:tplc="AC280D7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59166356"/>
    <w:multiLevelType w:val="hybridMultilevel"/>
    <w:tmpl w:val="839099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A70392A"/>
    <w:multiLevelType w:val="hybridMultilevel"/>
    <w:tmpl w:val="A1EAF5C8"/>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2">
    <w:nsid w:val="633821DA"/>
    <w:multiLevelType w:val="hybridMultilevel"/>
    <w:tmpl w:val="00C0465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6D53468"/>
    <w:multiLevelType w:val="hybridMultilevel"/>
    <w:tmpl w:val="28B8756C"/>
    <w:lvl w:ilvl="0" w:tplc="058C29D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7E20551"/>
    <w:multiLevelType w:val="hybridMultilevel"/>
    <w:tmpl w:val="BAAE3C0E"/>
    <w:lvl w:ilvl="0" w:tplc="D53C05E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
    <w:nsid w:val="6914729A"/>
    <w:multiLevelType w:val="hybridMultilevel"/>
    <w:tmpl w:val="A9B29A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A2439B5"/>
    <w:multiLevelType w:val="hybridMultilevel"/>
    <w:tmpl w:val="4F5CE46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A3D7D7E"/>
    <w:multiLevelType w:val="hybridMultilevel"/>
    <w:tmpl w:val="3D0C49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6EE515FB"/>
    <w:multiLevelType w:val="hybridMultilevel"/>
    <w:tmpl w:val="5B5438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6F5A23D6"/>
    <w:multiLevelType w:val="hybridMultilevel"/>
    <w:tmpl w:val="1CFAF066"/>
    <w:lvl w:ilvl="0" w:tplc="DCD469D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7E3E7383"/>
    <w:multiLevelType w:val="hybridMultilevel"/>
    <w:tmpl w:val="5B30C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9"/>
  </w:num>
  <w:num w:numId="4">
    <w:abstractNumId w:val="31"/>
  </w:num>
  <w:num w:numId="5">
    <w:abstractNumId w:val="37"/>
  </w:num>
  <w:num w:numId="6">
    <w:abstractNumId w:val="18"/>
  </w:num>
  <w:num w:numId="7">
    <w:abstractNumId w:val="34"/>
  </w:num>
  <w:num w:numId="8">
    <w:abstractNumId w:val="26"/>
  </w:num>
  <w:num w:numId="9">
    <w:abstractNumId w:val="19"/>
  </w:num>
  <w:num w:numId="10">
    <w:abstractNumId w:val="22"/>
  </w:num>
  <w:num w:numId="11">
    <w:abstractNumId w:val="7"/>
  </w:num>
  <w:num w:numId="12">
    <w:abstractNumId w:val="29"/>
  </w:num>
  <w:num w:numId="13">
    <w:abstractNumId w:val="13"/>
  </w:num>
  <w:num w:numId="14">
    <w:abstractNumId w:val="20"/>
  </w:num>
  <w:num w:numId="15">
    <w:abstractNumId w:val="4"/>
  </w:num>
  <w:num w:numId="16">
    <w:abstractNumId w:val="16"/>
  </w:num>
  <w:num w:numId="17">
    <w:abstractNumId w:val="11"/>
  </w:num>
  <w:num w:numId="18">
    <w:abstractNumId w:val="25"/>
  </w:num>
  <w:num w:numId="19">
    <w:abstractNumId w:val="39"/>
  </w:num>
  <w:num w:numId="20">
    <w:abstractNumId w:val="1"/>
  </w:num>
  <w:num w:numId="21">
    <w:abstractNumId w:val="14"/>
  </w:num>
  <w:num w:numId="22">
    <w:abstractNumId w:val="27"/>
  </w:num>
  <w:num w:numId="23">
    <w:abstractNumId w:val="21"/>
  </w:num>
  <w:num w:numId="24">
    <w:abstractNumId w:val="2"/>
  </w:num>
  <w:num w:numId="25">
    <w:abstractNumId w:val="36"/>
  </w:num>
  <w:num w:numId="26">
    <w:abstractNumId w:val="0"/>
  </w:num>
  <w:num w:numId="27">
    <w:abstractNumId w:val="12"/>
  </w:num>
  <w:num w:numId="28">
    <w:abstractNumId w:val="28"/>
  </w:num>
  <w:num w:numId="29">
    <w:abstractNumId w:val="30"/>
  </w:num>
  <w:num w:numId="30">
    <w:abstractNumId w:val="10"/>
  </w:num>
  <w:num w:numId="31">
    <w:abstractNumId w:val="32"/>
  </w:num>
  <w:num w:numId="32">
    <w:abstractNumId w:val="35"/>
  </w:num>
  <w:num w:numId="33">
    <w:abstractNumId w:val="38"/>
  </w:num>
  <w:num w:numId="34">
    <w:abstractNumId w:val="24"/>
  </w:num>
  <w:num w:numId="35">
    <w:abstractNumId w:val="3"/>
  </w:num>
  <w:num w:numId="36">
    <w:abstractNumId w:val="15"/>
  </w:num>
  <w:num w:numId="37">
    <w:abstractNumId w:val="40"/>
  </w:num>
  <w:num w:numId="38">
    <w:abstractNumId w:val="33"/>
  </w:num>
  <w:num w:numId="39">
    <w:abstractNumId w:val="8"/>
  </w:num>
  <w:num w:numId="40">
    <w:abstractNumId w:val="23"/>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54C"/>
    <w:rsid w:val="000014A5"/>
    <w:rsid w:val="00002F13"/>
    <w:rsid w:val="00002F64"/>
    <w:rsid w:val="000057F7"/>
    <w:rsid w:val="00005DEF"/>
    <w:rsid w:val="000116B7"/>
    <w:rsid w:val="00016F4E"/>
    <w:rsid w:val="00027392"/>
    <w:rsid w:val="00030096"/>
    <w:rsid w:val="0003111F"/>
    <w:rsid w:val="00043944"/>
    <w:rsid w:val="00060ADD"/>
    <w:rsid w:val="00063160"/>
    <w:rsid w:val="00077013"/>
    <w:rsid w:val="00086296"/>
    <w:rsid w:val="000A2FC7"/>
    <w:rsid w:val="000B43A4"/>
    <w:rsid w:val="000C0214"/>
    <w:rsid w:val="000C2815"/>
    <w:rsid w:val="000E19EA"/>
    <w:rsid w:val="000E7A1B"/>
    <w:rsid w:val="000F038B"/>
    <w:rsid w:val="00114039"/>
    <w:rsid w:val="001179CC"/>
    <w:rsid w:val="00132BFE"/>
    <w:rsid w:val="00135C07"/>
    <w:rsid w:val="0015206B"/>
    <w:rsid w:val="00187DBF"/>
    <w:rsid w:val="001925A0"/>
    <w:rsid w:val="00193AB3"/>
    <w:rsid w:val="00194DAC"/>
    <w:rsid w:val="001A77FD"/>
    <w:rsid w:val="001C2B2F"/>
    <w:rsid w:val="001C356E"/>
    <w:rsid w:val="001E2E18"/>
    <w:rsid w:val="001E2E29"/>
    <w:rsid w:val="001F3C75"/>
    <w:rsid w:val="002052C5"/>
    <w:rsid w:val="00211434"/>
    <w:rsid w:val="00217F42"/>
    <w:rsid w:val="00234F3F"/>
    <w:rsid w:val="00245AA0"/>
    <w:rsid w:val="00254E27"/>
    <w:rsid w:val="0025591F"/>
    <w:rsid w:val="00267DDC"/>
    <w:rsid w:val="00281D90"/>
    <w:rsid w:val="00285DE7"/>
    <w:rsid w:val="002968FC"/>
    <w:rsid w:val="002B5E76"/>
    <w:rsid w:val="002C24DA"/>
    <w:rsid w:val="003032FC"/>
    <w:rsid w:val="00304D70"/>
    <w:rsid w:val="00311959"/>
    <w:rsid w:val="00321202"/>
    <w:rsid w:val="00325FD2"/>
    <w:rsid w:val="00332A06"/>
    <w:rsid w:val="0035753D"/>
    <w:rsid w:val="0036195D"/>
    <w:rsid w:val="00372ECE"/>
    <w:rsid w:val="00375AFE"/>
    <w:rsid w:val="0037725B"/>
    <w:rsid w:val="0038054C"/>
    <w:rsid w:val="003A1FA8"/>
    <w:rsid w:val="003A3DDB"/>
    <w:rsid w:val="003B0D02"/>
    <w:rsid w:val="003C1BE1"/>
    <w:rsid w:val="003C5BCE"/>
    <w:rsid w:val="003D26F2"/>
    <w:rsid w:val="003D2CA5"/>
    <w:rsid w:val="003D7CC5"/>
    <w:rsid w:val="003F09BB"/>
    <w:rsid w:val="003F26B0"/>
    <w:rsid w:val="003F78D2"/>
    <w:rsid w:val="004011E5"/>
    <w:rsid w:val="00404B48"/>
    <w:rsid w:val="00416F84"/>
    <w:rsid w:val="004206C4"/>
    <w:rsid w:val="0042497F"/>
    <w:rsid w:val="004377C2"/>
    <w:rsid w:val="004501C3"/>
    <w:rsid w:val="00464F36"/>
    <w:rsid w:val="00470810"/>
    <w:rsid w:val="0047369C"/>
    <w:rsid w:val="004769C7"/>
    <w:rsid w:val="00484419"/>
    <w:rsid w:val="00486E7E"/>
    <w:rsid w:val="004875C8"/>
    <w:rsid w:val="0049068D"/>
    <w:rsid w:val="004A272B"/>
    <w:rsid w:val="004A356B"/>
    <w:rsid w:val="004C01CE"/>
    <w:rsid w:val="004D7CD7"/>
    <w:rsid w:val="004E45CF"/>
    <w:rsid w:val="00500BA8"/>
    <w:rsid w:val="00505604"/>
    <w:rsid w:val="00505F3C"/>
    <w:rsid w:val="0052701F"/>
    <w:rsid w:val="00543F6F"/>
    <w:rsid w:val="00544B4E"/>
    <w:rsid w:val="005636F2"/>
    <w:rsid w:val="00563A9A"/>
    <w:rsid w:val="005679D9"/>
    <w:rsid w:val="00582FD0"/>
    <w:rsid w:val="00591232"/>
    <w:rsid w:val="005A391B"/>
    <w:rsid w:val="005A3F2C"/>
    <w:rsid w:val="005B1C7A"/>
    <w:rsid w:val="005D4A73"/>
    <w:rsid w:val="005D7117"/>
    <w:rsid w:val="005E1B12"/>
    <w:rsid w:val="005E578E"/>
    <w:rsid w:val="005F32B4"/>
    <w:rsid w:val="00602EB5"/>
    <w:rsid w:val="00622E31"/>
    <w:rsid w:val="00637020"/>
    <w:rsid w:val="00652A38"/>
    <w:rsid w:val="00654705"/>
    <w:rsid w:val="00663EDF"/>
    <w:rsid w:val="00674FE6"/>
    <w:rsid w:val="0068335F"/>
    <w:rsid w:val="00692888"/>
    <w:rsid w:val="0069654C"/>
    <w:rsid w:val="006972BE"/>
    <w:rsid w:val="006A7246"/>
    <w:rsid w:val="006B0778"/>
    <w:rsid w:val="006B66AC"/>
    <w:rsid w:val="006C5246"/>
    <w:rsid w:val="006D153D"/>
    <w:rsid w:val="006E04FF"/>
    <w:rsid w:val="006F3F7B"/>
    <w:rsid w:val="007147D9"/>
    <w:rsid w:val="007313BF"/>
    <w:rsid w:val="00733383"/>
    <w:rsid w:val="00733D91"/>
    <w:rsid w:val="00735FAC"/>
    <w:rsid w:val="007374AB"/>
    <w:rsid w:val="00737FE6"/>
    <w:rsid w:val="00741E57"/>
    <w:rsid w:val="007475B0"/>
    <w:rsid w:val="0074760F"/>
    <w:rsid w:val="00766CC1"/>
    <w:rsid w:val="00771428"/>
    <w:rsid w:val="00772FA9"/>
    <w:rsid w:val="007872AC"/>
    <w:rsid w:val="00791E47"/>
    <w:rsid w:val="00793C8E"/>
    <w:rsid w:val="007A4D42"/>
    <w:rsid w:val="007B1C12"/>
    <w:rsid w:val="007B796E"/>
    <w:rsid w:val="007C0C08"/>
    <w:rsid w:val="007C1A65"/>
    <w:rsid w:val="007C3796"/>
    <w:rsid w:val="007D0830"/>
    <w:rsid w:val="007D0DA8"/>
    <w:rsid w:val="007D4088"/>
    <w:rsid w:val="007E1C92"/>
    <w:rsid w:val="007E32E4"/>
    <w:rsid w:val="007E3CFE"/>
    <w:rsid w:val="007F1986"/>
    <w:rsid w:val="007F4F94"/>
    <w:rsid w:val="007F632D"/>
    <w:rsid w:val="007F6A39"/>
    <w:rsid w:val="00801EF1"/>
    <w:rsid w:val="0081692B"/>
    <w:rsid w:val="0082217E"/>
    <w:rsid w:val="008269DA"/>
    <w:rsid w:val="00836E30"/>
    <w:rsid w:val="008624D6"/>
    <w:rsid w:val="00870F73"/>
    <w:rsid w:val="008741BF"/>
    <w:rsid w:val="008830A7"/>
    <w:rsid w:val="0089705F"/>
    <w:rsid w:val="008A3EE5"/>
    <w:rsid w:val="008B4D14"/>
    <w:rsid w:val="008C44A2"/>
    <w:rsid w:val="008E152F"/>
    <w:rsid w:val="008E4E08"/>
    <w:rsid w:val="008E65B9"/>
    <w:rsid w:val="008F0426"/>
    <w:rsid w:val="008F1394"/>
    <w:rsid w:val="008F1E2F"/>
    <w:rsid w:val="00903699"/>
    <w:rsid w:val="009144E0"/>
    <w:rsid w:val="00936C1D"/>
    <w:rsid w:val="00937CD9"/>
    <w:rsid w:val="0096397B"/>
    <w:rsid w:val="00972A60"/>
    <w:rsid w:val="00973181"/>
    <w:rsid w:val="009818B5"/>
    <w:rsid w:val="00984DAE"/>
    <w:rsid w:val="00991B02"/>
    <w:rsid w:val="00997C0E"/>
    <w:rsid w:val="009A0973"/>
    <w:rsid w:val="009A71F4"/>
    <w:rsid w:val="009B5EC0"/>
    <w:rsid w:val="009B7C31"/>
    <w:rsid w:val="009C0381"/>
    <w:rsid w:val="009C1523"/>
    <w:rsid w:val="009C1ABB"/>
    <w:rsid w:val="009D39D8"/>
    <w:rsid w:val="009D55BF"/>
    <w:rsid w:val="009E1C84"/>
    <w:rsid w:val="009E3418"/>
    <w:rsid w:val="009E4607"/>
    <w:rsid w:val="009F37BE"/>
    <w:rsid w:val="00A027A5"/>
    <w:rsid w:val="00A20750"/>
    <w:rsid w:val="00A307A6"/>
    <w:rsid w:val="00A36DCC"/>
    <w:rsid w:val="00A6449C"/>
    <w:rsid w:val="00A74EAD"/>
    <w:rsid w:val="00A762DD"/>
    <w:rsid w:val="00A877E6"/>
    <w:rsid w:val="00A90CDD"/>
    <w:rsid w:val="00AB3A2C"/>
    <w:rsid w:val="00AC3324"/>
    <w:rsid w:val="00AD03AA"/>
    <w:rsid w:val="00AD2B80"/>
    <w:rsid w:val="00AE53CC"/>
    <w:rsid w:val="00AF0742"/>
    <w:rsid w:val="00AF0A32"/>
    <w:rsid w:val="00B073CF"/>
    <w:rsid w:val="00B20189"/>
    <w:rsid w:val="00B22296"/>
    <w:rsid w:val="00B22564"/>
    <w:rsid w:val="00B2270B"/>
    <w:rsid w:val="00B42964"/>
    <w:rsid w:val="00B42AB4"/>
    <w:rsid w:val="00B54DCC"/>
    <w:rsid w:val="00B54EC9"/>
    <w:rsid w:val="00B64C50"/>
    <w:rsid w:val="00B81CC2"/>
    <w:rsid w:val="00B948E6"/>
    <w:rsid w:val="00BA33E1"/>
    <w:rsid w:val="00BA3EB7"/>
    <w:rsid w:val="00BB27B2"/>
    <w:rsid w:val="00BB4E5F"/>
    <w:rsid w:val="00BB7105"/>
    <w:rsid w:val="00BB7F0C"/>
    <w:rsid w:val="00BC47F9"/>
    <w:rsid w:val="00BC5D07"/>
    <w:rsid w:val="00BE2094"/>
    <w:rsid w:val="00BE6214"/>
    <w:rsid w:val="00BF106E"/>
    <w:rsid w:val="00BF1A90"/>
    <w:rsid w:val="00C01F1F"/>
    <w:rsid w:val="00C02C08"/>
    <w:rsid w:val="00C2038E"/>
    <w:rsid w:val="00C359F6"/>
    <w:rsid w:val="00C53500"/>
    <w:rsid w:val="00C54BEB"/>
    <w:rsid w:val="00C62D61"/>
    <w:rsid w:val="00C665B3"/>
    <w:rsid w:val="00C70FF5"/>
    <w:rsid w:val="00C8316D"/>
    <w:rsid w:val="00C851C3"/>
    <w:rsid w:val="00C916DE"/>
    <w:rsid w:val="00C95700"/>
    <w:rsid w:val="00C96594"/>
    <w:rsid w:val="00C97304"/>
    <w:rsid w:val="00CA0273"/>
    <w:rsid w:val="00CA03A4"/>
    <w:rsid w:val="00CA1E5D"/>
    <w:rsid w:val="00CD1211"/>
    <w:rsid w:val="00CE005F"/>
    <w:rsid w:val="00CE3619"/>
    <w:rsid w:val="00CF3929"/>
    <w:rsid w:val="00CF4602"/>
    <w:rsid w:val="00D003BB"/>
    <w:rsid w:val="00D016C2"/>
    <w:rsid w:val="00D02C12"/>
    <w:rsid w:val="00D07E6B"/>
    <w:rsid w:val="00D23A48"/>
    <w:rsid w:val="00D31FA7"/>
    <w:rsid w:val="00D33A42"/>
    <w:rsid w:val="00D60B89"/>
    <w:rsid w:val="00D80473"/>
    <w:rsid w:val="00D83DF5"/>
    <w:rsid w:val="00D84A03"/>
    <w:rsid w:val="00D90C44"/>
    <w:rsid w:val="00D93F55"/>
    <w:rsid w:val="00DB3EF5"/>
    <w:rsid w:val="00DB692D"/>
    <w:rsid w:val="00DC2B29"/>
    <w:rsid w:val="00DC3831"/>
    <w:rsid w:val="00DC6BA8"/>
    <w:rsid w:val="00DD028A"/>
    <w:rsid w:val="00DD29C9"/>
    <w:rsid w:val="00DE31BC"/>
    <w:rsid w:val="00DF0E05"/>
    <w:rsid w:val="00E16496"/>
    <w:rsid w:val="00E23DED"/>
    <w:rsid w:val="00E43BA7"/>
    <w:rsid w:val="00E43DF4"/>
    <w:rsid w:val="00E5201C"/>
    <w:rsid w:val="00E63CC0"/>
    <w:rsid w:val="00E64FEA"/>
    <w:rsid w:val="00E750DB"/>
    <w:rsid w:val="00E822A1"/>
    <w:rsid w:val="00E83FAA"/>
    <w:rsid w:val="00E90EAA"/>
    <w:rsid w:val="00EA1407"/>
    <w:rsid w:val="00EB06B6"/>
    <w:rsid w:val="00EB1C88"/>
    <w:rsid w:val="00EC434B"/>
    <w:rsid w:val="00EC5EA3"/>
    <w:rsid w:val="00ED1DED"/>
    <w:rsid w:val="00EE1782"/>
    <w:rsid w:val="00EE3120"/>
    <w:rsid w:val="00EE40E3"/>
    <w:rsid w:val="00EF00F5"/>
    <w:rsid w:val="00EF1633"/>
    <w:rsid w:val="00F1132D"/>
    <w:rsid w:val="00F24FC1"/>
    <w:rsid w:val="00F469D5"/>
    <w:rsid w:val="00F50462"/>
    <w:rsid w:val="00F55A26"/>
    <w:rsid w:val="00F5693B"/>
    <w:rsid w:val="00F62905"/>
    <w:rsid w:val="00F71C23"/>
    <w:rsid w:val="00F7400A"/>
    <w:rsid w:val="00F751A9"/>
    <w:rsid w:val="00F7601C"/>
    <w:rsid w:val="00F876CC"/>
    <w:rsid w:val="00F92DB2"/>
    <w:rsid w:val="00F94E5C"/>
    <w:rsid w:val="00F95354"/>
    <w:rsid w:val="00F96403"/>
    <w:rsid w:val="00FA4FFB"/>
    <w:rsid w:val="00FB0CBE"/>
    <w:rsid w:val="00FB2943"/>
    <w:rsid w:val="00FB6BF2"/>
    <w:rsid w:val="00FE10B5"/>
    <w:rsid w:val="00FE5E2E"/>
    <w:rsid w:val="00FE61A8"/>
    <w:rsid w:val="00FE74CF"/>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UnresolvedMention">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link w:val="4GChar"/>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UnresolvedMention">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link w:val="4GChar"/>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6.wdp"/><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hdphoto" Target="media/hdphoto4.wd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hyperlink" Target="mailto:notificaciones@gha.com.co" TargetMode="External"/><Relationship Id="rId10" Type="http://schemas.openxmlformats.org/officeDocument/2006/relationships/image" Target="media/image1.png"/><Relationship Id="rId19" Type="http://schemas.microsoft.com/office/2007/relationships/hdphoto" Target="media/hdphoto5.wdp"/><Relationship Id="rId4" Type="http://schemas.microsoft.com/office/2007/relationships/stylesWithEffects" Target="stylesWithEffects.xml"/><Relationship Id="rId9" Type="http://schemas.openxmlformats.org/officeDocument/2006/relationships/hyperlink" Target="mailto:secplaneacion@lossantos-santander.gov.co"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G:\Documentos%20GHA\Diligencias%20a%20Cargo\121.-%20Rad.%20PRF%2020-22%20Pronunciamiento%20Imputaci&#243;n%209%20y%2013%20Marzo%202023\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8EC09-54EF-4884-969E-3DBCBE2C5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2456</TotalTime>
  <Pages>8</Pages>
  <Words>3575</Words>
  <Characters>19667</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dc:creator>
  <cp:lastModifiedBy>David Leonardo Gómez Delgado</cp:lastModifiedBy>
  <cp:revision>234</cp:revision>
  <cp:lastPrinted>2024-08-27T00:03:00Z</cp:lastPrinted>
  <dcterms:created xsi:type="dcterms:W3CDTF">2023-03-09T04:06:00Z</dcterms:created>
  <dcterms:modified xsi:type="dcterms:W3CDTF">2024-08-27T00:03:00Z</dcterms:modified>
</cp:coreProperties>
</file>