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F7275" w14:textId="77777777" w:rsidR="00F46EC3" w:rsidRDefault="00C5003E" w:rsidP="00C5003E">
      <w:pPr>
        <w:jc w:val="center"/>
        <w:rPr>
          <w:b/>
          <w:lang w:val="es-ES"/>
        </w:rPr>
      </w:pPr>
      <w:r w:rsidRPr="00C5003E">
        <w:rPr>
          <w:b/>
          <w:lang w:val="es-ES"/>
        </w:rPr>
        <w:t>FORMATO DE PRIMER INFORME</w:t>
      </w:r>
    </w:p>
    <w:tbl>
      <w:tblPr>
        <w:tblStyle w:val="Tablaconcuadrcula"/>
        <w:tblW w:w="0" w:type="auto"/>
        <w:tblLook w:val="04A0" w:firstRow="1" w:lastRow="0" w:firstColumn="1" w:lastColumn="0" w:noHBand="0" w:noVBand="1"/>
      </w:tblPr>
      <w:tblGrid>
        <w:gridCol w:w="4129"/>
        <w:gridCol w:w="4129"/>
      </w:tblGrid>
      <w:tr w:rsidR="00C5003E" w14:paraId="1760076C" w14:textId="77777777" w:rsidTr="00C5003E">
        <w:trPr>
          <w:trHeight w:val="737"/>
        </w:trPr>
        <w:tc>
          <w:tcPr>
            <w:tcW w:w="4129" w:type="dxa"/>
          </w:tcPr>
          <w:p w14:paraId="37D6CCB8" w14:textId="77777777" w:rsidR="00C5003E" w:rsidRDefault="00C5003E">
            <w:pPr>
              <w:rPr>
                <w:b/>
                <w:lang w:val="es-ES"/>
              </w:rPr>
            </w:pPr>
            <w:r>
              <w:rPr>
                <w:b/>
                <w:lang w:val="es-ES"/>
              </w:rPr>
              <w:t>Tipo de vinculación</w:t>
            </w:r>
          </w:p>
        </w:tc>
        <w:tc>
          <w:tcPr>
            <w:tcW w:w="4129" w:type="dxa"/>
          </w:tcPr>
          <w:p w14:paraId="46787CFE" w14:textId="35FC4495" w:rsidR="00C5003E" w:rsidRPr="0073314F" w:rsidRDefault="0073314F">
            <w:pPr>
              <w:rPr>
                <w:lang w:val="es-ES"/>
              </w:rPr>
            </w:pPr>
            <w:r w:rsidRPr="0073314F">
              <w:rPr>
                <w:lang w:val="es-ES"/>
              </w:rPr>
              <w:t>Directa</w:t>
            </w:r>
          </w:p>
        </w:tc>
      </w:tr>
      <w:tr w:rsidR="00C5003E" w14:paraId="73171101" w14:textId="77777777" w:rsidTr="00C5003E">
        <w:trPr>
          <w:trHeight w:val="737"/>
        </w:trPr>
        <w:tc>
          <w:tcPr>
            <w:tcW w:w="4129" w:type="dxa"/>
          </w:tcPr>
          <w:p w14:paraId="5A098A55" w14:textId="77777777" w:rsidR="00C5003E" w:rsidRDefault="00C5003E">
            <w:pPr>
              <w:rPr>
                <w:b/>
                <w:lang w:val="es-ES"/>
              </w:rPr>
            </w:pPr>
            <w:r>
              <w:rPr>
                <w:b/>
                <w:lang w:val="es-ES"/>
              </w:rPr>
              <w:t>Fecha de admisión de la demanda</w:t>
            </w:r>
          </w:p>
        </w:tc>
        <w:tc>
          <w:tcPr>
            <w:tcW w:w="4129" w:type="dxa"/>
          </w:tcPr>
          <w:p w14:paraId="3B0CBF63" w14:textId="6417D86B" w:rsidR="00C5003E" w:rsidRPr="0073314F" w:rsidRDefault="0073314F">
            <w:pPr>
              <w:rPr>
                <w:lang w:val="es-ES"/>
              </w:rPr>
            </w:pPr>
            <w:r w:rsidRPr="0073314F">
              <w:rPr>
                <w:lang w:val="es-ES"/>
              </w:rPr>
              <w:t>28 de febrero de 2024</w:t>
            </w:r>
          </w:p>
        </w:tc>
      </w:tr>
      <w:tr w:rsidR="00C5003E" w14:paraId="74F9C47F" w14:textId="77777777" w:rsidTr="00C5003E">
        <w:trPr>
          <w:trHeight w:val="737"/>
        </w:trPr>
        <w:tc>
          <w:tcPr>
            <w:tcW w:w="4129" w:type="dxa"/>
          </w:tcPr>
          <w:p w14:paraId="56F43D9C" w14:textId="77777777" w:rsidR="00C5003E" w:rsidRDefault="00C5003E">
            <w:pPr>
              <w:rPr>
                <w:b/>
                <w:lang w:val="es-ES"/>
              </w:rPr>
            </w:pPr>
            <w:r>
              <w:rPr>
                <w:b/>
                <w:lang w:val="es-ES"/>
              </w:rPr>
              <w:t xml:space="preserve">Fecha de vencimiento contestación de la demanda </w:t>
            </w:r>
          </w:p>
        </w:tc>
        <w:tc>
          <w:tcPr>
            <w:tcW w:w="4129" w:type="dxa"/>
          </w:tcPr>
          <w:p w14:paraId="72EC7963" w14:textId="303EE5D7" w:rsidR="00C5003E" w:rsidRPr="0073314F" w:rsidRDefault="0073314F">
            <w:pPr>
              <w:rPr>
                <w:lang w:val="es-ES"/>
              </w:rPr>
            </w:pPr>
            <w:r w:rsidRPr="0073314F">
              <w:rPr>
                <w:lang w:val="es-ES"/>
              </w:rPr>
              <w:t>1</w:t>
            </w:r>
            <w:r w:rsidR="00E421BE">
              <w:rPr>
                <w:lang w:val="es-ES"/>
              </w:rPr>
              <w:t>4</w:t>
            </w:r>
            <w:r w:rsidRPr="0073314F">
              <w:rPr>
                <w:lang w:val="es-ES"/>
              </w:rPr>
              <w:t xml:space="preserve"> de junio de 2024</w:t>
            </w:r>
          </w:p>
        </w:tc>
      </w:tr>
      <w:tr w:rsidR="00C5003E" w14:paraId="75409D0B" w14:textId="77777777" w:rsidTr="00C5003E">
        <w:trPr>
          <w:trHeight w:val="696"/>
        </w:trPr>
        <w:tc>
          <w:tcPr>
            <w:tcW w:w="4129" w:type="dxa"/>
          </w:tcPr>
          <w:p w14:paraId="2CF42DF4" w14:textId="77777777" w:rsidR="00C5003E" w:rsidRDefault="00C5003E">
            <w:pPr>
              <w:rPr>
                <w:b/>
                <w:lang w:val="es-ES"/>
              </w:rPr>
            </w:pPr>
            <w:r>
              <w:rPr>
                <w:b/>
                <w:lang w:val="es-ES"/>
              </w:rPr>
              <w:t>Compañía vinculada</w:t>
            </w:r>
          </w:p>
        </w:tc>
        <w:tc>
          <w:tcPr>
            <w:tcW w:w="4129" w:type="dxa"/>
          </w:tcPr>
          <w:p w14:paraId="2E93C02F" w14:textId="2BFCFDE1" w:rsidR="00C5003E" w:rsidRPr="0073314F" w:rsidRDefault="0073314F">
            <w:pPr>
              <w:rPr>
                <w:lang w:val="es-ES"/>
              </w:rPr>
            </w:pPr>
            <w:r w:rsidRPr="0073314F">
              <w:rPr>
                <w:lang w:val="es-ES"/>
              </w:rPr>
              <w:t xml:space="preserve">HDI SEGUROS S.A. </w:t>
            </w:r>
          </w:p>
        </w:tc>
      </w:tr>
      <w:tr w:rsidR="00C5003E" w14:paraId="2BDB3EC1" w14:textId="77777777" w:rsidTr="00C5003E">
        <w:trPr>
          <w:trHeight w:val="737"/>
        </w:trPr>
        <w:tc>
          <w:tcPr>
            <w:tcW w:w="4129" w:type="dxa"/>
          </w:tcPr>
          <w:p w14:paraId="4AD5A442" w14:textId="77777777" w:rsidR="00C5003E" w:rsidRDefault="00C5003E">
            <w:pPr>
              <w:rPr>
                <w:b/>
                <w:lang w:val="es-ES"/>
              </w:rPr>
            </w:pPr>
            <w:r>
              <w:rPr>
                <w:b/>
                <w:lang w:val="es-ES"/>
              </w:rPr>
              <w:t>Radicado completo del proceso</w:t>
            </w:r>
          </w:p>
        </w:tc>
        <w:tc>
          <w:tcPr>
            <w:tcW w:w="4129" w:type="dxa"/>
          </w:tcPr>
          <w:p w14:paraId="010B5C29" w14:textId="54B546C7" w:rsidR="00C5003E" w:rsidRPr="0073314F" w:rsidRDefault="0073314F">
            <w:pPr>
              <w:rPr>
                <w:lang w:val="es-ES"/>
              </w:rPr>
            </w:pPr>
            <w:r w:rsidRPr="0073314F">
              <w:t>76001400301320230080400</w:t>
            </w:r>
          </w:p>
        </w:tc>
      </w:tr>
      <w:tr w:rsidR="00C5003E" w14:paraId="578A8665" w14:textId="77777777" w:rsidTr="00C5003E">
        <w:trPr>
          <w:trHeight w:val="696"/>
        </w:trPr>
        <w:tc>
          <w:tcPr>
            <w:tcW w:w="4129" w:type="dxa"/>
          </w:tcPr>
          <w:p w14:paraId="15032BE3" w14:textId="77777777" w:rsidR="00C5003E" w:rsidRDefault="00C5003E">
            <w:pPr>
              <w:rPr>
                <w:b/>
                <w:lang w:val="es-ES"/>
              </w:rPr>
            </w:pPr>
            <w:r>
              <w:rPr>
                <w:b/>
                <w:lang w:val="es-ES"/>
              </w:rPr>
              <w:t>Demandantes</w:t>
            </w:r>
          </w:p>
        </w:tc>
        <w:tc>
          <w:tcPr>
            <w:tcW w:w="4129" w:type="dxa"/>
          </w:tcPr>
          <w:p w14:paraId="35B7642B" w14:textId="69807258" w:rsidR="00C5003E" w:rsidRPr="0073314F" w:rsidRDefault="0073314F">
            <w:pPr>
              <w:rPr>
                <w:lang w:val="es-ES"/>
              </w:rPr>
            </w:pPr>
            <w:r w:rsidRPr="0073314F">
              <w:rPr>
                <w:lang w:val="es-ES"/>
              </w:rPr>
              <w:t xml:space="preserve">NERY MARCIAL QUIÑONES </w:t>
            </w:r>
            <w:proofErr w:type="spellStart"/>
            <w:r w:rsidRPr="0073314F">
              <w:rPr>
                <w:lang w:val="es-ES"/>
              </w:rPr>
              <w:t>QUIÑONES</w:t>
            </w:r>
            <w:proofErr w:type="spellEnd"/>
          </w:p>
        </w:tc>
      </w:tr>
      <w:tr w:rsidR="00C5003E" w14:paraId="76A4F219" w14:textId="77777777" w:rsidTr="00C5003E">
        <w:trPr>
          <w:trHeight w:val="737"/>
        </w:trPr>
        <w:tc>
          <w:tcPr>
            <w:tcW w:w="4129" w:type="dxa"/>
          </w:tcPr>
          <w:p w14:paraId="7852BED5" w14:textId="77777777" w:rsidR="00C5003E" w:rsidRDefault="00C5003E">
            <w:pPr>
              <w:rPr>
                <w:b/>
                <w:lang w:val="es-ES"/>
              </w:rPr>
            </w:pPr>
            <w:r>
              <w:rPr>
                <w:b/>
                <w:lang w:val="es-ES"/>
              </w:rPr>
              <w:t>Demandados/ Llamados en Garantía</w:t>
            </w:r>
          </w:p>
        </w:tc>
        <w:tc>
          <w:tcPr>
            <w:tcW w:w="4129" w:type="dxa"/>
          </w:tcPr>
          <w:p w14:paraId="196FF209" w14:textId="0526BF7E" w:rsidR="00C5003E" w:rsidRPr="0073314F" w:rsidRDefault="0073314F">
            <w:pPr>
              <w:rPr>
                <w:lang w:val="es-ES"/>
              </w:rPr>
            </w:pPr>
            <w:r w:rsidRPr="0073314F">
              <w:rPr>
                <w:lang w:val="es-ES"/>
              </w:rPr>
              <w:t xml:space="preserve">HDI SEGUROS S.A. </w:t>
            </w:r>
          </w:p>
        </w:tc>
      </w:tr>
      <w:tr w:rsidR="00C5003E" w14:paraId="0F1CD8C3" w14:textId="77777777" w:rsidTr="00C5003E">
        <w:trPr>
          <w:trHeight w:val="696"/>
        </w:trPr>
        <w:tc>
          <w:tcPr>
            <w:tcW w:w="4129" w:type="dxa"/>
          </w:tcPr>
          <w:p w14:paraId="30E89714" w14:textId="77777777" w:rsidR="00C5003E" w:rsidRDefault="00C5003E">
            <w:pPr>
              <w:rPr>
                <w:b/>
                <w:lang w:val="es-ES"/>
              </w:rPr>
            </w:pPr>
            <w:r>
              <w:rPr>
                <w:b/>
                <w:lang w:val="es-ES"/>
              </w:rPr>
              <w:t>Pretensiones solicitadas</w:t>
            </w:r>
          </w:p>
        </w:tc>
        <w:tc>
          <w:tcPr>
            <w:tcW w:w="4129" w:type="dxa"/>
          </w:tcPr>
          <w:p w14:paraId="5B3DC97D" w14:textId="77777777" w:rsidR="00C5003E" w:rsidRDefault="0073314F" w:rsidP="0073314F">
            <w:pPr>
              <w:rPr>
                <w:bCs/>
                <w:lang w:val="es-ES"/>
              </w:rPr>
            </w:pPr>
            <w:r w:rsidRPr="0073314F">
              <w:rPr>
                <w:bCs/>
                <w:lang w:val="es-ES"/>
              </w:rPr>
              <w:t xml:space="preserve">Que se libre mandamiento de pago a favor de Nery Marcial Quiñones </w:t>
            </w:r>
            <w:proofErr w:type="spellStart"/>
            <w:r w:rsidRPr="0073314F">
              <w:rPr>
                <w:bCs/>
                <w:lang w:val="es-ES"/>
              </w:rPr>
              <w:t>Quiñones</w:t>
            </w:r>
            <w:proofErr w:type="spellEnd"/>
            <w:r w:rsidRPr="0073314F">
              <w:rPr>
                <w:bCs/>
                <w:lang w:val="es-ES"/>
              </w:rPr>
              <w:t xml:space="preserve"> en contra de HDI por las siguientes sumas de dinero:</w:t>
            </w:r>
          </w:p>
          <w:p w14:paraId="6BAFF3FB" w14:textId="77777777" w:rsidR="0073314F" w:rsidRDefault="0073314F" w:rsidP="0073314F">
            <w:pPr>
              <w:pStyle w:val="Prrafodelista"/>
              <w:numPr>
                <w:ilvl w:val="0"/>
                <w:numId w:val="4"/>
              </w:numPr>
              <w:rPr>
                <w:bCs/>
                <w:lang w:val="es-ES"/>
              </w:rPr>
            </w:pPr>
            <w:r>
              <w:rPr>
                <w:bCs/>
                <w:lang w:val="es-ES"/>
              </w:rPr>
              <w:t xml:space="preserve">La suma de </w:t>
            </w:r>
            <w:r>
              <w:rPr>
                <w:b/>
                <w:lang w:val="es-ES"/>
              </w:rPr>
              <w:t>$11.671.479</w:t>
            </w:r>
            <w:r>
              <w:rPr>
                <w:bCs/>
                <w:lang w:val="es-ES"/>
              </w:rPr>
              <w:t xml:space="preserve"> correspondientes al capital insoluto del título valor complejo y póliza de seguro No. 4007127. </w:t>
            </w:r>
          </w:p>
          <w:p w14:paraId="2486E3E7" w14:textId="77777777" w:rsidR="0073314F" w:rsidRDefault="0073314F" w:rsidP="0073314F">
            <w:pPr>
              <w:pStyle w:val="Prrafodelista"/>
              <w:numPr>
                <w:ilvl w:val="0"/>
                <w:numId w:val="4"/>
              </w:numPr>
              <w:rPr>
                <w:bCs/>
                <w:lang w:val="es-ES"/>
              </w:rPr>
            </w:pPr>
            <w:r>
              <w:rPr>
                <w:bCs/>
                <w:lang w:val="es-ES"/>
              </w:rPr>
              <w:t>Intereses moratorios corrientes.</w:t>
            </w:r>
          </w:p>
          <w:p w14:paraId="65F8A69E" w14:textId="1F2CB957" w:rsidR="004C5502" w:rsidRPr="0073314F" w:rsidRDefault="004C5502" w:rsidP="004C5502">
            <w:pPr>
              <w:pStyle w:val="Prrafodelista"/>
              <w:rPr>
                <w:bCs/>
                <w:lang w:val="es-ES"/>
              </w:rPr>
            </w:pPr>
          </w:p>
        </w:tc>
      </w:tr>
      <w:tr w:rsidR="00C5003E" w14:paraId="609EC752" w14:textId="77777777" w:rsidTr="00C5003E">
        <w:trPr>
          <w:trHeight w:val="737"/>
        </w:trPr>
        <w:tc>
          <w:tcPr>
            <w:tcW w:w="4129" w:type="dxa"/>
          </w:tcPr>
          <w:p w14:paraId="60B470C1" w14:textId="77777777" w:rsidR="00C5003E" w:rsidRDefault="00C5003E">
            <w:pPr>
              <w:rPr>
                <w:b/>
                <w:lang w:val="es-ES"/>
              </w:rPr>
            </w:pPr>
            <w:r>
              <w:rPr>
                <w:b/>
                <w:lang w:val="es-ES"/>
              </w:rPr>
              <w:t>Pretensión Objetivada</w:t>
            </w:r>
          </w:p>
        </w:tc>
        <w:tc>
          <w:tcPr>
            <w:tcW w:w="4129" w:type="dxa"/>
          </w:tcPr>
          <w:p w14:paraId="307A0CE0" w14:textId="5193A43E" w:rsidR="002C6DC4" w:rsidRPr="001D6158" w:rsidRDefault="001D6158" w:rsidP="00B01A84">
            <w:pPr>
              <w:jc w:val="both"/>
              <w:rPr>
                <w:bCs/>
                <w:lang w:val="es-ES"/>
              </w:rPr>
            </w:pPr>
            <w:r>
              <w:rPr>
                <w:bCs/>
                <w:lang w:val="es-ES"/>
              </w:rPr>
              <w:t xml:space="preserve">Capital: </w:t>
            </w:r>
            <w:r>
              <w:rPr>
                <w:b/>
                <w:lang w:val="es-ES"/>
              </w:rPr>
              <w:t>$11.671.479.</w:t>
            </w:r>
            <w:r>
              <w:rPr>
                <w:bCs/>
                <w:lang w:val="es-ES"/>
              </w:rPr>
              <w:t xml:space="preserve"> Este monto de acuerdo a lo solicitado por la parte demandante, el cual se basa en cotización de reparación de la motocicleta GIG19D el 06 de septiembre de 2022. </w:t>
            </w:r>
          </w:p>
          <w:p w14:paraId="7DBCD810" w14:textId="77777777" w:rsidR="001D6158" w:rsidRDefault="001D6158" w:rsidP="00B01A84">
            <w:pPr>
              <w:jc w:val="both"/>
              <w:rPr>
                <w:b/>
                <w:lang w:val="es-ES"/>
              </w:rPr>
            </w:pPr>
          </w:p>
          <w:p w14:paraId="20990590" w14:textId="2FDD7465" w:rsidR="001D6158" w:rsidRDefault="001D6158" w:rsidP="00B01A84">
            <w:pPr>
              <w:jc w:val="both"/>
              <w:rPr>
                <w:bCs/>
                <w:lang w:val="es-ES"/>
              </w:rPr>
            </w:pPr>
            <w:r>
              <w:rPr>
                <w:bCs/>
                <w:lang w:val="es-ES"/>
              </w:rPr>
              <w:t xml:space="preserve">Intereses: </w:t>
            </w:r>
            <w:r>
              <w:rPr>
                <w:b/>
                <w:lang w:val="es-ES"/>
              </w:rPr>
              <w:t>$</w:t>
            </w:r>
            <w:r w:rsidR="006E5DD5">
              <w:rPr>
                <w:b/>
                <w:lang w:val="es-ES"/>
              </w:rPr>
              <w:t>1</w:t>
            </w:r>
            <w:r w:rsidR="00B01A84">
              <w:rPr>
                <w:b/>
                <w:lang w:val="es-ES"/>
              </w:rPr>
              <w:t>.</w:t>
            </w:r>
            <w:r w:rsidR="006E5DD5">
              <w:rPr>
                <w:b/>
                <w:lang w:val="es-ES"/>
              </w:rPr>
              <w:t>064.191</w:t>
            </w:r>
            <w:r w:rsidR="00B01A84">
              <w:rPr>
                <w:b/>
                <w:lang w:val="es-ES"/>
              </w:rPr>
              <w:t xml:space="preserve"> </w:t>
            </w:r>
            <w:r w:rsidR="00B01A84">
              <w:rPr>
                <w:bCs/>
                <w:lang w:val="es-ES"/>
              </w:rPr>
              <w:t xml:space="preserve">De acuerdo a la tasa de </w:t>
            </w:r>
            <w:r w:rsidR="00B80E3E">
              <w:rPr>
                <w:bCs/>
                <w:lang w:val="es-ES"/>
              </w:rPr>
              <w:t xml:space="preserve">Intereses corrientes establecidos por </w:t>
            </w:r>
            <w:r w:rsidR="00B01A84">
              <w:rPr>
                <w:bCs/>
                <w:lang w:val="es-ES"/>
              </w:rPr>
              <w:t xml:space="preserve">la Superintendencia Financiera desde el 28 de mayo de 2023 hasta la actualidad. </w:t>
            </w:r>
            <w:r w:rsidR="00E421BE">
              <w:rPr>
                <w:bCs/>
                <w:lang w:val="es-ES"/>
              </w:rPr>
              <w:t>Adjunto Excel.</w:t>
            </w:r>
          </w:p>
          <w:p w14:paraId="59FEA38B" w14:textId="77777777" w:rsidR="00B01A84" w:rsidRDefault="00B01A84" w:rsidP="00B01A84">
            <w:pPr>
              <w:jc w:val="both"/>
              <w:rPr>
                <w:bCs/>
                <w:lang w:val="es-ES"/>
              </w:rPr>
            </w:pPr>
          </w:p>
          <w:p w14:paraId="055673A2" w14:textId="478AF087" w:rsidR="00B01A84" w:rsidRPr="00B01A84" w:rsidRDefault="00B01A84" w:rsidP="00B01A84">
            <w:pPr>
              <w:jc w:val="both"/>
              <w:rPr>
                <w:b/>
                <w:lang w:val="es-ES"/>
              </w:rPr>
            </w:pPr>
            <w:r>
              <w:rPr>
                <w:b/>
                <w:lang w:val="es-ES"/>
              </w:rPr>
              <w:t>Total: $12.</w:t>
            </w:r>
            <w:r w:rsidR="006E5DD5">
              <w:rPr>
                <w:b/>
                <w:lang w:val="es-ES"/>
              </w:rPr>
              <w:t>735</w:t>
            </w:r>
            <w:r>
              <w:rPr>
                <w:b/>
                <w:lang w:val="es-ES"/>
              </w:rPr>
              <w:t>.6</w:t>
            </w:r>
            <w:r w:rsidR="006E5DD5">
              <w:rPr>
                <w:b/>
                <w:lang w:val="es-ES"/>
              </w:rPr>
              <w:t>7</w:t>
            </w:r>
            <w:r>
              <w:rPr>
                <w:b/>
                <w:lang w:val="es-ES"/>
              </w:rPr>
              <w:t>0</w:t>
            </w:r>
          </w:p>
        </w:tc>
      </w:tr>
      <w:tr w:rsidR="002F288A" w14:paraId="1065B277" w14:textId="77777777" w:rsidTr="00C5003E">
        <w:trPr>
          <w:trHeight w:val="737"/>
        </w:trPr>
        <w:tc>
          <w:tcPr>
            <w:tcW w:w="4129" w:type="dxa"/>
          </w:tcPr>
          <w:p w14:paraId="46517AD7" w14:textId="77777777" w:rsidR="002F288A" w:rsidRDefault="002F288A" w:rsidP="002F288A">
            <w:pPr>
              <w:rPr>
                <w:b/>
                <w:lang w:val="es-ES"/>
              </w:rPr>
            </w:pPr>
            <w:r>
              <w:rPr>
                <w:b/>
                <w:lang w:val="es-ES"/>
              </w:rPr>
              <w:t xml:space="preserve">Calificación de la contingencia </w:t>
            </w:r>
          </w:p>
        </w:tc>
        <w:tc>
          <w:tcPr>
            <w:tcW w:w="4129" w:type="dxa"/>
          </w:tcPr>
          <w:p w14:paraId="2724FE2B" w14:textId="2E1A029E" w:rsidR="002F288A" w:rsidRDefault="002F288A" w:rsidP="002F288A">
            <w:pPr>
              <w:jc w:val="both"/>
              <w:rPr>
                <w:bCs/>
              </w:rPr>
            </w:pPr>
            <w:r w:rsidRPr="006316AD">
              <w:rPr>
                <w:bCs/>
              </w:rPr>
              <w:t>La contingencia se califica como </w:t>
            </w:r>
            <w:r>
              <w:rPr>
                <w:b/>
                <w:bCs/>
              </w:rPr>
              <w:t>EVENTUAL</w:t>
            </w:r>
            <w:r w:rsidRPr="006316AD">
              <w:rPr>
                <w:bCs/>
              </w:rPr>
              <w:t>,</w:t>
            </w:r>
            <w:r>
              <w:rPr>
                <w:bCs/>
              </w:rPr>
              <w:t xml:space="preserve"> </w:t>
            </w:r>
            <w:r w:rsidRPr="002C6DC4">
              <w:rPr>
                <w:bCs/>
              </w:rPr>
              <w:t xml:space="preserve">puesto que </w:t>
            </w:r>
            <w:r>
              <w:rPr>
                <w:bCs/>
              </w:rPr>
              <w:t xml:space="preserve">si bien es cierto que </w:t>
            </w:r>
            <w:r w:rsidRPr="002C6DC4">
              <w:rPr>
                <w:bCs/>
              </w:rPr>
              <w:t xml:space="preserve">la aseguradora se constituyó en mora al no objetar la solicitud de reclamación dentro </w:t>
            </w:r>
            <w:r w:rsidRPr="002C6DC4">
              <w:rPr>
                <w:bCs/>
              </w:rPr>
              <w:lastRenderedPageBreak/>
              <w:t xml:space="preserve">del </w:t>
            </w:r>
            <w:r>
              <w:rPr>
                <w:bCs/>
              </w:rPr>
              <w:t xml:space="preserve">término </w:t>
            </w:r>
            <w:r w:rsidRPr="002C6DC4">
              <w:rPr>
                <w:bCs/>
              </w:rPr>
              <w:t xml:space="preserve">establecido por el Art. 1080 del </w:t>
            </w:r>
            <w:r>
              <w:rPr>
                <w:bCs/>
              </w:rPr>
              <w:t xml:space="preserve">C. Co., la parte ejecutante no ha acreditado la presentación de un título ejecutivo complejo en los términos del Art. 1053 del C. Co., esto es, con la presentación de la documentación que conforme lo previsto en el Art. 1077 del C. Co., pruebe la ocurrencia del siniestro y la cuantía pérdida. </w:t>
            </w:r>
          </w:p>
          <w:p w14:paraId="5847D668" w14:textId="77777777" w:rsidR="002F288A" w:rsidRDefault="002F288A" w:rsidP="002F288A">
            <w:pPr>
              <w:jc w:val="both"/>
              <w:rPr>
                <w:bCs/>
              </w:rPr>
            </w:pPr>
          </w:p>
          <w:p w14:paraId="2ADD8E5D" w14:textId="3A0DBB4C" w:rsidR="002F288A" w:rsidRDefault="002F288A" w:rsidP="002F288A">
            <w:pPr>
              <w:jc w:val="both"/>
              <w:rPr>
                <w:bCs/>
              </w:rPr>
            </w:pPr>
            <w:r>
              <w:rPr>
                <w:bCs/>
              </w:rPr>
              <w:t>Por un lado, se verifica e</w:t>
            </w:r>
            <w:r w:rsidRPr="002C6DC4">
              <w:rPr>
                <w:bCs/>
              </w:rPr>
              <w:t>n la documentación aportada por el demandante,</w:t>
            </w:r>
            <w:r>
              <w:rPr>
                <w:bCs/>
              </w:rPr>
              <w:t xml:space="preserve"> </w:t>
            </w:r>
            <w:r w:rsidRPr="002C6DC4">
              <w:rPr>
                <w:bCs/>
              </w:rPr>
              <w:t xml:space="preserve">que el 27 de abril de 2023 se radicó la reclamación extrajudicial, </w:t>
            </w:r>
            <w:r>
              <w:rPr>
                <w:bCs/>
              </w:rPr>
              <w:t>cuyo recibido fue confirmado</w:t>
            </w:r>
            <w:r w:rsidRPr="002C6DC4">
              <w:rPr>
                <w:bCs/>
              </w:rPr>
              <w:t xml:space="preserve"> por la aseguradora al día siguiente, asignándole el número de radicado 23-04-889.</w:t>
            </w:r>
            <w:r>
              <w:rPr>
                <w:bCs/>
              </w:rPr>
              <w:t xml:space="preserve"> También se encuentra acreditado que e</w:t>
            </w:r>
            <w:r w:rsidRPr="002C6DC4">
              <w:rPr>
                <w:bCs/>
              </w:rPr>
              <w:t xml:space="preserve">l 28 de mayo de 2023, el reclamante radicó un </w:t>
            </w:r>
            <w:r>
              <w:rPr>
                <w:bCs/>
              </w:rPr>
              <w:t>escrito de constitución de mora, y que,</w:t>
            </w:r>
            <w:r w:rsidRPr="002C6DC4">
              <w:rPr>
                <w:bCs/>
              </w:rPr>
              <w:t xml:space="preserve"> </w:t>
            </w:r>
            <w:r>
              <w:rPr>
                <w:bCs/>
              </w:rPr>
              <w:t>e</w:t>
            </w:r>
            <w:r w:rsidRPr="002C6DC4">
              <w:rPr>
                <w:bCs/>
              </w:rPr>
              <w:t xml:space="preserve">n una comunicación </w:t>
            </w:r>
            <w:r>
              <w:rPr>
                <w:bCs/>
              </w:rPr>
              <w:t xml:space="preserve">emitida por </w:t>
            </w:r>
            <w:r w:rsidRPr="002C6DC4">
              <w:rPr>
                <w:bCs/>
              </w:rPr>
              <w:t>la aseguradora del 29 de mayo de 2023, esta aceptó que hubo un error en la digitación del correo del apoderado de la parte actora</w:t>
            </w:r>
            <w:r>
              <w:rPr>
                <w:bCs/>
              </w:rPr>
              <w:t xml:space="preserve"> a quien se le envió la objeción</w:t>
            </w:r>
            <w:r w:rsidRPr="002C6DC4">
              <w:rPr>
                <w:bCs/>
              </w:rPr>
              <w:t xml:space="preserve">, y que la comunicación enviada el 11 de mayo de 2023 solo fue recibida por la parte actora </w:t>
            </w:r>
            <w:r>
              <w:rPr>
                <w:bCs/>
              </w:rPr>
              <w:t>hasta el 29 de mayo; es decir, por fuera del mes previsto en el Art. 1080 del C. Co.</w:t>
            </w:r>
          </w:p>
          <w:p w14:paraId="10AB4D92" w14:textId="77777777" w:rsidR="002F288A" w:rsidRPr="002C6DC4" w:rsidRDefault="002F288A" w:rsidP="002F288A">
            <w:pPr>
              <w:jc w:val="both"/>
              <w:rPr>
                <w:bCs/>
              </w:rPr>
            </w:pPr>
          </w:p>
          <w:p w14:paraId="219244EC" w14:textId="77777777" w:rsidR="005C3285" w:rsidRDefault="002F288A" w:rsidP="002F288A">
            <w:pPr>
              <w:jc w:val="both"/>
              <w:rPr>
                <w:bCs/>
              </w:rPr>
            </w:pPr>
            <w:r w:rsidRPr="00766CE4">
              <w:rPr>
                <w:bCs/>
              </w:rPr>
              <w:t>Ahora bien,</w:t>
            </w:r>
            <w:r w:rsidR="005C3285">
              <w:rPr>
                <w:bCs/>
              </w:rPr>
              <w:t xml:space="preserve"> la parte ejecutante no aportó una verdadera reclamación que cumpla con lo previsto en el Art. 1053 del C. Co. para ser valorado como título ejecutivo complejo. En efecto, la solicitud indemnizatoria presentada a la Compañía, no se trató de una reclamación, por cuanto esta no vino acompañada con la documentación que acreditara la ocurrencia del siniestro y la cuantía de la pérdida. </w:t>
            </w:r>
          </w:p>
          <w:p w14:paraId="33A64893" w14:textId="77777777" w:rsidR="005C3285" w:rsidRDefault="005C3285" w:rsidP="002F288A">
            <w:pPr>
              <w:jc w:val="both"/>
              <w:rPr>
                <w:bCs/>
              </w:rPr>
            </w:pPr>
          </w:p>
          <w:p w14:paraId="6E8C52EB" w14:textId="2A0F8144" w:rsidR="005C3285" w:rsidRDefault="005C3285" w:rsidP="002F288A">
            <w:pPr>
              <w:jc w:val="both"/>
              <w:rPr>
                <w:bCs/>
              </w:rPr>
            </w:pPr>
            <w:r>
              <w:rPr>
                <w:bCs/>
              </w:rPr>
              <w:t xml:space="preserve">En primer lugar, no se probó la materialización del evento asegurado en la póliza, luego que no se demostró la existencia de la responsabilidad del conductor </w:t>
            </w:r>
            <w:r w:rsidR="002F288A" w:rsidRPr="00766CE4">
              <w:rPr>
                <w:bCs/>
              </w:rPr>
              <w:t>del vehículo asegurado de placas</w:t>
            </w:r>
            <w:r w:rsidR="002F288A">
              <w:rPr>
                <w:bCs/>
              </w:rPr>
              <w:t xml:space="preserve"> QEP-250, </w:t>
            </w:r>
            <w:r>
              <w:rPr>
                <w:bCs/>
              </w:rPr>
              <w:t xml:space="preserve">en la ocurrencia de los hechos; como pruebas solamente se aportó: </w:t>
            </w:r>
            <w:r w:rsidR="002F288A">
              <w:rPr>
                <w:bCs/>
              </w:rPr>
              <w:t>(</w:t>
            </w:r>
            <w:r w:rsidR="002F288A" w:rsidRPr="00766CE4">
              <w:rPr>
                <w:bCs/>
              </w:rPr>
              <w:t xml:space="preserve">i) El </w:t>
            </w:r>
            <w:r w:rsidR="002F288A">
              <w:rPr>
                <w:bCs/>
              </w:rPr>
              <w:t>“</w:t>
            </w:r>
            <w:r w:rsidR="002F288A" w:rsidRPr="00766CE4">
              <w:rPr>
                <w:bCs/>
                <w:i/>
                <w:iCs/>
              </w:rPr>
              <w:t>Acta para la no elaboración de Informe de Accidente de Tránsito</w:t>
            </w:r>
            <w:r w:rsidR="002F288A">
              <w:rPr>
                <w:bCs/>
              </w:rPr>
              <w:t xml:space="preserve">” en la cual </w:t>
            </w:r>
            <w:r w:rsidR="002F288A">
              <w:rPr>
                <w:bCs/>
              </w:rPr>
              <w:lastRenderedPageBreak/>
              <w:t>la parte demandante alega que el vehículo asegurado no realiza el pare establecido y colisiona con la motocicleta, pues por culpa de los huecos no alcanza a frenar</w:t>
            </w:r>
            <w:r>
              <w:rPr>
                <w:bCs/>
              </w:rPr>
              <w:t>, y</w:t>
            </w:r>
            <w:r w:rsidR="002F288A" w:rsidRPr="00766CE4">
              <w:rPr>
                <w:bCs/>
              </w:rPr>
              <w:t xml:space="preserve"> (ii)</w:t>
            </w:r>
            <w:r w:rsidR="002F288A">
              <w:rPr>
                <w:bCs/>
              </w:rPr>
              <w:t xml:space="preserve"> En el mismo escrito el conductor del vehículo asegurado establece “</w:t>
            </w:r>
            <w:r w:rsidR="002F288A" w:rsidRPr="004C5502">
              <w:rPr>
                <w:bCs/>
                <w:i/>
                <w:iCs/>
              </w:rPr>
              <w:t>paso el pare sin medir la distancia de los motociclistas sin precaución ellos los dos motociclistas impactan mi lateral izquierdo de mi vehículo</w:t>
            </w:r>
            <w:r>
              <w:rPr>
                <w:bCs/>
              </w:rPr>
              <w:t>”. Sin embargo, no se aportó un elemento de convicción técnico que demuestre que el conductor del vehículo asegurado fue el causante de los daños la motocicleta de placa GIG-19D.</w:t>
            </w:r>
          </w:p>
          <w:p w14:paraId="3447F401" w14:textId="77777777" w:rsidR="005C3285" w:rsidRDefault="005C3285" w:rsidP="002F288A">
            <w:pPr>
              <w:jc w:val="both"/>
              <w:rPr>
                <w:bCs/>
              </w:rPr>
            </w:pPr>
          </w:p>
          <w:p w14:paraId="70DC2B89" w14:textId="73D052B7" w:rsidR="000E6363" w:rsidRDefault="005C3285" w:rsidP="002F288A">
            <w:pPr>
              <w:jc w:val="both"/>
              <w:rPr>
                <w:bCs/>
              </w:rPr>
            </w:pPr>
            <w:r>
              <w:rPr>
                <w:bCs/>
              </w:rPr>
              <w:t xml:space="preserve">En segundo lugar, no se probó la cuantía de la pérdida por cuanto: </w:t>
            </w:r>
            <w:r w:rsidR="002F288A">
              <w:rPr>
                <w:bCs/>
              </w:rPr>
              <w:t>(</w:t>
            </w:r>
            <w:r>
              <w:rPr>
                <w:bCs/>
              </w:rPr>
              <w:t>i</w:t>
            </w:r>
            <w:r w:rsidR="002F288A">
              <w:rPr>
                <w:bCs/>
              </w:rPr>
              <w:t xml:space="preserve">) </w:t>
            </w:r>
            <w:r>
              <w:rPr>
                <w:bCs/>
              </w:rPr>
              <w:t>de a</w:t>
            </w:r>
            <w:r w:rsidR="002F288A">
              <w:rPr>
                <w:bCs/>
              </w:rPr>
              <w:t xml:space="preserve">cuerdo con certificado de tradición de la motocicleta GIG-19D, el señor Nery Marcial Quiñones </w:t>
            </w:r>
            <w:proofErr w:type="spellStart"/>
            <w:r w:rsidR="002F288A">
              <w:rPr>
                <w:bCs/>
              </w:rPr>
              <w:t>Quiñones</w:t>
            </w:r>
            <w:proofErr w:type="spellEnd"/>
            <w:r w:rsidR="002F288A">
              <w:rPr>
                <w:bCs/>
              </w:rPr>
              <w:t xml:space="preserve"> no es el propietario del automotor; (</w:t>
            </w:r>
            <w:proofErr w:type="spellStart"/>
            <w:r>
              <w:rPr>
                <w:bCs/>
              </w:rPr>
              <w:t>ii</w:t>
            </w:r>
            <w:proofErr w:type="spellEnd"/>
            <w:r w:rsidR="002F288A">
              <w:rPr>
                <w:bCs/>
              </w:rPr>
              <w:t>)</w:t>
            </w:r>
            <w:r w:rsidR="00CB46CA">
              <w:rPr>
                <w:bCs/>
              </w:rPr>
              <w:t xml:space="preserve"> la parte actora no aporto ningún medio de prueba que acredite que el ejecutante se usufructuaba o explotaba económica o comercialmente la motocicleta;</w:t>
            </w:r>
            <w:r>
              <w:rPr>
                <w:bCs/>
              </w:rPr>
              <w:t xml:space="preserve"> (iii) el único medio con el que se pretende demostrar el daño material ocasionado presuntamente a la motocicleta de palca GIG-19D corresponde a un</w:t>
            </w:r>
            <w:r w:rsidR="00CB46CA">
              <w:rPr>
                <w:bCs/>
              </w:rPr>
              <w:t xml:space="preserve"> documento denominado “</w:t>
            </w:r>
            <w:r w:rsidR="00CB46CA">
              <w:rPr>
                <w:rFonts w:ascii="Arial" w:hAnsi="Arial" w:cs="Arial"/>
                <w:i/>
                <w:iCs/>
              </w:rPr>
              <w:t xml:space="preserve">Cotización No. 0000000426” </w:t>
            </w:r>
            <w:r>
              <w:rPr>
                <w:bCs/>
              </w:rPr>
              <w:t xml:space="preserve"> emitida por </w:t>
            </w:r>
            <w:r w:rsidR="00CB46CA">
              <w:rPr>
                <w:bCs/>
              </w:rPr>
              <w:t xml:space="preserve">Mundo </w:t>
            </w:r>
            <w:proofErr w:type="spellStart"/>
            <w:r w:rsidR="00CB46CA">
              <w:rPr>
                <w:bCs/>
              </w:rPr>
              <w:t>Multimarcas</w:t>
            </w:r>
            <w:proofErr w:type="spellEnd"/>
            <w:r w:rsidR="00CB46CA">
              <w:rPr>
                <w:bCs/>
              </w:rPr>
              <w:t xml:space="preserve"> S.A.S</w:t>
            </w:r>
            <w:r>
              <w:rPr>
                <w:bCs/>
              </w:rPr>
              <w:t xml:space="preserve"> de la cual no se puede constatar</w:t>
            </w:r>
            <w:r w:rsidR="00CB46CA">
              <w:rPr>
                <w:bCs/>
              </w:rPr>
              <w:t xml:space="preserve"> que la parte actora haya realizado algún tipo de pago en relación a este valor, o que los repuestos solicitados correspondan a los efectivamente necesitados por la motocicleta, o que estos daños tengan alguna conexidad con el accidente del 22 de agosto de 2022</w:t>
            </w:r>
            <w:r>
              <w:rPr>
                <w:bCs/>
              </w:rPr>
              <w:t>; (</w:t>
            </w:r>
            <w:proofErr w:type="spellStart"/>
            <w:r>
              <w:rPr>
                <w:bCs/>
              </w:rPr>
              <w:t>iv</w:t>
            </w:r>
            <w:proofErr w:type="spellEnd"/>
            <w:r>
              <w:rPr>
                <w:bCs/>
              </w:rPr>
              <w:t xml:space="preserve">) </w:t>
            </w:r>
            <w:r w:rsidR="002F288A">
              <w:rPr>
                <w:bCs/>
              </w:rPr>
              <w:t>Los daños solicitados por la parte demandante exceden en un 3</w:t>
            </w:r>
            <w:r w:rsidR="00B80E3E">
              <w:rPr>
                <w:bCs/>
              </w:rPr>
              <w:t>15</w:t>
            </w:r>
            <w:r w:rsidR="002F288A">
              <w:rPr>
                <w:bCs/>
              </w:rPr>
              <w:t xml:space="preserve">%% el valor establecido por </w:t>
            </w:r>
            <w:proofErr w:type="spellStart"/>
            <w:r w:rsidR="002F288A">
              <w:rPr>
                <w:bCs/>
              </w:rPr>
              <w:t>Fasecolda</w:t>
            </w:r>
            <w:proofErr w:type="spellEnd"/>
            <w:r w:rsidR="002F288A">
              <w:rPr>
                <w:bCs/>
              </w:rPr>
              <w:t xml:space="preserve"> para u</w:t>
            </w:r>
            <w:r w:rsidR="000E6363">
              <w:rPr>
                <w:bCs/>
              </w:rPr>
              <w:t>na motocicleta del mismo modelo</w:t>
            </w:r>
            <w:r w:rsidR="002F288A">
              <w:rPr>
                <w:bCs/>
              </w:rPr>
              <w:t xml:space="preserve">. </w:t>
            </w:r>
          </w:p>
          <w:p w14:paraId="6FD225E6" w14:textId="77777777" w:rsidR="00CB46CA" w:rsidRDefault="00CB46CA" w:rsidP="002F288A">
            <w:pPr>
              <w:jc w:val="both"/>
              <w:rPr>
                <w:bCs/>
              </w:rPr>
            </w:pPr>
          </w:p>
          <w:p w14:paraId="424398DC" w14:textId="1BCDC8BA" w:rsidR="002F288A" w:rsidRDefault="000E6363" w:rsidP="002F288A">
            <w:pPr>
              <w:jc w:val="both"/>
              <w:rPr>
                <w:bCs/>
              </w:rPr>
            </w:pPr>
            <w:r>
              <w:rPr>
                <w:bCs/>
              </w:rPr>
              <w:t>De cara a lo anterior, e</w:t>
            </w:r>
            <w:r w:rsidR="002F288A" w:rsidRPr="00766CE4">
              <w:rPr>
                <w:bCs/>
              </w:rPr>
              <w:t>s claro que dependerá del debate probatorio confirmar o desvirtuar</w:t>
            </w:r>
            <w:r>
              <w:rPr>
                <w:bCs/>
              </w:rPr>
              <w:t xml:space="preserve"> la existencia de la</w:t>
            </w:r>
            <w:r w:rsidR="002F288A" w:rsidRPr="00766CE4">
              <w:rPr>
                <w:bCs/>
              </w:rPr>
              <w:t xml:space="preserve"> responsabilidad del asegurado</w:t>
            </w:r>
            <w:r>
              <w:rPr>
                <w:bCs/>
              </w:rPr>
              <w:t xml:space="preserve"> en los hechos y la cuantía de la pérdida, para </w:t>
            </w:r>
            <w:r>
              <w:rPr>
                <w:bCs/>
              </w:rPr>
              <w:lastRenderedPageBreak/>
              <w:t>determinar si efectivamente la solicitud que se presentó por el ejecutante constituye o no una verdadera reclamación y, por ende, un título ejecutivo complejo, de acuerdo con lo dispuesto en el Art. 1053 del C. Co.</w:t>
            </w:r>
            <w:r w:rsidR="002F288A" w:rsidRPr="00766CE4">
              <w:rPr>
                <w:bCs/>
              </w:rPr>
              <w:t xml:space="preserve"> </w:t>
            </w:r>
          </w:p>
          <w:p w14:paraId="364C0065" w14:textId="77777777" w:rsidR="002F288A" w:rsidRPr="002C6DC4" w:rsidRDefault="002F288A" w:rsidP="002F288A">
            <w:pPr>
              <w:jc w:val="both"/>
              <w:rPr>
                <w:bCs/>
              </w:rPr>
            </w:pPr>
          </w:p>
          <w:p w14:paraId="1CB7FFAE" w14:textId="77777777" w:rsidR="002F288A" w:rsidRPr="002C6DC4" w:rsidRDefault="002F288A" w:rsidP="002F288A">
            <w:pPr>
              <w:jc w:val="both"/>
              <w:rPr>
                <w:bCs/>
              </w:rPr>
            </w:pPr>
            <w:r w:rsidRPr="002C6DC4">
              <w:rPr>
                <w:bCs/>
              </w:rPr>
              <w:t>Lo anterior, sin perjuicio del carácter contingente de la calificación.</w:t>
            </w:r>
          </w:p>
          <w:p w14:paraId="3EE27315" w14:textId="44351992" w:rsidR="002F288A" w:rsidRPr="002C6DC4" w:rsidRDefault="002F288A" w:rsidP="002F288A">
            <w:pPr>
              <w:jc w:val="both"/>
              <w:rPr>
                <w:bCs/>
              </w:rPr>
            </w:pPr>
          </w:p>
        </w:tc>
      </w:tr>
      <w:tr w:rsidR="002F288A" w14:paraId="6F8835CD" w14:textId="77777777" w:rsidTr="00C5003E">
        <w:trPr>
          <w:trHeight w:val="696"/>
        </w:trPr>
        <w:tc>
          <w:tcPr>
            <w:tcW w:w="4129" w:type="dxa"/>
          </w:tcPr>
          <w:p w14:paraId="287C3DCC" w14:textId="77777777" w:rsidR="002F288A" w:rsidRDefault="002F288A" w:rsidP="002F288A">
            <w:pPr>
              <w:rPr>
                <w:b/>
                <w:lang w:val="es-ES"/>
              </w:rPr>
            </w:pPr>
            <w:r>
              <w:rPr>
                <w:b/>
                <w:lang w:val="es-ES"/>
              </w:rPr>
              <w:lastRenderedPageBreak/>
              <w:t xml:space="preserve">Póliza </w:t>
            </w:r>
          </w:p>
        </w:tc>
        <w:tc>
          <w:tcPr>
            <w:tcW w:w="4129" w:type="dxa"/>
          </w:tcPr>
          <w:p w14:paraId="415B8849" w14:textId="41940C11" w:rsidR="002F288A" w:rsidRDefault="002F288A" w:rsidP="002F288A">
            <w:pPr>
              <w:rPr>
                <w:b/>
                <w:lang w:val="es-ES"/>
              </w:rPr>
            </w:pPr>
            <w:r>
              <w:rPr>
                <w:bCs/>
                <w:lang w:val="es-ES"/>
              </w:rPr>
              <w:t>Póliza de Responsabilidad Civil Extracontractual No. 4007127.</w:t>
            </w:r>
          </w:p>
        </w:tc>
      </w:tr>
      <w:tr w:rsidR="002F288A" w14:paraId="54B880B9" w14:textId="77777777" w:rsidTr="00C5003E">
        <w:trPr>
          <w:trHeight w:val="737"/>
        </w:trPr>
        <w:tc>
          <w:tcPr>
            <w:tcW w:w="4129" w:type="dxa"/>
          </w:tcPr>
          <w:p w14:paraId="5784FF25" w14:textId="77777777" w:rsidR="002F288A" w:rsidRDefault="002F288A" w:rsidP="002F288A">
            <w:pPr>
              <w:rPr>
                <w:b/>
                <w:lang w:val="es-ES"/>
              </w:rPr>
            </w:pPr>
            <w:r>
              <w:rPr>
                <w:b/>
                <w:lang w:val="es-ES"/>
              </w:rPr>
              <w:t>Ramo</w:t>
            </w:r>
          </w:p>
        </w:tc>
        <w:tc>
          <w:tcPr>
            <w:tcW w:w="4129" w:type="dxa"/>
          </w:tcPr>
          <w:p w14:paraId="243D0A15" w14:textId="4EB1FACF" w:rsidR="002F288A" w:rsidRPr="0073314F" w:rsidRDefault="002F288A" w:rsidP="002F288A">
            <w:pPr>
              <w:rPr>
                <w:bCs/>
                <w:lang w:val="es-ES"/>
              </w:rPr>
            </w:pPr>
            <w:r>
              <w:rPr>
                <w:bCs/>
                <w:lang w:val="es-ES"/>
              </w:rPr>
              <w:t>Vehículos</w:t>
            </w:r>
          </w:p>
        </w:tc>
      </w:tr>
      <w:tr w:rsidR="002F288A" w14:paraId="50913A56" w14:textId="77777777" w:rsidTr="00C5003E">
        <w:trPr>
          <w:trHeight w:val="737"/>
        </w:trPr>
        <w:tc>
          <w:tcPr>
            <w:tcW w:w="4129" w:type="dxa"/>
          </w:tcPr>
          <w:p w14:paraId="452F22C8" w14:textId="77777777" w:rsidR="002F288A" w:rsidRDefault="002F288A" w:rsidP="002F288A">
            <w:pPr>
              <w:rPr>
                <w:b/>
                <w:lang w:val="es-ES"/>
              </w:rPr>
            </w:pPr>
            <w:r>
              <w:rPr>
                <w:b/>
                <w:lang w:val="es-ES"/>
              </w:rPr>
              <w:t>Asegurado</w:t>
            </w:r>
          </w:p>
        </w:tc>
        <w:tc>
          <w:tcPr>
            <w:tcW w:w="4129" w:type="dxa"/>
          </w:tcPr>
          <w:p w14:paraId="3C5629E0" w14:textId="6A93B8E9" w:rsidR="002F288A" w:rsidRPr="0073314F" w:rsidRDefault="002F288A" w:rsidP="002F288A">
            <w:pPr>
              <w:rPr>
                <w:bCs/>
                <w:lang w:val="es-ES"/>
              </w:rPr>
            </w:pPr>
            <w:r>
              <w:rPr>
                <w:bCs/>
                <w:lang w:val="es-ES"/>
              </w:rPr>
              <w:t>Franklin Murillo López</w:t>
            </w:r>
          </w:p>
        </w:tc>
      </w:tr>
      <w:tr w:rsidR="002F288A" w14:paraId="5DF8498A" w14:textId="77777777" w:rsidTr="00C5003E">
        <w:trPr>
          <w:trHeight w:val="696"/>
        </w:trPr>
        <w:tc>
          <w:tcPr>
            <w:tcW w:w="4129" w:type="dxa"/>
          </w:tcPr>
          <w:p w14:paraId="6E77C56A" w14:textId="77777777" w:rsidR="002F288A" w:rsidRDefault="002F288A" w:rsidP="002F288A">
            <w:pPr>
              <w:tabs>
                <w:tab w:val="center" w:pos="1956"/>
              </w:tabs>
              <w:rPr>
                <w:b/>
                <w:lang w:val="es-ES"/>
              </w:rPr>
            </w:pPr>
            <w:r>
              <w:rPr>
                <w:b/>
                <w:lang w:val="es-ES"/>
              </w:rPr>
              <w:t xml:space="preserve">Siniestro </w:t>
            </w:r>
            <w:r>
              <w:rPr>
                <w:b/>
                <w:lang w:val="es-ES"/>
              </w:rPr>
              <w:tab/>
            </w:r>
          </w:p>
        </w:tc>
        <w:tc>
          <w:tcPr>
            <w:tcW w:w="4129" w:type="dxa"/>
          </w:tcPr>
          <w:p w14:paraId="03DD5AFD" w14:textId="0111977C" w:rsidR="002F288A" w:rsidRPr="0073314F" w:rsidRDefault="002F288A" w:rsidP="002F288A">
            <w:pPr>
              <w:rPr>
                <w:bCs/>
                <w:lang w:val="es-ES"/>
              </w:rPr>
            </w:pPr>
            <w:r w:rsidRPr="0073314F">
              <w:rPr>
                <w:bCs/>
              </w:rPr>
              <w:t>23-04-889</w:t>
            </w:r>
          </w:p>
        </w:tc>
      </w:tr>
      <w:tr w:rsidR="002F288A" w14:paraId="3B64B0B8" w14:textId="77777777" w:rsidTr="00C5003E">
        <w:trPr>
          <w:trHeight w:val="696"/>
        </w:trPr>
        <w:tc>
          <w:tcPr>
            <w:tcW w:w="4129" w:type="dxa"/>
          </w:tcPr>
          <w:p w14:paraId="192A24BA" w14:textId="77777777" w:rsidR="002F288A" w:rsidRDefault="002F288A" w:rsidP="002F288A">
            <w:pPr>
              <w:tabs>
                <w:tab w:val="center" w:pos="1956"/>
              </w:tabs>
              <w:rPr>
                <w:b/>
                <w:lang w:val="es-ES"/>
              </w:rPr>
            </w:pPr>
            <w:r>
              <w:rPr>
                <w:b/>
                <w:lang w:val="es-ES"/>
              </w:rPr>
              <w:t>Coaseguro</w:t>
            </w:r>
          </w:p>
        </w:tc>
        <w:tc>
          <w:tcPr>
            <w:tcW w:w="4129" w:type="dxa"/>
          </w:tcPr>
          <w:p w14:paraId="00CFB523" w14:textId="42EB0710" w:rsidR="002F288A" w:rsidRPr="008F0ABC" w:rsidRDefault="002F288A" w:rsidP="002F288A">
            <w:pPr>
              <w:rPr>
                <w:bCs/>
                <w:lang w:val="es-ES"/>
              </w:rPr>
            </w:pPr>
            <w:r>
              <w:rPr>
                <w:bCs/>
                <w:lang w:val="es-ES"/>
              </w:rPr>
              <w:t>No.</w:t>
            </w:r>
          </w:p>
        </w:tc>
      </w:tr>
      <w:tr w:rsidR="002F288A" w14:paraId="3D677914" w14:textId="77777777" w:rsidTr="00C5003E">
        <w:trPr>
          <w:trHeight w:val="696"/>
        </w:trPr>
        <w:tc>
          <w:tcPr>
            <w:tcW w:w="4129" w:type="dxa"/>
          </w:tcPr>
          <w:p w14:paraId="20DC54BE" w14:textId="77777777" w:rsidR="002F288A" w:rsidRDefault="002F288A" w:rsidP="002F288A">
            <w:pPr>
              <w:tabs>
                <w:tab w:val="center" w:pos="1956"/>
              </w:tabs>
              <w:rPr>
                <w:b/>
                <w:lang w:val="es-ES"/>
              </w:rPr>
            </w:pPr>
            <w:r>
              <w:rPr>
                <w:b/>
                <w:lang w:val="es-ES"/>
              </w:rPr>
              <w:t xml:space="preserve">Observaciones </w:t>
            </w:r>
          </w:p>
        </w:tc>
        <w:tc>
          <w:tcPr>
            <w:tcW w:w="4129" w:type="dxa"/>
          </w:tcPr>
          <w:p w14:paraId="5B9BACFE" w14:textId="0636D806" w:rsidR="00E421BE" w:rsidRDefault="00E421BE" w:rsidP="00E421BE">
            <w:pPr>
              <w:jc w:val="both"/>
              <w:rPr>
                <w:bCs/>
              </w:rPr>
            </w:pPr>
            <w:r w:rsidRPr="00E421BE">
              <w:rPr>
                <w:bCs/>
              </w:rPr>
              <w:t xml:space="preserve">En este caso, es preciso resaltar que </w:t>
            </w:r>
            <w:r>
              <w:rPr>
                <w:bCs/>
              </w:rPr>
              <w:t xml:space="preserve">existe una alta probabilidad de que el recurso de reposición contra el Auto que libra mandamiento de pago, sea tenido como extemporáneo, </w:t>
            </w:r>
            <w:r w:rsidRPr="00E421BE">
              <w:rPr>
                <w:bCs/>
              </w:rPr>
              <w:t>comoquiera que la compañía aseguradora fue notificada de maner</w:t>
            </w:r>
            <w:r>
              <w:rPr>
                <w:bCs/>
              </w:rPr>
              <w:t>a</w:t>
            </w:r>
            <w:r w:rsidRPr="00E421BE">
              <w:rPr>
                <w:bCs/>
              </w:rPr>
              <w:t xml:space="preserve"> personal el 27 de mayo de 2024, por lo que el término para recurrir el mandamiento de pago empezó a correr desde el 30 de mayo, contando los 2 días hábiles que otorga el artículo 8 de la Ley 1223 de 2022. De esta manera, se verifica que el recurso se podía presentar hasta el 4 de junio de 2024.</w:t>
            </w:r>
            <w:r>
              <w:rPr>
                <w:bCs/>
              </w:rPr>
              <w:t xml:space="preserve"> </w:t>
            </w:r>
            <w:r w:rsidRPr="00E421BE">
              <w:rPr>
                <w:bCs/>
              </w:rPr>
              <w:t xml:space="preserve">Sin embargo,  solo nos fue informada la notificación hasta el </w:t>
            </w:r>
            <w:r>
              <w:rPr>
                <w:bCs/>
              </w:rPr>
              <w:t>día</w:t>
            </w:r>
            <w:r w:rsidRPr="00E421BE">
              <w:rPr>
                <w:bCs/>
              </w:rPr>
              <w:t xml:space="preserve"> 06 de junio de 2024.</w:t>
            </w:r>
          </w:p>
          <w:p w14:paraId="7AB8C72C" w14:textId="77777777" w:rsidR="00E421BE" w:rsidRDefault="00E421BE" w:rsidP="00E421BE">
            <w:pPr>
              <w:jc w:val="both"/>
              <w:rPr>
                <w:bCs/>
              </w:rPr>
            </w:pPr>
          </w:p>
          <w:p w14:paraId="3FABD06B" w14:textId="1B082C6C" w:rsidR="002F288A" w:rsidRPr="00E421BE" w:rsidRDefault="00E421BE" w:rsidP="002F288A">
            <w:pPr>
              <w:rPr>
                <w:bCs/>
                <w:lang w:val="es-ES"/>
              </w:rPr>
            </w:pPr>
            <w:r>
              <w:rPr>
                <w:bCs/>
                <w:lang w:val="es-ES"/>
              </w:rPr>
              <w:t xml:space="preserve">No obstante, las excepciones de mérito sí se presentaron dentro del término y oportunidad, el 14 de junio de 2024. </w:t>
            </w:r>
          </w:p>
        </w:tc>
      </w:tr>
    </w:tbl>
    <w:p w14:paraId="459CD6CC" w14:textId="77777777" w:rsidR="00C5003E" w:rsidRDefault="00C5003E">
      <w:pPr>
        <w:rPr>
          <w:b/>
          <w:lang w:val="es-ES"/>
        </w:rPr>
      </w:pPr>
    </w:p>
    <w:p w14:paraId="337E918A" w14:textId="04281D27" w:rsidR="004846F6" w:rsidRPr="00C5003E" w:rsidRDefault="004846F6">
      <w:pPr>
        <w:rPr>
          <w:b/>
          <w:lang w:val="es-ES"/>
        </w:rPr>
      </w:pPr>
      <w:r>
        <w:rPr>
          <w:b/>
          <w:lang w:val="es-ES"/>
        </w:rPr>
        <w:t xml:space="preserve"> </w:t>
      </w:r>
    </w:p>
    <w:sectPr w:rsidR="004846F6" w:rsidRPr="00C5003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D0E9C"/>
    <w:multiLevelType w:val="hybridMultilevel"/>
    <w:tmpl w:val="1F926A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4B70C15"/>
    <w:multiLevelType w:val="multilevel"/>
    <w:tmpl w:val="53C8A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0C559E"/>
    <w:multiLevelType w:val="hybridMultilevel"/>
    <w:tmpl w:val="BD68CA7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61F4974"/>
    <w:multiLevelType w:val="hybridMultilevel"/>
    <w:tmpl w:val="383842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A1012BB"/>
    <w:multiLevelType w:val="hybridMultilevel"/>
    <w:tmpl w:val="42063E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10079382">
    <w:abstractNumId w:val="0"/>
  </w:num>
  <w:num w:numId="2" w16cid:durableId="143667955">
    <w:abstractNumId w:val="2"/>
  </w:num>
  <w:num w:numId="3" w16cid:durableId="674305438">
    <w:abstractNumId w:val="4"/>
  </w:num>
  <w:num w:numId="4" w16cid:durableId="1190333469">
    <w:abstractNumId w:val="3"/>
  </w:num>
  <w:num w:numId="5" w16cid:durableId="1792816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03E"/>
    <w:rsid w:val="000D4DC3"/>
    <w:rsid w:val="000E6363"/>
    <w:rsid w:val="001D6158"/>
    <w:rsid w:val="002C6DC4"/>
    <w:rsid w:val="002F288A"/>
    <w:rsid w:val="002F662D"/>
    <w:rsid w:val="00440CD6"/>
    <w:rsid w:val="00483AA0"/>
    <w:rsid w:val="004846F6"/>
    <w:rsid w:val="004A218C"/>
    <w:rsid w:val="004C5502"/>
    <w:rsid w:val="005C3285"/>
    <w:rsid w:val="006316AD"/>
    <w:rsid w:val="006E5DD5"/>
    <w:rsid w:val="0073314F"/>
    <w:rsid w:val="00766CE4"/>
    <w:rsid w:val="008F0ABC"/>
    <w:rsid w:val="00B01A84"/>
    <w:rsid w:val="00B80E3E"/>
    <w:rsid w:val="00C0390D"/>
    <w:rsid w:val="00C5003E"/>
    <w:rsid w:val="00CB46CA"/>
    <w:rsid w:val="00E421BE"/>
    <w:rsid w:val="00F46EC3"/>
    <w:rsid w:val="00FF77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DE49B"/>
  <w15:chartTrackingRefBased/>
  <w15:docId w15:val="{FACEC600-E1F8-4355-9FE9-234DCB39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50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3314F"/>
    <w:pPr>
      <w:ind w:left="720"/>
      <w:contextualSpacing/>
    </w:pPr>
  </w:style>
  <w:style w:type="paragraph" w:styleId="NormalWeb">
    <w:name w:val="Normal (Web)"/>
    <w:basedOn w:val="Normal"/>
    <w:uiPriority w:val="99"/>
    <w:semiHidden/>
    <w:unhideWhenUsed/>
    <w:rsid w:val="002C6DC4"/>
    <w:rPr>
      <w:rFonts w:ascii="Times New Roman" w:hAnsi="Times New Roman" w:cs="Times New Roman"/>
      <w:sz w:val="24"/>
      <w:szCs w:val="24"/>
    </w:rPr>
  </w:style>
  <w:style w:type="character" w:styleId="Refdecomentario">
    <w:name w:val="annotation reference"/>
    <w:basedOn w:val="Fuentedeprrafopredeter"/>
    <w:uiPriority w:val="99"/>
    <w:semiHidden/>
    <w:unhideWhenUsed/>
    <w:rsid w:val="002F662D"/>
    <w:rPr>
      <w:sz w:val="16"/>
      <w:szCs w:val="16"/>
    </w:rPr>
  </w:style>
  <w:style w:type="paragraph" w:styleId="Textocomentario">
    <w:name w:val="annotation text"/>
    <w:basedOn w:val="Normal"/>
    <w:link w:val="TextocomentarioCar"/>
    <w:uiPriority w:val="99"/>
    <w:semiHidden/>
    <w:unhideWhenUsed/>
    <w:rsid w:val="002F662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F662D"/>
    <w:rPr>
      <w:sz w:val="20"/>
      <w:szCs w:val="20"/>
    </w:rPr>
  </w:style>
  <w:style w:type="paragraph" w:styleId="Asuntodelcomentario">
    <w:name w:val="annotation subject"/>
    <w:basedOn w:val="Textocomentario"/>
    <w:next w:val="Textocomentario"/>
    <w:link w:val="AsuntodelcomentarioCar"/>
    <w:uiPriority w:val="99"/>
    <w:semiHidden/>
    <w:unhideWhenUsed/>
    <w:rsid w:val="002F662D"/>
    <w:rPr>
      <w:b/>
      <w:bCs/>
    </w:rPr>
  </w:style>
  <w:style w:type="character" w:customStyle="1" w:styleId="AsuntodelcomentarioCar">
    <w:name w:val="Asunto del comentario Car"/>
    <w:basedOn w:val="TextocomentarioCar"/>
    <w:link w:val="Asuntodelcomentario"/>
    <w:uiPriority w:val="99"/>
    <w:semiHidden/>
    <w:rsid w:val="002F662D"/>
    <w:rPr>
      <w:b/>
      <w:bCs/>
      <w:sz w:val="20"/>
      <w:szCs w:val="20"/>
    </w:rPr>
  </w:style>
  <w:style w:type="paragraph" w:styleId="Textodeglobo">
    <w:name w:val="Balloon Text"/>
    <w:basedOn w:val="Normal"/>
    <w:link w:val="TextodegloboCar"/>
    <w:uiPriority w:val="99"/>
    <w:semiHidden/>
    <w:unhideWhenUsed/>
    <w:rsid w:val="002F662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662D"/>
    <w:rPr>
      <w:rFonts w:ascii="Segoe UI" w:hAnsi="Segoe UI" w:cs="Segoe UI"/>
      <w:sz w:val="18"/>
      <w:szCs w:val="18"/>
    </w:rPr>
  </w:style>
  <w:style w:type="paragraph" w:styleId="Revisin">
    <w:name w:val="Revision"/>
    <w:hidden/>
    <w:uiPriority w:val="99"/>
    <w:semiHidden/>
    <w:rsid w:val="00B80E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01778">
      <w:bodyDiv w:val="1"/>
      <w:marLeft w:val="0"/>
      <w:marRight w:val="0"/>
      <w:marTop w:val="0"/>
      <w:marBottom w:val="0"/>
      <w:divBdr>
        <w:top w:val="none" w:sz="0" w:space="0" w:color="auto"/>
        <w:left w:val="none" w:sz="0" w:space="0" w:color="auto"/>
        <w:bottom w:val="none" w:sz="0" w:space="0" w:color="auto"/>
        <w:right w:val="none" w:sz="0" w:space="0" w:color="auto"/>
      </w:divBdr>
    </w:div>
    <w:div w:id="485129877">
      <w:bodyDiv w:val="1"/>
      <w:marLeft w:val="0"/>
      <w:marRight w:val="0"/>
      <w:marTop w:val="0"/>
      <w:marBottom w:val="0"/>
      <w:divBdr>
        <w:top w:val="none" w:sz="0" w:space="0" w:color="auto"/>
        <w:left w:val="none" w:sz="0" w:space="0" w:color="auto"/>
        <w:bottom w:val="none" w:sz="0" w:space="0" w:color="auto"/>
        <w:right w:val="none" w:sz="0" w:space="0" w:color="auto"/>
      </w:divBdr>
    </w:div>
    <w:div w:id="721439278">
      <w:bodyDiv w:val="1"/>
      <w:marLeft w:val="0"/>
      <w:marRight w:val="0"/>
      <w:marTop w:val="0"/>
      <w:marBottom w:val="0"/>
      <w:divBdr>
        <w:top w:val="none" w:sz="0" w:space="0" w:color="auto"/>
        <w:left w:val="none" w:sz="0" w:space="0" w:color="auto"/>
        <w:bottom w:val="none" w:sz="0" w:space="0" w:color="auto"/>
        <w:right w:val="none" w:sz="0" w:space="0" w:color="auto"/>
      </w:divBdr>
      <w:divsChild>
        <w:div w:id="1188255521">
          <w:marLeft w:val="0"/>
          <w:marRight w:val="0"/>
          <w:marTop w:val="0"/>
          <w:marBottom w:val="0"/>
          <w:divBdr>
            <w:top w:val="none" w:sz="0" w:space="0" w:color="auto"/>
            <w:left w:val="none" w:sz="0" w:space="0" w:color="auto"/>
            <w:bottom w:val="none" w:sz="0" w:space="0" w:color="auto"/>
            <w:right w:val="none" w:sz="0" w:space="0" w:color="auto"/>
          </w:divBdr>
          <w:divsChild>
            <w:div w:id="41636361">
              <w:marLeft w:val="0"/>
              <w:marRight w:val="0"/>
              <w:marTop w:val="0"/>
              <w:marBottom w:val="0"/>
              <w:divBdr>
                <w:top w:val="none" w:sz="0" w:space="0" w:color="auto"/>
                <w:left w:val="none" w:sz="0" w:space="0" w:color="auto"/>
                <w:bottom w:val="none" w:sz="0" w:space="0" w:color="auto"/>
                <w:right w:val="none" w:sz="0" w:space="0" w:color="auto"/>
              </w:divBdr>
              <w:divsChild>
                <w:div w:id="20099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17790">
      <w:bodyDiv w:val="1"/>
      <w:marLeft w:val="0"/>
      <w:marRight w:val="0"/>
      <w:marTop w:val="0"/>
      <w:marBottom w:val="0"/>
      <w:divBdr>
        <w:top w:val="none" w:sz="0" w:space="0" w:color="auto"/>
        <w:left w:val="none" w:sz="0" w:space="0" w:color="auto"/>
        <w:bottom w:val="none" w:sz="0" w:space="0" w:color="auto"/>
        <w:right w:val="none" w:sz="0" w:space="0" w:color="auto"/>
      </w:divBdr>
    </w:div>
    <w:div w:id="2081168528">
      <w:bodyDiv w:val="1"/>
      <w:marLeft w:val="0"/>
      <w:marRight w:val="0"/>
      <w:marTop w:val="0"/>
      <w:marBottom w:val="0"/>
      <w:divBdr>
        <w:top w:val="none" w:sz="0" w:space="0" w:color="auto"/>
        <w:left w:val="none" w:sz="0" w:space="0" w:color="auto"/>
        <w:bottom w:val="none" w:sz="0" w:space="0" w:color="auto"/>
        <w:right w:val="none" w:sz="0" w:space="0" w:color="auto"/>
      </w:divBdr>
      <w:divsChild>
        <w:div w:id="631592245">
          <w:marLeft w:val="0"/>
          <w:marRight w:val="0"/>
          <w:marTop w:val="0"/>
          <w:marBottom w:val="0"/>
          <w:divBdr>
            <w:top w:val="none" w:sz="0" w:space="0" w:color="auto"/>
            <w:left w:val="none" w:sz="0" w:space="0" w:color="auto"/>
            <w:bottom w:val="none" w:sz="0" w:space="0" w:color="auto"/>
            <w:right w:val="none" w:sz="0" w:space="0" w:color="auto"/>
          </w:divBdr>
          <w:divsChild>
            <w:div w:id="1544098912">
              <w:marLeft w:val="0"/>
              <w:marRight w:val="0"/>
              <w:marTop w:val="0"/>
              <w:marBottom w:val="0"/>
              <w:divBdr>
                <w:top w:val="none" w:sz="0" w:space="0" w:color="auto"/>
                <w:left w:val="none" w:sz="0" w:space="0" w:color="auto"/>
                <w:bottom w:val="none" w:sz="0" w:space="0" w:color="auto"/>
                <w:right w:val="none" w:sz="0" w:space="0" w:color="auto"/>
              </w:divBdr>
              <w:divsChild>
                <w:div w:id="187164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D393833B186944A0A837CB0070EACA" ma:contentTypeVersion="15" ma:contentTypeDescription="Crear nuevo documento." ma:contentTypeScope="" ma:versionID="5e0314642b029ee940c6c2581398bbf3">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bd48be0d94f8e87ec7bd241daf70fe28"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936885-FCDC-4172-877D-B9698747E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5D4546-3978-475D-85E3-D279B756F410}">
  <ds:schemaRefs>
    <ds:schemaRef ds:uri="http://schemas.microsoft.com/sharepoint/v3/contenttype/forms"/>
  </ds:schemaRefs>
</ds:datastoreItem>
</file>

<file path=customXml/itemProps3.xml><?xml version="1.0" encoding="utf-8"?>
<ds:datastoreItem xmlns:ds="http://schemas.openxmlformats.org/officeDocument/2006/customXml" ds:itemID="{0DF83186-5055-4D07-9259-13D8ADFB1EA7}">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940</Words>
  <Characters>5176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Amado,Andrea</dc:creator>
  <cp:keywords/>
  <dc:description/>
  <cp:lastModifiedBy>luisa perez</cp:lastModifiedBy>
  <cp:revision>3</cp:revision>
  <dcterms:created xsi:type="dcterms:W3CDTF">2024-06-17T20:38:00Z</dcterms:created>
  <dcterms:modified xsi:type="dcterms:W3CDTF">2024-06-17T20:52:00Z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