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8A49E" w14:textId="77777777" w:rsidR="008C246E" w:rsidRDefault="008C246E" w:rsidP="00BF2F75">
      <w:pPr>
        <w:tabs>
          <w:tab w:val="left" w:pos="5626"/>
        </w:tabs>
        <w:spacing w:line="276" w:lineRule="auto"/>
      </w:pPr>
      <w:r>
        <w:t xml:space="preserve">Señores: </w:t>
      </w:r>
    </w:p>
    <w:p w14:paraId="7A4EECA3" w14:textId="77777777" w:rsidR="00050E1D" w:rsidRDefault="00050E1D" w:rsidP="00BF2F75">
      <w:pPr>
        <w:tabs>
          <w:tab w:val="left" w:pos="5626"/>
        </w:tabs>
        <w:spacing w:line="276" w:lineRule="auto"/>
      </w:pPr>
    </w:p>
    <w:p w14:paraId="43369C5F" w14:textId="77777777" w:rsidR="008C246E" w:rsidRPr="008C246E" w:rsidRDefault="008C246E" w:rsidP="00BF2F75">
      <w:pPr>
        <w:tabs>
          <w:tab w:val="left" w:pos="5626"/>
        </w:tabs>
        <w:spacing w:line="276" w:lineRule="auto"/>
        <w:rPr>
          <w:b/>
          <w:bCs/>
        </w:rPr>
      </w:pPr>
      <w:r w:rsidRPr="008C246E">
        <w:rPr>
          <w:b/>
          <w:bCs/>
        </w:rPr>
        <w:t xml:space="preserve">Liga Norte Santandereana de Gimnasia. </w:t>
      </w:r>
    </w:p>
    <w:p w14:paraId="719B66E3" w14:textId="77777777" w:rsidR="008C246E" w:rsidRPr="008C246E" w:rsidRDefault="008C246E" w:rsidP="00BF2F75">
      <w:pPr>
        <w:tabs>
          <w:tab w:val="left" w:pos="5626"/>
        </w:tabs>
        <w:spacing w:line="276" w:lineRule="auto"/>
        <w:rPr>
          <w:b/>
          <w:bCs/>
          <w:lang w:val="it-IT"/>
        </w:rPr>
      </w:pPr>
      <w:r w:rsidRPr="008C246E">
        <w:rPr>
          <w:b/>
          <w:bCs/>
          <w:lang w:val="it-IT"/>
        </w:rPr>
        <w:t xml:space="preserve">Atn. Jairo Alberto Cadena Nossa. </w:t>
      </w:r>
    </w:p>
    <w:p w14:paraId="79586794" w14:textId="77777777" w:rsidR="008C246E" w:rsidRPr="008C246E" w:rsidRDefault="008C246E" w:rsidP="00BF2F75">
      <w:pPr>
        <w:tabs>
          <w:tab w:val="left" w:pos="5626"/>
        </w:tabs>
        <w:spacing w:line="276" w:lineRule="auto"/>
        <w:rPr>
          <w:b/>
          <w:bCs/>
        </w:rPr>
      </w:pPr>
      <w:r w:rsidRPr="008C246E">
        <w:rPr>
          <w:b/>
          <w:bCs/>
        </w:rPr>
        <w:t xml:space="preserve">Presidente. </w:t>
      </w:r>
    </w:p>
    <w:p w14:paraId="101E963F" w14:textId="77777777" w:rsidR="008C246E" w:rsidRDefault="008C246E" w:rsidP="00BF2F75">
      <w:pPr>
        <w:tabs>
          <w:tab w:val="left" w:pos="5626"/>
        </w:tabs>
        <w:spacing w:line="276" w:lineRule="auto"/>
      </w:pPr>
      <w:r>
        <w:t xml:space="preserve">Calle 14 AN No. 4A – 59 </w:t>
      </w:r>
    </w:p>
    <w:p w14:paraId="60C70C66" w14:textId="77777777" w:rsidR="008C246E" w:rsidRDefault="008C246E" w:rsidP="00BF2F75">
      <w:pPr>
        <w:tabs>
          <w:tab w:val="left" w:pos="5626"/>
        </w:tabs>
        <w:spacing w:line="276" w:lineRule="auto"/>
      </w:pPr>
      <w:r>
        <w:t>Teléfono: 310 7782930</w:t>
      </w:r>
    </w:p>
    <w:p w14:paraId="0C0BDE80" w14:textId="146719EA" w:rsidR="008C246E" w:rsidRDefault="008C246E" w:rsidP="00BF2F75">
      <w:pPr>
        <w:tabs>
          <w:tab w:val="left" w:pos="5626"/>
        </w:tabs>
        <w:spacing w:line="276" w:lineRule="auto"/>
      </w:pPr>
      <w:r>
        <w:t xml:space="preserve">Email: </w:t>
      </w:r>
      <w:hyperlink r:id="rId8" w:history="1">
        <w:r w:rsidR="00050E1D" w:rsidRPr="002F7237">
          <w:rPr>
            <w:rStyle w:val="Hipervnculo"/>
          </w:rPr>
          <w:t>linorsagym@gmail.com</w:t>
        </w:r>
      </w:hyperlink>
      <w:r w:rsidR="00050E1D">
        <w:t xml:space="preserve"> </w:t>
      </w:r>
      <w:r>
        <w:t xml:space="preserve"> </w:t>
      </w:r>
    </w:p>
    <w:p w14:paraId="0EA30E1F" w14:textId="77777777" w:rsidR="008C246E" w:rsidRDefault="008C246E" w:rsidP="00BF2F75">
      <w:pPr>
        <w:tabs>
          <w:tab w:val="left" w:pos="5626"/>
        </w:tabs>
        <w:spacing w:line="276" w:lineRule="auto"/>
      </w:pPr>
      <w:r>
        <w:t xml:space="preserve">Atn. Jairo Alberto Cadena Romero. </w:t>
      </w:r>
    </w:p>
    <w:p w14:paraId="548EBE15" w14:textId="77777777" w:rsidR="008C246E" w:rsidRDefault="008C246E" w:rsidP="00BF2F75">
      <w:pPr>
        <w:tabs>
          <w:tab w:val="left" w:pos="5626"/>
        </w:tabs>
        <w:spacing w:line="276" w:lineRule="auto"/>
      </w:pPr>
      <w:r>
        <w:t xml:space="preserve">Apoderado Especial. </w:t>
      </w:r>
    </w:p>
    <w:p w14:paraId="58B9F769" w14:textId="77777777" w:rsidR="008C246E" w:rsidRDefault="008C246E" w:rsidP="00BF2F75">
      <w:pPr>
        <w:tabs>
          <w:tab w:val="left" w:pos="5626"/>
        </w:tabs>
        <w:spacing w:line="276" w:lineRule="auto"/>
      </w:pPr>
      <w:r>
        <w:t>Avenida 2 No. 1A – 60 Torre C Apto 802</w:t>
      </w:r>
    </w:p>
    <w:p w14:paraId="359A1C85" w14:textId="77777777" w:rsidR="008C246E" w:rsidRDefault="008C246E" w:rsidP="00BF2F75">
      <w:pPr>
        <w:tabs>
          <w:tab w:val="left" w:pos="5626"/>
        </w:tabs>
        <w:spacing w:line="276" w:lineRule="auto"/>
      </w:pPr>
      <w:r>
        <w:t xml:space="preserve">Conjunto Santa Catalina. </w:t>
      </w:r>
    </w:p>
    <w:p w14:paraId="1576E746" w14:textId="77777777" w:rsidR="008C246E" w:rsidRDefault="008C246E" w:rsidP="00BF2F75">
      <w:pPr>
        <w:tabs>
          <w:tab w:val="left" w:pos="5626"/>
        </w:tabs>
        <w:spacing w:line="276" w:lineRule="auto"/>
      </w:pPr>
      <w:r>
        <w:t xml:space="preserve">Teléfono: 310 3199864 </w:t>
      </w:r>
    </w:p>
    <w:p w14:paraId="61125466" w14:textId="0F9976AB" w:rsidR="008C246E" w:rsidRDefault="008C246E" w:rsidP="00BF2F75">
      <w:pPr>
        <w:tabs>
          <w:tab w:val="left" w:pos="5626"/>
        </w:tabs>
        <w:spacing w:line="276" w:lineRule="auto"/>
      </w:pPr>
      <w:r>
        <w:t xml:space="preserve">Email: </w:t>
      </w:r>
      <w:hyperlink r:id="rId9" w:history="1">
        <w:r w:rsidRPr="002D7D52">
          <w:rPr>
            <w:rStyle w:val="Hipervnculo"/>
          </w:rPr>
          <w:t>cadenaconsultoresabogados@gmail.com</w:t>
        </w:r>
      </w:hyperlink>
      <w:r>
        <w:t xml:space="preserve"> </w:t>
      </w:r>
    </w:p>
    <w:p w14:paraId="63D00A6A" w14:textId="0D932580" w:rsidR="004214DA" w:rsidRPr="00981BBF" w:rsidRDefault="008C246E" w:rsidP="00BF2F75">
      <w:pPr>
        <w:tabs>
          <w:tab w:val="left" w:pos="5626"/>
        </w:tabs>
        <w:spacing w:line="276" w:lineRule="auto"/>
        <w:rPr>
          <w:rFonts w:ascii="Arial" w:hAnsi="Arial" w:cs="Arial"/>
          <w:lang w:val="es-CO"/>
        </w:rPr>
      </w:pPr>
      <w:r>
        <w:t>San José de Cúcuta – Norte de Santander.</w:t>
      </w:r>
    </w:p>
    <w:p w14:paraId="25CFFB20" w14:textId="77777777" w:rsidR="004214DA" w:rsidRPr="00981BBF" w:rsidRDefault="004214DA" w:rsidP="00BF2F75">
      <w:pPr>
        <w:tabs>
          <w:tab w:val="left" w:pos="5626"/>
        </w:tabs>
        <w:spacing w:line="276" w:lineRule="auto"/>
        <w:rPr>
          <w:rFonts w:ascii="Arial" w:hAnsi="Arial" w:cs="Arial"/>
          <w:b/>
          <w:bCs/>
          <w:lang w:val="es-CO"/>
        </w:rPr>
      </w:pPr>
    </w:p>
    <w:p w14:paraId="0CA158F2" w14:textId="77777777" w:rsidR="004214DA" w:rsidRPr="00981BBF" w:rsidRDefault="004214DA" w:rsidP="00BF2F75">
      <w:pPr>
        <w:tabs>
          <w:tab w:val="left" w:pos="5626"/>
        </w:tabs>
        <w:spacing w:line="276" w:lineRule="auto"/>
        <w:rPr>
          <w:rFonts w:ascii="Arial" w:hAnsi="Arial" w:cs="Arial"/>
          <w:b/>
          <w:bCs/>
          <w:lang w:val="es-CO"/>
        </w:rPr>
      </w:pPr>
    </w:p>
    <w:p w14:paraId="1590BFAA" w14:textId="251C478A" w:rsidR="00410A1E" w:rsidRDefault="002B4E0F" w:rsidP="002B4E0F">
      <w:pPr>
        <w:tabs>
          <w:tab w:val="left" w:pos="5626"/>
        </w:tabs>
        <w:spacing w:line="276" w:lineRule="auto"/>
        <w:jc w:val="both"/>
      </w:pPr>
      <w:r>
        <w:t>La Gerencia de Indemnizaciones Seguros Generales de Aseguradora Solidaria de Colombia le saluda y acusa el recibo de su solicitud de reconsideración</w:t>
      </w:r>
      <w:r>
        <w:rPr>
          <w:rFonts w:ascii="Arial" w:hAnsi="Arial" w:cs="Arial"/>
        </w:rPr>
        <w:t xml:space="preserve"> por </w:t>
      </w:r>
      <w:r w:rsidRPr="00D4101B">
        <w:rPr>
          <w:rFonts w:ascii="Arial" w:hAnsi="Arial" w:cs="Arial"/>
        </w:rPr>
        <w:t xml:space="preserve">la objeción enviada frente </w:t>
      </w:r>
      <w:r>
        <w:rPr>
          <w:rFonts w:ascii="Arial" w:hAnsi="Arial" w:cs="Arial"/>
        </w:rPr>
        <w:t xml:space="preserve">a la </w:t>
      </w:r>
      <w:r>
        <w:t xml:space="preserve">reclamación formal de pago </w:t>
      </w:r>
      <w:r w:rsidR="00453F05">
        <w:t>de sumas aseguradas en</w:t>
      </w:r>
      <w:r>
        <w:t xml:space="preserve"> la Póliza No. 475-74-994000010524, </w:t>
      </w:r>
      <w:r w:rsidR="00453F05">
        <w:t xml:space="preserve">la </w:t>
      </w:r>
      <w:r>
        <w:t>Póliza No. 475-83-994000000077 o cualquier otra que cubra los daños de los elementos deportivos y otros de la Liga Norte Santandereana de Gimnasia por el incendio sucedido el 11 de diciembre de 2023 en el coliseo menor Eustorgio Colmenares Baptista de la ciudad de Cúcuta</w:t>
      </w:r>
      <w:r w:rsidR="00410A1E">
        <w:t>.</w:t>
      </w:r>
      <w:r w:rsidR="00D35DB9">
        <w:t xml:space="preserve"> </w:t>
      </w:r>
      <w:r w:rsidR="00410A1E">
        <w:t>Así pues,</w:t>
      </w:r>
      <w:r w:rsidR="00453F05">
        <w:t xml:space="preserve"> realizado el análisis,</w:t>
      </w:r>
      <w:r w:rsidR="00B3785B">
        <w:t xml:space="preserve"> manifesta</w:t>
      </w:r>
      <w:r w:rsidR="00453F05">
        <w:t xml:space="preserve">mos </w:t>
      </w:r>
      <w:r w:rsidR="00B3785B">
        <w:t>que no se da cumplimiento a los presupuestos necesarios para modificar la posición de esta asegurado</w:t>
      </w:r>
      <w:r w:rsidR="00453F05">
        <w:t>ra y la misma no variará por las motivaciones ya expuestas en la objeción primera y por los siguientes motivos:</w:t>
      </w:r>
    </w:p>
    <w:p w14:paraId="4F5CB3E8" w14:textId="77777777" w:rsidR="00410A1E" w:rsidRDefault="00410A1E" w:rsidP="002B4E0F">
      <w:pPr>
        <w:tabs>
          <w:tab w:val="left" w:pos="5626"/>
        </w:tabs>
        <w:spacing w:line="276" w:lineRule="auto"/>
        <w:jc w:val="both"/>
      </w:pPr>
    </w:p>
    <w:p w14:paraId="6FE833A1" w14:textId="30B1AE98" w:rsidR="00750F39" w:rsidRDefault="00750F39" w:rsidP="00F50955">
      <w:pPr>
        <w:pStyle w:val="Prrafodelista"/>
        <w:numPr>
          <w:ilvl w:val="0"/>
          <w:numId w:val="22"/>
        </w:numPr>
        <w:tabs>
          <w:tab w:val="left" w:pos="5626"/>
        </w:tabs>
        <w:spacing w:line="276" w:lineRule="auto"/>
        <w:jc w:val="both"/>
      </w:pPr>
      <w:r>
        <w:t xml:space="preserve">Que El INSTITUTO MUNICIPAL PARA LA RECREACIÓN Y EL DEPORTE – </w:t>
      </w:r>
      <w:r w:rsidR="00D35DB9">
        <w:t xml:space="preserve">en adelante </w:t>
      </w:r>
      <w:r>
        <w:t>IMRD</w:t>
      </w:r>
      <w:r w:rsidR="00D35DB9">
        <w:t xml:space="preserve"> </w:t>
      </w:r>
      <w:r>
        <w:t xml:space="preserve">en calidad de contratante y el CONSORCIO KAIROS EUSTORGIO en calidad de contratista celebraron el contrato de obra No. LP-001-2023 del 27 de julio de 2023. El objeto contractual consiste en la adecuación de </w:t>
      </w:r>
      <w:r w:rsidR="00453F05">
        <w:t>C</w:t>
      </w:r>
      <w:r>
        <w:t xml:space="preserve">omplejo </w:t>
      </w:r>
      <w:r w:rsidR="00453F05">
        <w:t>D</w:t>
      </w:r>
      <w:r>
        <w:t>eportivo Eustorgio Colmenares, San José de Cúcuta, Norte de Santander.</w:t>
      </w:r>
    </w:p>
    <w:p w14:paraId="1BE391A9" w14:textId="77777777" w:rsidR="00750F39" w:rsidRDefault="00750F39" w:rsidP="002B4E0F">
      <w:pPr>
        <w:tabs>
          <w:tab w:val="left" w:pos="5626"/>
        </w:tabs>
        <w:spacing w:line="276" w:lineRule="auto"/>
        <w:jc w:val="both"/>
      </w:pPr>
    </w:p>
    <w:p w14:paraId="62CA7CC4" w14:textId="6920C338" w:rsidR="00AB2B22" w:rsidRDefault="00750F39" w:rsidP="00F50955">
      <w:pPr>
        <w:pStyle w:val="Prrafodelista"/>
        <w:numPr>
          <w:ilvl w:val="0"/>
          <w:numId w:val="22"/>
        </w:numPr>
        <w:tabs>
          <w:tab w:val="left" w:pos="5626"/>
        </w:tabs>
        <w:spacing w:line="276" w:lineRule="auto"/>
        <w:jc w:val="both"/>
      </w:pPr>
      <w:r>
        <w:t xml:space="preserve">Que </w:t>
      </w:r>
      <w:r w:rsidR="002B4E0F">
        <w:t xml:space="preserve">Aseguradora Solidaria de Colombia, </w:t>
      </w:r>
      <w:r w:rsidR="00B3785B">
        <w:t>expidió Póliza de Garantía única de Cumplimiento en Favor de Entidades Estatales para particulares, instrumentalizada en la póliza No.475-47-994000061296.</w:t>
      </w:r>
      <w:r w:rsidR="000F76F8">
        <w:t xml:space="preserve"> Teniendo como </w:t>
      </w:r>
      <w:r w:rsidR="00453F05">
        <w:t>tomador</w:t>
      </w:r>
      <w:r w:rsidR="000F76F8">
        <w:t xml:space="preserve"> a</w:t>
      </w:r>
      <w:r w:rsidR="00453F05">
        <w:t xml:space="preserve">l </w:t>
      </w:r>
      <w:r w:rsidR="000F76F8">
        <w:t xml:space="preserve">contratista CONSORCIO KAIROS EUSTORGIO. </w:t>
      </w:r>
      <w:r w:rsidR="00AB2B22" w:rsidRPr="00AB2B22">
        <w:t xml:space="preserve">En las condiciones particulares de la póliza se incluyó el siguiente </w:t>
      </w:r>
      <w:r w:rsidR="00453F05">
        <w:t xml:space="preserve">riesgo </w:t>
      </w:r>
      <w:r w:rsidR="00AB2B22" w:rsidRPr="00AB2B22">
        <w:t>asegurable:</w:t>
      </w:r>
    </w:p>
    <w:p w14:paraId="0D2146EB" w14:textId="77777777" w:rsidR="00AB2B22" w:rsidRDefault="00AB2B22" w:rsidP="00AB2B22">
      <w:pPr>
        <w:pStyle w:val="Prrafodelista"/>
      </w:pPr>
    </w:p>
    <w:p w14:paraId="59EC1407" w14:textId="4A9320DA" w:rsidR="00B3785B" w:rsidRPr="00A41294" w:rsidRDefault="00AB2B22" w:rsidP="00AB2B22">
      <w:pPr>
        <w:pStyle w:val="Prrafodelista"/>
        <w:tabs>
          <w:tab w:val="left" w:pos="5626"/>
        </w:tabs>
        <w:spacing w:line="276" w:lineRule="auto"/>
        <w:ind w:left="1416" w:right="851"/>
        <w:jc w:val="both"/>
        <w:rPr>
          <w:i/>
          <w:iCs/>
          <w:sz w:val="20"/>
          <w:szCs w:val="20"/>
        </w:rPr>
      </w:pPr>
      <w:r w:rsidRPr="00A41294">
        <w:rPr>
          <w:i/>
          <w:iCs/>
          <w:sz w:val="20"/>
          <w:szCs w:val="20"/>
        </w:rPr>
        <w:t>“GARANTIZAR EL PAGO DE LOS PERJUICIOS DERIVADOS DEL INCUMPLIMIENTO DE LAS OBLIGACIONES A CARGO DEL CONTRATISTA DERIVADAS DE CONTRATO NO. LP-001-2023 DEL 27 DE JULIO DE 2023.”</w:t>
      </w:r>
    </w:p>
    <w:p w14:paraId="089706F2" w14:textId="77777777" w:rsidR="000F76F8" w:rsidRDefault="000F76F8" w:rsidP="000F76F8">
      <w:pPr>
        <w:pStyle w:val="Prrafodelista"/>
      </w:pPr>
    </w:p>
    <w:p w14:paraId="3A38B018" w14:textId="47160B7E" w:rsidR="000A6991" w:rsidRDefault="000A6991" w:rsidP="00F50955">
      <w:pPr>
        <w:pStyle w:val="Prrafodelista"/>
        <w:numPr>
          <w:ilvl w:val="0"/>
          <w:numId w:val="22"/>
        </w:numPr>
        <w:tabs>
          <w:tab w:val="left" w:pos="5626"/>
        </w:tabs>
        <w:spacing w:line="276" w:lineRule="auto"/>
        <w:jc w:val="both"/>
      </w:pPr>
      <w:r>
        <w:t xml:space="preserve">Que </w:t>
      </w:r>
      <w:r w:rsidR="00453F05">
        <w:t xml:space="preserve">la </w:t>
      </w:r>
      <w:r>
        <w:t xml:space="preserve">Aseguradora Solidaria de Colombia, expidió, pólizas de Responsabilidad Civil Extracontractual No. 475-74-994000010524 y No. 475-83-994000000077, que se derivan </w:t>
      </w:r>
      <w:r w:rsidRPr="000A6991">
        <w:t>de la Póliza de Seguro de Cumplimiento del contrato No. LP-001-2023 del 27 de julio de 2023</w:t>
      </w:r>
      <w:r>
        <w:t>.</w:t>
      </w:r>
      <w:r w:rsidR="00AB2B22" w:rsidRPr="00AB2B22">
        <w:t xml:space="preserve"> </w:t>
      </w:r>
      <w:r w:rsidR="00AB2B22">
        <w:t xml:space="preserve">Teniendo a la firma contratista CONSORCIO KAIROS en calidad de tomador y al INSTITUTO MUNICIPAL PARA LA RECREACIÓN Y EL DEPORTE – IMRD como </w:t>
      </w:r>
      <w:r w:rsidR="00A41294">
        <w:t>asegurado.</w:t>
      </w:r>
      <w:r w:rsidR="00A41294" w:rsidRPr="00AB2B22">
        <w:t xml:space="preserve"> En</w:t>
      </w:r>
      <w:r w:rsidR="00AB2B22" w:rsidRPr="00AB2B22">
        <w:t xml:space="preserve"> las condiciones particulares de la póliza se incluyó el siguiente </w:t>
      </w:r>
      <w:r w:rsidR="00453F05">
        <w:t>riesgo</w:t>
      </w:r>
      <w:r w:rsidR="00AB2B22" w:rsidRPr="00AB2B22">
        <w:t xml:space="preserve"> asegurable:</w:t>
      </w:r>
    </w:p>
    <w:p w14:paraId="1503A1FC" w14:textId="77777777" w:rsidR="00AB2B22" w:rsidRDefault="00AB2B22" w:rsidP="00AB2B22">
      <w:pPr>
        <w:pStyle w:val="Prrafodelista"/>
      </w:pPr>
    </w:p>
    <w:p w14:paraId="24CAD96B" w14:textId="2FA1C456" w:rsidR="00AB2B22" w:rsidRPr="00A41294" w:rsidRDefault="00AB2B22" w:rsidP="00AB2B22">
      <w:pPr>
        <w:pStyle w:val="Prrafodelista"/>
        <w:tabs>
          <w:tab w:val="left" w:pos="5626"/>
        </w:tabs>
        <w:spacing w:line="276" w:lineRule="auto"/>
        <w:ind w:left="851" w:right="851"/>
        <w:jc w:val="both"/>
        <w:rPr>
          <w:i/>
          <w:iCs/>
          <w:sz w:val="20"/>
          <w:szCs w:val="20"/>
        </w:rPr>
      </w:pPr>
      <w:r w:rsidRPr="00A41294">
        <w:rPr>
          <w:i/>
          <w:iCs/>
          <w:sz w:val="20"/>
          <w:szCs w:val="20"/>
        </w:rPr>
        <w:t xml:space="preserve">“AMPARAR LA RESPONSABILIDAD CIVIL EXTRACONTRACTUAL DERIVADA DE CONTRATO No. LP - 001 - 2023 DE FECHA 27 DE JULIO DE 2023 CELEBRADO ENTRE </w:t>
      </w:r>
      <w:r w:rsidRPr="00A41294">
        <w:rPr>
          <w:i/>
          <w:iCs/>
          <w:sz w:val="20"/>
          <w:szCs w:val="20"/>
        </w:rPr>
        <w:lastRenderedPageBreak/>
        <w:t>LAS PARTES, RELACIONADO CON ADECUACION DE COMPLEJO DEPORTIVO EUSTORGIO COLMENARES, SAN JOSÉ DE CÚCUTA, NORTE DE SANTANDER.</w:t>
      </w:r>
    </w:p>
    <w:p w14:paraId="50C9420F" w14:textId="77777777" w:rsidR="00B3785B" w:rsidRDefault="00B3785B" w:rsidP="00B3785B">
      <w:pPr>
        <w:ind w:left="360"/>
      </w:pPr>
    </w:p>
    <w:p w14:paraId="2511A40B" w14:textId="77777777" w:rsidR="00B3785B" w:rsidRDefault="00B3785B" w:rsidP="00B3785B">
      <w:pPr>
        <w:tabs>
          <w:tab w:val="left" w:pos="5626"/>
        </w:tabs>
        <w:spacing w:line="276" w:lineRule="auto"/>
        <w:jc w:val="both"/>
      </w:pPr>
    </w:p>
    <w:p w14:paraId="5E116BA5" w14:textId="73C2F7D3" w:rsidR="0045471E" w:rsidRPr="005A259C" w:rsidRDefault="0045471E" w:rsidP="00F50955">
      <w:pPr>
        <w:pStyle w:val="Prrafodelista"/>
        <w:numPr>
          <w:ilvl w:val="0"/>
          <w:numId w:val="22"/>
        </w:numPr>
        <w:tabs>
          <w:tab w:val="left" w:pos="5626"/>
        </w:tabs>
        <w:spacing w:line="360" w:lineRule="auto"/>
        <w:jc w:val="both"/>
      </w:pPr>
      <w:r w:rsidRPr="005A259C">
        <w:t>Que en la Póliza Seguro de Responsabilidad Civil Extracontractual No. 475-74-994000010524,</w:t>
      </w:r>
      <w:r w:rsidR="00765A72" w:rsidRPr="005A259C">
        <w:t xml:space="preserve"> hacen parte del contrato de seguro </w:t>
      </w:r>
      <w:r w:rsidRPr="005A259C">
        <w:t xml:space="preserve">el </w:t>
      </w:r>
      <w:r w:rsidR="00765A72" w:rsidRPr="005A259C">
        <w:t>Consorcio Kairos</w:t>
      </w:r>
      <w:r w:rsidRPr="005A259C">
        <w:t>,</w:t>
      </w:r>
      <w:r w:rsidR="00765A72" w:rsidRPr="005A259C">
        <w:t xml:space="preserve"> en calidad de toma</w:t>
      </w:r>
      <w:r w:rsidR="00453F05">
        <w:t>do</w:t>
      </w:r>
      <w:r w:rsidR="00765A72" w:rsidRPr="005A259C">
        <w:t>r del seguro, y la Aseguradora Solidaria de Colombia, en calidad de asegurador, en ese sentido</w:t>
      </w:r>
      <w:r w:rsidR="00453F05">
        <w:t>,</w:t>
      </w:r>
      <w:r w:rsidR="00765A72" w:rsidRPr="005A259C">
        <w:t xml:space="preserve"> ni el asegurado</w:t>
      </w:r>
      <w:r w:rsidR="00453F05">
        <w:t xml:space="preserve"> (titular del interés asegurable),</w:t>
      </w:r>
      <w:r w:rsidR="00765A72" w:rsidRPr="005A259C">
        <w:t xml:space="preserve"> ni los terceros beneficiarios hacen parte del contrato de seguro a voces del precepto normativo previamente citado.</w:t>
      </w:r>
    </w:p>
    <w:p w14:paraId="77FF3CF0" w14:textId="77777777" w:rsidR="002B4E0F" w:rsidRDefault="002B4E0F" w:rsidP="00BF2F75">
      <w:pPr>
        <w:tabs>
          <w:tab w:val="left" w:pos="5626"/>
        </w:tabs>
        <w:spacing w:line="276" w:lineRule="auto"/>
        <w:jc w:val="both"/>
      </w:pPr>
    </w:p>
    <w:p w14:paraId="2378AF6E" w14:textId="721883C8" w:rsidR="004458CE" w:rsidRPr="00F50955" w:rsidRDefault="0045471E" w:rsidP="00F50955">
      <w:pPr>
        <w:pStyle w:val="Prrafodelista"/>
        <w:numPr>
          <w:ilvl w:val="0"/>
          <w:numId w:val="22"/>
        </w:numPr>
        <w:tabs>
          <w:tab w:val="left" w:pos="5626"/>
        </w:tabs>
        <w:spacing w:line="360" w:lineRule="auto"/>
        <w:jc w:val="both"/>
        <w:rPr>
          <w:rFonts w:ascii="Arial" w:hAnsi="Arial" w:cs="Arial"/>
          <w:lang w:bidi="es-ES"/>
        </w:rPr>
      </w:pPr>
      <w:r>
        <w:t>Que en</w:t>
      </w:r>
      <w:r w:rsidR="00601991" w:rsidRPr="00F50955">
        <w:rPr>
          <w:rFonts w:ascii="Arial" w:hAnsi="Arial" w:cs="Arial"/>
          <w:lang w:bidi="es-ES"/>
        </w:rPr>
        <w:t xml:space="preserve"> el ámbito de la libertad contractual que les asiste a las partes en el contrato de seguro y en virtud de la facultad consagrada en el artículo 1056 del Código de Comercio, la compañía </w:t>
      </w:r>
      <w:r w:rsidR="002F566E" w:rsidRPr="00F50955">
        <w:rPr>
          <w:rFonts w:ascii="Arial" w:hAnsi="Arial" w:cs="Arial"/>
          <w:lang w:bidi="es-ES"/>
        </w:rPr>
        <w:t>de seguros</w:t>
      </w:r>
      <w:r w:rsidR="00601991" w:rsidRPr="00F50955">
        <w:rPr>
          <w:rFonts w:ascii="Arial" w:hAnsi="Arial" w:cs="Arial"/>
          <w:lang w:bidi="es-ES"/>
        </w:rPr>
        <w:t xml:space="preserve"> </w:t>
      </w:r>
      <w:r w:rsidR="002F566E" w:rsidRPr="00F50955">
        <w:rPr>
          <w:rFonts w:ascii="Arial" w:hAnsi="Arial" w:cs="Arial"/>
          <w:lang w:bidi="es-ES"/>
        </w:rPr>
        <w:t>puede</w:t>
      </w:r>
      <w:r w:rsidR="00601991" w:rsidRPr="00F50955">
        <w:rPr>
          <w:rFonts w:ascii="Arial" w:hAnsi="Arial" w:cs="Arial"/>
          <w:lang w:bidi="es-ES"/>
        </w:rPr>
        <w:t xml:space="preserve"> asumir a su discreción </w:t>
      </w:r>
      <w:r w:rsidR="002F566E" w:rsidRPr="00F50955">
        <w:rPr>
          <w:rFonts w:ascii="Arial" w:hAnsi="Arial" w:cs="Arial"/>
          <w:lang w:bidi="es-ES"/>
        </w:rPr>
        <w:t>determinados</w:t>
      </w:r>
      <w:r w:rsidR="00601991" w:rsidRPr="00F50955">
        <w:rPr>
          <w:rFonts w:ascii="Arial" w:hAnsi="Arial" w:cs="Arial"/>
          <w:lang w:bidi="es-ES"/>
        </w:rPr>
        <w:t xml:space="preserve"> riesgos</w:t>
      </w:r>
      <w:r w:rsidR="00453F05" w:rsidRPr="00F50955">
        <w:rPr>
          <w:rFonts w:ascii="Arial" w:hAnsi="Arial" w:cs="Arial"/>
          <w:lang w:bidi="es-ES"/>
        </w:rPr>
        <w:t xml:space="preserve"> (delimitación positiva del riesgo)</w:t>
      </w:r>
      <w:r w:rsidR="00601991" w:rsidRPr="00F50955">
        <w:rPr>
          <w:rFonts w:ascii="Arial" w:hAnsi="Arial" w:cs="Arial"/>
          <w:lang w:bidi="es-ES"/>
        </w:rPr>
        <w:t xml:space="preserve"> a los que est</w:t>
      </w:r>
      <w:r w:rsidR="002F566E" w:rsidRPr="00F50955">
        <w:rPr>
          <w:rFonts w:ascii="Arial" w:hAnsi="Arial" w:cs="Arial"/>
          <w:lang w:bidi="es-ES"/>
        </w:rPr>
        <w:t>é</w:t>
      </w:r>
      <w:r w:rsidR="00601991" w:rsidRPr="00F50955">
        <w:rPr>
          <w:rFonts w:ascii="Arial" w:hAnsi="Arial" w:cs="Arial"/>
          <w:lang w:bidi="es-ES"/>
        </w:rPr>
        <w:t xml:space="preserve"> expuesto el interés asegurado</w:t>
      </w:r>
      <w:r w:rsidR="00453F05" w:rsidRPr="00F50955">
        <w:rPr>
          <w:rFonts w:ascii="Arial" w:hAnsi="Arial" w:cs="Arial"/>
          <w:lang w:bidi="es-ES"/>
        </w:rPr>
        <w:t xml:space="preserve"> e incluso, excluir otros (delimitación negativa del riesgo)</w:t>
      </w:r>
      <w:r w:rsidR="00601991" w:rsidRPr="00F50955">
        <w:rPr>
          <w:rFonts w:ascii="Arial" w:hAnsi="Arial" w:cs="Arial"/>
          <w:lang w:bidi="es-ES"/>
        </w:rPr>
        <w:t xml:space="preserve">. Por lo tanto, al suscribir el contrato de seguro, la aseguradora decide otorgar determinadas coberturas, sujetas al cumplimiento de condiciones generales y particulares estipuladas en el mismo. De esta manera, su obligación estará condicionada y solo será exigible si </w:t>
      </w:r>
      <w:r w:rsidR="002F566E" w:rsidRPr="00F50955">
        <w:rPr>
          <w:rFonts w:ascii="Arial" w:hAnsi="Arial" w:cs="Arial"/>
          <w:lang w:bidi="es-ES"/>
        </w:rPr>
        <w:t xml:space="preserve">el riesgo se materializa y si </w:t>
      </w:r>
      <w:r w:rsidR="00601991" w:rsidRPr="00F50955">
        <w:rPr>
          <w:rFonts w:ascii="Arial" w:hAnsi="Arial" w:cs="Arial"/>
          <w:lang w:bidi="es-ES"/>
        </w:rPr>
        <w:t xml:space="preserve">se cumplen </w:t>
      </w:r>
      <w:r w:rsidR="002F566E" w:rsidRPr="00F50955">
        <w:rPr>
          <w:rFonts w:ascii="Arial" w:hAnsi="Arial" w:cs="Arial"/>
          <w:lang w:bidi="es-ES"/>
        </w:rPr>
        <w:t>las condiciones de aseguramiento establecidas</w:t>
      </w:r>
      <w:r w:rsidR="00601991" w:rsidRPr="00F50955">
        <w:rPr>
          <w:rFonts w:ascii="Arial" w:hAnsi="Arial" w:cs="Arial"/>
          <w:lang w:bidi="es-ES"/>
        </w:rPr>
        <w:t xml:space="preserve"> por las partes.</w:t>
      </w:r>
      <w:r w:rsidR="002F566E" w:rsidRPr="00F50955">
        <w:rPr>
          <w:rFonts w:ascii="Arial" w:hAnsi="Arial" w:cs="Arial"/>
          <w:lang w:bidi="es-ES"/>
        </w:rPr>
        <w:t xml:space="preserve"> </w:t>
      </w:r>
      <w:r w:rsidR="00446E60" w:rsidRPr="00F50955">
        <w:rPr>
          <w:rFonts w:ascii="Arial" w:hAnsi="Arial" w:cs="Arial"/>
        </w:rPr>
        <w:t xml:space="preserve">La Corte Suprema </w:t>
      </w:r>
      <w:r w:rsidR="002F566E" w:rsidRPr="00F50955">
        <w:rPr>
          <w:rFonts w:ascii="Arial" w:hAnsi="Arial" w:cs="Arial"/>
        </w:rPr>
        <w:t>se ha referido sobre el particular</w:t>
      </w:r>
      <w:r w:rsidR="00446E60" w:rsidRPr="00F50955">
        <w:rPr>
          <w:rFonts w:ascii="Arial" w:hAnsi="Arial" w:cs="Arial"/>
        </w:rPr>
        <w:t xml:space="preserve"> de la siguiente manera:</w:t>
      </w:r>
    </w:p>
    <w:p w14:paraId="0BE53945" w14:textId="77777777" w:rsidR="00DD2A1E" w:rsidRPr="00981BBF" w:rsidRDefault="00DD2A1E" w:rsidP="00B3653C">
      <w:pPr>
        <w:tabs>
          <w:tab w:val="left" w:pos="5626"/>
        </w:tabs>
        <w:spacing w:line="276" w:lineRule="auto"/>
        <w:ind w:left="708"/>
        <w:jc w:val="both"/>
        <w:rPr>
          <w:rFonts w:ascii="Arial" w:hAnsi="Arial" w:cs="Arial"/>
        </w:rPr>
      </w:pPr>
    </w:p>
    <w:p w14:paraId="77AED1D7" w14:textId="596A40C3" w:rsidR="000C7469" w:rsidRPr="00837B9A" w:rsidRDefault="000C7469" w:rsidP="00B3653C">
      <w:pPr>
        <w:tabs>
          <w:tab w:val="left" w:pos="8342"/>
        </w:tabs>
        <w:spacing w:line="312" w:lineRule="auto"/>
        <w:ind w:left="1428" w:right="968"/>
        <w:jc w:val="both"/>
        <w:rPr>
          <w:rFonts w:ascii="Arial" w:hAnsi="Arial" w:cs="Arial"/>
          <w:i/>
          <w:sz w:val="20"/>
          <w:szCs w:val="20"/>
        </w:rPr>
      </w:pPr>
      <w:r w:rsidRPr="00837B9A">
        <w:rPr>
          <w:rFonts w:ascii="Arial" w:hAnsi="Arial" w:cs="Arial"/>
          <w:i/>
          <w:sz w:val="20"/>
          <w:szCs w:val="20"/>
        </w:rPr>
        <w:t>“(…)</w:t>
      </w:r>
      <w:r w:rsidRPr="00837B9A">
        <w:rPr>
          <w:rFonts w:ascii="Arial" w:hAnsi="Arial" w:cs="Arial"/>
          <w:i/>
          <w:spacing w:val="-9"/>
          <w:sz w:val="20"/>
          <w:szCs w:val="20"/>
        </w:rPr>
        <w:t xml:space="preserve"> </w:t>
      </w:r>
      <w:r w:rsidRPr="00837B9A">
        <w:rPr>
          <w:rFonts w:ascii="Arial" w:hAnsi="Arial" w:cs="Arial"/>
          <w:i/>
          <w:sz w:val="20"/>
          <w:szCs w:val="20"/>
        </w:rPr>
        <w:t>como</w:t>
      </w:r>
      <w:r w:rsidRPr="00837B9A">
        <w:rPr>
          <w:rFonts w:ascii="Arial" w:hAnsi="Arial" w:cs="Arial"/>
          <w:i/>
          <w:spacing w:val="-10"/>
          <w:sz w:val="20"/>
          <w:szCs w:val="20"/>
        </w:rPr>
        <w:t xml:space="preserve"> </w:t>
      </w:r>
      <w:r w:rsidRPr="00837B9A">
        <w:rPr>
          <w:rFonts w:ascii="Arial" w:hAnsi="Arial" w:cs="Arial"/>
          <w:i/>
          <w:sz w:val="20"/>
          <w:szCs w:val="20"/>
        </w:rPr>
        <w:t>requisito</w:t>
      </w:r>
      <w:r w:rsidRPr="00837B9A">
        <w:rPr>
          <w:rFonts w:ascii="Arial" w:hAnsi="Arial" w:cs="Arial"/>
          <w:i/>
          <w:spacing w:val="-8"/>
          <w:sz w:val="20"/>
          <w:szCs w:val="20"/>
        </w:rPr>
        <w:t xml:space="preserve"> </w:t>
      </w:r>
      <w:r w:rsidRPr="00837B9A">
        <w:rPr>
          <w:rFonts w:ascii="Arial" w:hAnsi="Arial" w:cs="Arial"/>
          <w:i/>
          <w:sz w:val="20"/>
          <w:szCs w:val="20"/>
        </w:rPr>
        <w:t>ineludible</w:t>
      </w:r>
      <w:r w:rsidRPr="00837B9A">
        <w:rPr>
          <w:rFonts w:ascii="Arial" w:hAnsi="Arial" w:cs="Arial"/>
          <w:i/>
          <w:spacing w:val="-8"/>
          <w:sz w:val="20"/>
          <w:szCs w:val="20"/>
        </w:rPr>
        <w:t xml:space="preserve"> </w:t>
      </w:r>
      <w:r w:rsidRPr="00837B9A">
        <w:rPr>
          <w:rFonts w:ascii="Arial" w:hAnsi="Arial" w:cs="Arial"/>
          <w:i/>
          <w:sz w:val="20"/>
          <w:szCs w:val="20"/>
        </w:rPr>
        <w:t>para</w:t>
      </w:r>
      <w:r w:rsidRPr="00837B9A">
        <w:rPr>
          <w:rFonts w:ascii="Arial" w:hAnsi="Arial" w:cs="Arial"/>
          <w:i/>
          <w:spacing w:val="-8"/>
          <w:sz w:val="20"/>
          <w:szCs w:val="20"/>
        </w:rPr>
        <w:t xml:space="preserve"> </w:t>
      </w:r>
      <w:r w:rsidRPr="00837B9A">
        <w:rPr>
          <w:rFonts w:ascii="Arial" w:hAnsi="Arial" w:cs="Arial"/>
          <w:i/>
          <w:sz w:val="20"/>
          <w:szCs w:val="20"/>
        </w:rPr>
        <w:t>la</w:t>
      </w:r>
      <w:r w:rsidRPr="00837B9A">
        <w:rPr>
          <w:rFonts w:ascii="Arial" w:hAnsi="Arial" w:cs="Arial"/>
          <w:i/>
          <w:spacing w:val="-8"/>
          <w:sz w:val="20"/>
          <w:szCs w:val="20"/>
        </w:rPr>
        <w:t xml:space="preserve"> </w:t>
      </w:r>
      <w:r w:rsidRPr="00837B9A">
        <w:rPr>
          <w:rFonts w:ascii="Arial" w:hAnsi="Arial" w:cs="Arial"/>
          <w:i/>
          <w:sz w:val="20"/>
          <w:szCs w:val="20"/>
        </w:rPr>
        <w:t>plena</w:t>
      </w:r>
      <w:r w:rsidRPr="00837B9A">
        <w:rPr>
          <w:rFonts w:ascii="Arial" w:hAnsi="Arial" w:cs="Arial"/>
          <w:i/>
          <w:spacing w:val="-7"/>
          <w:sz w:val="20"/>
          <w:szCs w:val="20"/>
        </w:rPr>
        <w:t xml:space="preserve"> </w:t>
      </w:r>
      <w:r w:rsidRPr="00837B9A">
        <w:rPr>
          <w:rFonts w:ascii="Arial" w:hAnsi="Arial" w:cs="Arial"/>
          <w:i/>
          <w:sz w:val="20"/>
          <w:szCs w:val="20"/>
        </w:rPr>
        <w:t>eficacia</w:t>
      </w:r>
      <w:r w:rsidRPr="00837B9A">
        <w:rPr>
          <w:rFonts w:ascii="Arial" w:hAnsi="Arial" w:cs="Arial"/>
          <w:i/>
          <w:spacing w:val="-8"/>
          <w:sz w:val="20"/>
          <w:szCs w:val="20"/>
        </w:rPr>
        <w:t xml:space="preserve"> </w:t>
      </w:r>
      <w:r w:rsidRPr="00837B9A">
        <w:rPr>
          <w:rFonts w:ascii="Arial" w:hAnsi="Arial" w:cs="Arial"/>
          <w:i/>
          <w:sz w:val="20"/>
          <w:szCs w:val="20"/>
        </w:rPr>
        <w:t>de</w:t>
      </w:r>
      <w:r w:rsidRPr="00837B9A">
        <w:rPr>
          <w:rFonts w:ascii="Arial" w:hAnsi="Arial" w:cs="Arial"/>
          <w:i/>
          <w:spacing w:val="-10"/>
          <w:sz w:val="20"/>
          <w:szCs w:val="20"/>
        </w:rPr>
        <w:t xml:space="preserve"> </w:t>
      </w:r>
      <w:r w:rsidRPr="00837B9A">
        <w:rPr>
          <w:rFonts w:ascii="Arial" w:hAnsi="Arial" w:cs="Arial"/>
          <w:i/>
          <w:sz w:val="20"/>
          <w:szCs w:val="20"/>
        </w:rPr>
        <w:t>cualquier</w:t>
      </w:r>
      <w:r w:rsidRPr="00837B9A">
        <w:rPr>
          <w:rFonts w:ascii="Arial" w:hAnsi="Arial" w:cs="Arial"/>
          <w:i/>
          <w:spacing w:val="-9"/>
          <w:sz w:val="20"/>
          <w:szCs w:val="20"/>
        </w:rPr>
        <w:t xml:space="preserve"> </w:t>
      </w:r>
      <w:r w:rsidRPr="00837B9A">
        <w:rPr>
          <w:rFonts w:ascii="Arial" w:hAnsi="Arial" w:cs="Arial"/>
          <w:i/>
          <w:sz w:val="20"/>
          <w:szCs w:val="20"/>
        </w:rPr>
        <w:t>póliza</w:t>
      </w:r>
      <w:r w:rsidRPr="00837B9A">
        <w:rPr>
          <w:rFonts w:ascii="Arial" w:hAnsi="Arial" w:cs="Arial"/>
          <w:i/>
          <w:spacing w:val="-10"/>
          <w:sz w:val="20"/>
          <w:szCs w:val="20"/>
        </w:rPr>
        <w:t xml:space="preserve"> </w:t>
      </w:r>
      <w:r w:rsidRPr="00837B9A">
        <w:rPr>
          <w:rFonts w:ascii="Arial" w:hAnsi="Arial" w:cs="Arial"/>
          <w:i/>
          <w:sz w:val="20"/>
          <w:szCs w:val="20"/>
        </w:rPr>
        <w:t>de</w:t>
      </w:r>
      <w:r w:rsidRPr="00837B9A">
        <w:rPr>
          <w:rFonts w:ascii="Arial" w:hAnsi="Arial" w:cs="Arial"/>
          <w:i/>
          <w:spacing w:val="-9"/>
          <w:sz w:val="20"/>
          <w:szCs w:val="20"/>
        </w:rPr>
        <w:t xml:space="preserve"> </w:t>
      </w:r>
      <w:r w:rsidRPr="00837B9A">
        <w:rPr>
          <w:rFonts w:ascii="Arial" w:hAnsi="Arial" w:cs="Arial"/>
          <w:i/>
          <w:sz w:val="20"/>
          <w:szCs w:val="20"/>
        </w:rPr>
        <w:t>seguros,</w:t>
      </w:r>
      <w:r w:rsidRPr="00837B9A">
        <w:rPr>
          <w:rFonts w:ascii="Arial" w:hAnsi="Arial" w:cs="Arial"/>
          <w:i/>
          <w:spacing w:val="-54"/>
          <w:sz w:val="20"/>
          <w:szCs w:val="20"/>
        </w:rPr>
        <w:t xml:space="preserve"> </w:t>
      </w:r>
      <w:r w:rsidRPr="00837B9A">
        <w:rPr>
          <w:rFonts w:ascii="Arial" w:hAnsi="Arial" w:cs="Arial"/>
          <w:i/>
          <w:sz w:val="20"/>
          <w:szCs w:val="20"/>
        </w:rPr>
        <w:t>la individualización de los riesgos que el asegurador toma sobre sí (CLVIII, pág.</w:t>
      </w:r>
      <w:r w:rsidRPr="00837B9A">
        <w:rPr>
          <w:rFonts w:ascii="Arial" w:hAnsi="Arial" w:cs="Arial"/>
          <w:i/>
          <w:spacing w:val="1"/>
          <w:sz w:val="20"/>
          <w:szCs w:val="20"/>
        </w:rPr>
        <w:t xml:space="preserve"> </w:t>
      </w:r>
      <w:r w:rsidRPr="00837B9A">
        <w:rPr>
          <w:rFonts w:ascii="Arial" w:hAnsi="Arial" w:cs="Arial"/>
          <w:i/>
          <w:sz w:val="20"/>
          <w:szCs w:val="20"/>
        </w:rPr>
        <w:t>176), y ha extraído, con soporte en el artículo 1056 del Código de Comercio, la</w:t>
      </w:r>
      <w:r w:rsidRPr="00837B9A">
        <w:rPr>
          <w:rFonts w:ascii="Arial" w:hAnsi="Arial" w:cs="Arial"/>
          <w:i/>
          <w:spacing w:val="1"/>
          <w:sz w:val="20"/>
          <w:szCs w:val="20"/>
        </w:rPr>
        <w:t xml:space="preserve"> </w:t>
      </w:r>
      <w:r w:rsidRPr="00837B9A">
        <w:rPr>
          <w:rFonts w:ascii="Arial" w:hAnsi="Arial" w:cs="Arial"/>
          <w:i/>
          <w:sz w:val="20"/>
          <w:szCs w:val="20"/>
        </w:rPr>
        <w:t>vigencia en nuestro ordenamiento “de un principio común aplicable a toda clase de</w:t>
      </w:r>
      <w:r w:rsidRPr="00837B9A">
        <w:rPr>
          <w:rFonts w:ascii="Arial" w:hAnsi="Arial" w:cs="Arial"/>
          <w:i/>
          <w:spacing w:val="-53"/>
          <w:sz w:val="20"/>
          <w:szCs w:val="20"/>
        </w:rPr>
        <w:t xml:space="preserve"> </w:t>
      </w:r>
      <w:r w:rsidRPr="00837B9A">
        <w:rPr>
          <w:rFonts w:ascii="Arial" w:hAnsi="Arial" w:cs="Arial"/>
          <w:i/>
          <w:sz w:val="20"/>
          <w:szCs w:val="20"/>
        </w:rPr>
        <w:t xml:space="preserve">seguros de daños y de personas, en virtud del cual </w:t>
      </w:r>
      <w:r w:rsidRPr="00837B9A">
        <w:rPr>
          <w:rFonts w:ascii="Arial" w:hAnsi="Arial" w:cs="Arial"/>
          <w:b/>
          <w:i/>
          <w:sz w:val="20"/>
          <w:szCs w:val="20"/>
        </w:rPr>
        <w:t>se otorga al asegurador la</w:t>
      </w:r>
      <w:r w:rsidRPr="00837B9A">
        <w:rPr>
          <w:rFonts w:ascii="Arial" w:hAnsi="Arial" w:cs="Arial"/>
          <w:b/>
          <w:i/>
          <w:spacing w:val="1"/>
          <w:sz w:val="20"/>
          <w:szCs w:val="20"/>
        </w:rPr>
        <w:t xml:space="preserve"> </w:t>
      </w:r>
      <w:r w:rsidRPr="00837B9A">
        <w:rPr>
          <w:rFonts w:ascii="Arial" w:hAnsi="Arial" w:cs="Arial"/>
          <w:b/>
          <w:i/>
          <w:sz w:val="20"/>
          <w:szCs w:val="20"/>
        </w:rPr>
        <w:t>facultad de asumir, a su arbitrio pero teniendo en cuenta las restricciones</w:t>
      </w:r>
      <w:r w:rsidRPr="00837B9A">
        <w:rPr>
          <w:rFonts w:ascii="Arial" w:hAnsi="Arial" w:cs="Arial"/>
          <w:b/>
          <w:i/>
          <w:spacing w:val="1"/>
          <w:sz w:val="20"/>
          <w:szCs w:val="20"/>
        </w:rPr>
        <w:t xml:space="preserve"> </w:t>
      </w:r>
      <w:r w:rsidRPr="00837B9A">
        <w:rPr>
          <w:rFonts w:ascii="Arial" w:hAnsi="Arial" w:cs="Arial"/>
          <w:b/>
          <w:i/>
          <w:sz w:val="20"/>
          <w:szCs w:val="20"/>
        </w:rPr>
        <w:t>legales, todos o algunos de los riesgos a que están expuestos el interés o la</w:t>
      </w:r>
      <w:r w:rsidRPr="00837B9A">
        <w:rPr>
          <w:rFonts w:ascii="Arial" w:hAnsi="Arial" w:cs="Arial"/>
          <w:b/>
          <w:i/>
          <w:spacing w:val="1"/>
          <w:sz w:val="20"/>
          <w:szCs w:val="20"/>
        </w:rPr>
        <w:t xml:space="preserve"> </w:t>
      </w:r>
      <w:r w:rsidRPr="00837B9A">
        <w:rPr>
          <w:rFonts w:ascii="Arial" w:hAnsi="Arial" w:cs="Arial"/>
          <w:b/>
          <w:i/>
          <w:sz w:val="20"/>
          <w:szCs w:val="20"/>
        </w:rPr>
        <w:t>cosa</w:t>
      </w:r>
      <w:r w:rsidRPr="00837B9A">
        <w:rPr>
          <w:rFonts w:ascii="Arial" w:hAnsi="Arial" w:cs="Arial"/>
          <w:b/>
          <w:i/>
          <w:spacing w:val="-2"/>
          <w:sz w:val="20"/>
          <w:szCs w:val="20"/>
        </w:rPr>
        <w:t xml:space="preserve"> </w:t>
      </w:r>
      <w:r w:rsidRPr="00837B9A">
        <w:rPr>
          <w:rFonts w:ascii="Arial" w:hAnsi="Arial" w:cs="Arial"/>
          <w:b/>
          <w:i/>
          <w:sz w:val="20"/>
          <w:szCs w:val="20"/>
        </w:rPr>
        <w:t>asegurados,</w:t>
      </w:r>
      <w:r w:rsidRPr="00837B9A">
        <w:rPr>
          <w:rFonts w:ascii="Arial" w:hAnsi="Arial" w:cs="Arial"/>
          <w:b/>
          <w:i/>
          <w:spacing w:val="1"/>
          <w:sz w:val="20"/>
          <w:szCs w:val="20"/>
        </w:rPr>
        <w:t xml:space="preserve"> </w:t>
      </w:r>
      <w:r w:rsidRPr="00837B9A">
        <w:rPr>
          <w:rFonts w:ascii="Arial" w:hAnsi="Arial" w:cs="Arial"/>
          <w:b/>
          <w:i/>
          <w:sz w:val="20"/>
          <w:szCs w:val="20"/>
        </w:rPr>
        <w:t>el</w:t>
      </w:r>
      <w:r w:rsidRPr="00837B9A">
        <w:rPr>
          <w:rFonts w:ascii="Arial" w:hAnsi="Arial" w:cs="Arial"/>
          <w:b/>
          <w:i/>
          <w:spacing w:val="-2"/>
          <w:sz w:val="20"/>
          <w:szCs w:val="20"/>
        </w:rPr>
        <w:t xml:space="preserve"> </w:t>
      </w:r>
      <w:r w:rsidRPr="00837B9A">
        <w:rPr>
          <w:rFonts w:ascii="Arial" w:hAnsi="Arial" w:cs="Arial"/>
          <w:b/>
          <w:i/>
          <w:sz w:val="20"/>
          <w:szCs w:val="20"/>
        </w:rPr>
        <w:t>patrimonio</w:t>
      </w:r>
      <w:r w:rsidRPr="00837B9A">
        <w:rPr>
          <w:rFonts w:ascii="Arial" w:hAnsi="Arial" w:cs="Arial"/>
          <w:b/>
          <w:i/>
          <w:spacing w:val="-1"/>
          <w:sz w:val="20"/>
          <w:szCs w:val="20"/>
        </w:rPr>
        <w:t xml:space="preserve"> </w:t>
      </w:r>
      <w:r w:rsidRPr="00837B9A">
        <w:rPr>
          <w:rFonts w:ascii="Arial" w:hAnsi="Arial" w:cs="Arial"/>
          <w:b/>
          <w:i/>
          <w:sz w:val="20"/>
          <w:szCs w:val="20"/>
        </w:rPr>
        <w:t>o</w:t>
      </w:r>
      <w:r w:rsidRPr="00837B9A">
        <w:rPr>
          <w:rFonts w:ascii="Arial" w:hAnsi="Arial" w:cs="Arial"/>
          <w:b/>
          <w:i/>
          <w:spacing w:val="-1"/>
          <w:sz w:val="20"/>
          <w:szCs w:val="20"/>
        </w:rPr>
        <w:t xml:space="preserve"> </w:t>
      </w:r>
      <w:r w:rsidRPr="00837B9A">
        <w:rPr>
          <w:rFonts w:ascii="Arial" w:hAnsi="Arial" w:cs="Arial"/>
          <w:b/>
          <w:i/>
          <w:sz w:val="20"/>
          <w:szCs w:val="20"/>
        </w:rPr>
        <w:t>la</w:t>
      </w:r>
      <w:r w:rsidRPr="00837B9A">
        <w:rPr>
          <w:rFonts w:ascii="Arial" w:hAnsi="Arial" w:cs="Arial"/>
          <w:b/>
          <w:i/>
          <w:spacing w:val="-1"/>
          <w:sz w:val="20"/>
          <w:szCs w:val="20"/>
        </w:rPr>
        <w:t xml:space="preserve"> </w:t>
      </w:r>
      <w:r w:rsidRPr="00837B9A">
        <w:rPr>
          <w:rFonts w:ascii="Arial" w:hAnsi="Arial" w:cs="Arial"/>
          <w:b/>
          <w:i/>
          <w:sz w:val="20"/>
          <w:szCs w:val="20"/>
        </w:rPr>
        <w:t>persona</w:t>
      </w:r>
      <w:r w:rsidRPr="00837B9A">
        <w:rPr>
          <w:rFonts w:ascii="Arial" w:hAnsi="Arial" w:cs="Arial"/>
          <w:b/>
          <w:i/>
          <w:spacing w:val="-1"/>
          <w:sz w:val="20"/>
          <w:szCs w:val="20"/>
        </w:rPr>
        <w:t xml:space="preserve"> </w:t>
      </w:r>
      <w:r w:rsidRPr="00837B9A">
        <w:rPr>
          <w:rFonts w:ascii="Arial" w:hAnsi="Arial" w:cs="Arial"/>
          <w:b/>
          <w:i/>
          <w:sz w:val="20"/>
          <w:szCs w:val="20"/>
        </w:rPr>
        <w:t>del</w:t>
      </w:r>
      <w:r w:rsidRPr="00837B9A">
        <w:rPr>
          <w:rFonts w:ascii="Arial" w:hAnsi="Arial" w:cs="Arial"/>
          <w:b/>
          <w:i/>
          <w:spacing w:val="-2"/>
          <w:sz w:val="20"/>
          <w:szCs w:val="20"/>
        </w:rPr>
        <w:t xml:space="preserve"> </w:t>
      </w:r>
      <w:r w:rsidRPr="00837B9A">
        <w:rPr>
          <w:rFonts w:ascii="Arial" w:hAnsi="Arial" w:cs="Arial"/>
          <w:b/>
          <w:i/>
          <w:sz w:val="20"/>
          <w:szCs w:val="20"/>
        </w:rPr>
        <w:t>asegurado”</w:t>
      </w:r>
      <w:r w:rsidRPr="00837B9A">
        <w:rPr>
          <w:rFonts w:ascii="Arial" w:hAnsi="Arial" w:cs="Arial"/>
          <w:i/>
          <w:sz w:val="20"/>
          <w:szCs w:val="20"/>
        </w:rPr>
        <w:t>.</w:t>
      </w:r>
      <w:r w:rsidR="00B3653C">
        <w:rPr>
          <w:rStyle w:val="Refdenotaalpie"/>
          <w:rFonts w:ascii="Arial" w:hAnsi="Arial" w:cs="Arial"/>
          <w:i/>
          <w:sz w:val="20"/>
          <w:szCs w:val="20"/>
        </w:rPr>
        <w:footnoteReference w:id="1"/>
      </w:r>
      <w:r w:rsidR="00B3653C">
        <w:rPr>
          <w:rFonts w:ascii="Arial" w:hAnsi="Arial" w:cs="Arial"/>
          <w:i/>
          <w:sz w:val="20"/>
          <w:szCs w:val="20"/>
        </w:rPr>
        <w:t>(</w:t>
      </w:r>
      <w:r w:rsidR="00B3653C" w:rsidRPr="00B3653C">
        <w:rPr>
          <w:rFonts w:ascii="Calibri" w:hAnsi="Calibri" w:cs="Calibri"/>
        </w:rPr>
        <w:t xml:space="preserve"> </w:t>
      </w:r>
      <w:r w:rsidR="00B3653C" w:rsidRPr="00B3653C">
        <w:rPr>
          <w:rFonts w:ascii="Arial" w:hAnsi="Arial" w:cs="Arial"/>
          <w:i/>
          <w:sz w:val="20"/>
          <w:szCs w:val="20"/>
        </w:rPr>
        <w:t>Subrayado propio para denotar importancia</w:t>
      </w:r>
      <w:r w:rsidR="00B3653C">
        <w:rPr>
          <w:rFonts w:ascii="Arial" w:hAnsi="Arial" w:cs="Arial"/>
          <w:i/>
          <w:sz w:val="20"/>
          <w:szCs w:val="20"/>
        </w:rPr>
        <w:t>)</w:t>
      </w:r>
    </w:p>
    <w:p w14:paraId="499A1182" w14:textId="77777777" w:rsidR="000C7469" w:rsidRPr="00981BBF" w:rsidRDefault="000C7469" w:rsidP="00124847">
      <w:pPr>
        <w:tabs>
          <w:tab w:val="left" w:pos="5626"/>
        </w:tabs>
        <w:spacing w:line="276" w:lineRule="auto"/>
        <w:jc w:val="both"/>
        <w:rPr>
          <w:rFonts w:ascii="Arial" w:hAnsi="Arial" w:cs="Arial"/>
        </w:rPr>
      </w:pPr>
    </w:p>
    <w:p w14:paraId="1F37B612" w14:textId="0B2F2D69" w:rsidR="0045471E" w:rsidRPr="00453F05" w:rsidRDefault="00B3653C" w:rsidP="00F50955">
      <w:pPr>
        <w:pStyle w:val="Prrafodelista"/>
        <w:numPr>
          <w:ilvl w:val="0"/>
          <w:numId w:val="22"/>
        </w:numPr>
        <w:tabs>
          <w:tab w:val="left" w:pos="5626"/>
        </w:tabs>
        <w:spacing w:line="360" w:lineRule="auto"/>
        <w:jc w:val="both"/>
      </w:pPr>
      <w:r w:rsidRPr="00F50955">
        <w:rPr>
          <w:rFonts w:ascii="Arial" w:hAnsi="Arial" w:cs="Arial"/>
        </w:rPr>
        <w:t>Que e</w:t>
      </w:r>
      <w:r w:rsidR="0011326C" w:rsidRPr="00F50955">
        <w:rPr>
          <w:rFonts w:ascii="Arial" w:hAnsi="Arial" w:cs="Arial"/>
        </w:rPr>
        <w:t>n el caso</w:t>
      </w:r>
      <w:r w:rsidRPr="00F50955">
        <w:rPr>
          <w:rFonts w:ascii="Arial" w:hAnsi="Arial" w:cs="Arial"/>
        </w:rPr>
        <w:t xml:space="preserve"> objeto de análisis, y </w:t>
      </w:r>
      <w:r w:rsidR="00AF15CE" w:rsidRPr="00F50955">
        <w:rPr>
          <w:rFonts w:ascii="Arial" w:hAnsi="Arial" w:cs="Arial"/>
        </w:rPr>
        <w:t xml:space="preserve">de acuerdo con la facultad otorgada por el artículo 1056 del Código de Comercio, las partes </w:t>
      </w:r>
      <w:r w:rsidR="0011326C" w:rsidRPr="00F50955">
        <w:rPr>
          <w:rFonts w:ascii="Arial" w:hAnsi="Arial" w:cs="Arial"/>
        </w:rPr>
        <w:t>del</w:t>
      </w:r>
      <w:r w:rsidR="00AF15CE" w:rsidRPr="00F50955">
        <w:rPr>
          <w:rFonts w:ascii="Arial" w:hAnsi="Arial" w:cs="Arial"/>
        </w:rPr>
        <w:t xml:space="preserve"> contrato de seguro</w:t>
      </w:r>
      <w:r w:rsidR="0095027D" w:rsidRPr="00F50955">
        <w:rPr>
          <w:rFonts w:ascii="Arial" w:hAnsi="Arial" w:cs="Arial"/>
        </w:rPr>
        <w:t xml:space="preserve"> </w:t>
      </w:r>
      <w:r w:rsidRPr="00F50955">
        <w:rPr>
          <w:rFonts w:ascii="Arial" w:hAnsi="Arial" w:cs="Arial"/>
        </w:rPr>
        <w:t>instrumentada en</w:t>
      </w:r>
      <w:r w:rsidR="0095027D" w:rsidRPr="00F50955">
        <w:rPr>
          <w:rFonts w:ascii="Arial" w:hAnsi="Arial" w:cs="Arial"/>
        </w:rPr>
        <w:t xml:space="preserve"> la Póliza </w:t>
      </w:r>
      <w:r w:rsidRPr="0045471E">
        <w:t>Seguro de Responsabilidad Civil Extracontractual No. 475-74-994000010524</w:t>
      </w:r>
      <w:r>
        <w:t>, el asegurador asumió como riesgo asegurado:</w:t>
      </w:r>
    </w:p>
    <w:p w14:paraId="5D93D7CB" w14:textId="77777777" w:rsidR="00B3653C" w:rsidRDefault="00B3653C" w:rsidP="00124847">
      <w:pPr>
        <w:tabs>
          <w:tab w:val="left" w:pos="5626"/>
        </w:tabs>
        <w:spacing w:line="276" w:lineRule="auto"/>
        <w:jc w:val="both"/>
        <w:rPr>
          <w:i/>
          <w:iCs/>
          <w:sz w:val="20"/>
          <w:szCs w:val="20"/>
        </w:rPr>
      </w:pPr>
    </w:p>
    <w:p w14:paraId="7157C496" w14:textId="03A3786F" w:rsidR="00B3653C" w:rsidRPr="00B3653C" w:rsidRDefault="00B3653C" w:rsidP="00740540">
      <w:pPr>
        <w:tabs>
          <w:tab w:val="left" w:pos="5626"/>
        </w:tabs>
        <w:spacing w:line="276" w:lineRule="auto"/>
        <w:ind w:left="1416" w:right="851"/>
        <w:jc w:val="both"/>
        <w:rPr>
          <w:i/>
          <w:iCs/>
          <w:sz w:val="20"/>
          <w:szCs w:val="20"/>
        </w:rPr>
      </w:pPr>
      <w:r>
        <w:rPr>
          <w:i/>
          <w:iCs/>
          <w:sz w:val="20"/>
          <w:szCs w:val="20"/>
        </w:rPr>
        <w:t>“</w:t>
      </w:r>
      <w:r w:rsidRPr="00926FBE">
        <w:rPr>
          <w:i/>
          <w:iCs/>
          <w:sz w:val="20"/>
          <w:szCs w:val="20"/>
        </w:rPr>
        <w:t>AMPARAR LA RESPONSABILIDAD CIVIL EXTRACONTRACTUAL DERIVADA DE CONTRATO No. LP - 001 - 2023 DE FECHA 27 DE JULIO DE 2023 CELEBRADO ENTRE LAS PARTES, RELACIONADO CON ADECUACION DE COMPLEJO DEPORTIVO EUSTORGIO COLMENARES, SAN JOSÉ DE CÚCUTA, NORTE DE SANTANDER”</w:t>
      </w:r>
    </w:p>
    <w:p w14:paraId="41702CA7" w14:textId="77777777" w:rsidR="00B3653C" w:rsidRDefault="00B3653C" w:rsidP="00740540">
      <w:pPr>
        <w:tabs>
          <w:tab w:val="left" w:pos="5626"/>
        </w:tabs>
        <w:spacing w:line="276" w:lineRule="auto"/>
        <w:ind w:left="565"/>
        <w:jc w:val="both"/>
        <w:rPr>
          <w:i/>
          <w:iCs/>
          <w:sz w:val="20"/>
          <w:szCs w:val="20"/>
        </w:rPr>
      </w:pPr>
    </w:p>
    <w:p w14:paraId="1B1BEB23" w14:textId="1B4FC8FF" w:rsidR="00B3653C" w:rsidRDefault="006B05C7" w:rsidP="00F50955">
      <w:pPr>
        <w:pStyle w:val="Prrafodelista"/>
        <w:numPr>
          <w:ilvl w:val="0"/>
          <w:numId w:val="22"/>
        </w:numPr>
        <w:tabs>
          <w:tab w:val="left" w:pos="5626"/>
        </w:tabs>
        <w:spacing w:line="360" w:lineRule="auto"/>
        <w:jc w:val="both"/>
      </w:pPr>
      <w:r w:rsidRPr="006B05C7">
        <w:t>Que</w:t>
      </w:r>
      <w:r>
        <w:t xml:space="preserve"> la cobertura básica otorgada por Aseguradora Solidaria de Colombia consiste en la Responsabilidad Civil Extracontractual ampara los perjuicios patrimoniales que causa </w:t>
      </w:r>
      <w:r>
        <w:lastRenderedPageBreak/>
        <w:t>directamente el contratista asegurado derivada de sus actuaciones, hechos u omisiones con motivo de una determinada responsabilidad civil extracontractual en que incurra de acuerdo con la ley colombiana.</w:t>
      </w:r>
    </w:p>
    <w:p w14:paraId="74034FDE" w14:textId="77777777" w:rsidR="00F50955" w:rsidRDefault="00F50955" w:rsidP="00926FBE">
      <w:pPr>
        <w:tabs>
          <w:tab w:val="left" w:pos="5626"/>
        </w:tabs>
        <w:spacing w:line="360" w:lineRule="auto"/>
        <w:jc w:val="both"/>
      </w:pPr>
    </w:p>
    <w:p w14:paraId="435160E3" w14:textId="60F5BB43" w:rsidR="000A0789" w:rsidRPr="00926FBE" w:rsidRDefault="00F50955" w:rsidP="00F50955">
      <w:pPr>
        <w:pStyle w:val="Prrafodelista"/>
        <w:numPr>
          <w:ilvl w:val="0"/>
          <w:numId w:val="22"/>
        </w:numPr>
        <w:tabs>
          <w:tab w:val="left" w:pos="5626"/>
        </w:tabs>
        <w:spacing w:line="360" w:lineRule="auto"/>
        <w:jc w:val="both"/>
      </w:pPr>
      <w:r w:rsidRPr="00926FBE">
        <w:rPr>
          <w:noProof/>
        </w:rPr>
        <w:drawing>
          <wp:anchor distT="0" distB="0" distL="114300" distR="114300" simplePos="0" relativeHeight="251658240" behindDoc="0" locked="0" layoutInCell="1" allowOverlap="1" wp14:anchorId="6C4D03AC" wp14:editId="1AD9C60E">
            <wp:simplePos x="0" y="0"/>
            <wp:positionH relativeFrom="column">
              <wp:posOffset>629285</wp:posOffset>
            </wp:positionH>
            <wp:positionV relativeFrom="paragraph">
              <wp:posOffset>2328545</wp:posOffset>
            </wp:positionV>
            <wp:extent cx="5516245" cy="514350"/>
            <wp:effectExtent l="152400" t="152400" r="370205" b="361950"/>
            <wp:wrapTopAndBottom/>
            <wp:docPr id="20198536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245" cy="514350"/>
                    </a:xfrm>
                    <a:prstGeom prst="rect">
                      <a:avLst/>
                    </a:prstGeom>
                    <a:ln>
                      <a:noFill/>
                    </a:ln>
                    <a:effectLst>
                      <a:outerShdw blurRad="292100" dist="139700" dir="2700000" algn="tl" rotWithShape="0">
                        <a:srgbClr val="333333">
                          <a:alpha val="65000"/>
                        </a:srgbClr>
                      </a:outerShdw>
                    </a:effectLst>
                  </pic:spPr>
                </pic:pic>
              </a:graphicData>
            </a:graphic>
          </wp:anchor>
        </w:drawing>
      </w:r>
      <w:r w:rsidR="006B05C7" w:rsidRPr="00926FBE">
        <w:t xml:space="preserve">Que entre las partes que conforman el contrato de seguro </w:t>
      </w:r>
      <w:r w:rsidR="006B05C7" w:rsidRPr="00F50955">
        <w:rPr>
          <w:rFonts w:ascii="Arial" w:hAnsi="Arial" w:cs="Arial"/>
        </w:rPr>
        <w:t>la</w:t>
      </w:r>
      <w:r w:rsidR="006B05C7" w:rsidRPr="00F50955">
        <w:rPr>
          <w:rFonts w:ascii="Arial" w:hAnsi="Arial" w:cs="Arial"/>
          <w:b/>
          <w:bCs/>
        </w:rPr>
        <w:t xml:space="preserve"> </w:t>
      </w:r>
      <w:r w:rsidR="006B05C7" w:rsidRPr="00F50955">
        <w:rPr>
          <w:rFonts w:ascii="Arial" w:hAnsi="Arial" w:cs="Arial"/>
        </w:rPr>
        <w:t xml:space="preserve">Póliza </w:t>
      </w:r>
      <w:r w:rsidR="006B05C7" w:rsidRPr="00926FBE">
        <w:t>Seguro de Responsabilidad Civil Extracontractual No. 475-74-994000010524, no fue otorgado amparo adicional consistente en la Responsabilidad Civil Extracontractual por bienes bajo cuidado, tenencia y control</w:t>
      </w:r>
      <w:r w:rsidR="00167A59" w:rsidRPr="00926FBE">
        <w:t xml:space="preserve">. En las condiciones generales se observa, en la primera </w:t>
      </w:r>
      <w:r w:rsidR="000A0789" w:rsidRPr="00926FBE">
        <w:t>página</w:t>
      </w:r>
      <w:r w:rsidR="00167A59" w:rsidRPr="00926FBE">
        <w:t xml:space="preserve">, que el numeral 2.5 refiere </w:t>
      </w:r>
      <w:r w:rsidR="000A0789" w:rsidRPr="00926FBE">
        <w:t>un amparo adicional denominado RCE por bienes bajo cuidado, tenencia y</w:t>
      </w:r>
      <w:r w:rsidR="000A0789" w:rsidRPr="00F50955">
        <w:rPr>
          <w:b/>
          <w:bCs/>
          <w:i/>
          <w:iCs/>
          <w:u w:val="single"/>
        </w:rPr>
        <w:t xml:space="preserve"> control</w:t>
      </w:r>
      <w:r w:rsidR="000A0789" w:rsidRPr="00926FBE">
        <w:t xml:space="preserve"> que no fue contratado porque en la primera página del certificado individual o condiciones especiales del seguro en comento</w:t>
      </w:r>
      <w:r w:rsidR="00F720FF">
        <w:t xml:space="preserve"> </w:t>
      </w:r>
      <w:r w:rsidR="000A0789" w:rsidRPr="00926FBE">
        <w:t xml:space="preserve">no se encuentra enunciado en el aparte o ítem que enlista los amparos </w:t>
      </w:r>
      <w:r w:rsidR="00926FBE" w:rsidRPr="00926FBE">
        <w:t>que,</w:t>
      </w:r>
      <w:r w:rsidR="000A0789" w:rsidRPr="00926FBE">
        <w:t xml:space="preserve"> si fueron contratados, allí solo se observa que se contrató el amparo básico</w:t>
      </w:r>
      <w:r w:rsidR="00424D17" w:rsidRPr="00926FBE">
        <w:t xml:space="preserve"> (P</w:t>
      </w:r>
      <w:r w:rsidR="00D35DB9">
        <w:t xml:space="preserve">redios, </w:t>
      </w:r>
      <w:r w:rsidR="00D35DB9" w:rsidRPr="00926FBE">
        <w:t>L</w:t>
      </w:r>
      <w:r w:rsidR="00D35DB9">
        <w:t xml:space="preserve">abores y </w:t>
      </w:r>
      <w:r w:rsidR="00424D17" w:rsidRPr="00926FBE">
        <w:t>O</w:t>
      </w:r>
      <w:r w:rsidR="00D35DB9">
        <w:t>peraciones</w:t>
      </w:r>
      <w:r w:rsidR="00424D17" w:rsidRPr="00926FBE">
        <w:t>)</w:t>
      </w:r>
      <w:r w:rsidR="000A0789" w:rsidRPr="00926FBE">
        <w:t>:</w:t>
      </w:r>
    </w:p>
    <w:p w14:paraId="2C51D8F8" w14:textId="1330A6F5" w:rsidR="000A0789" w:rsidRPr="000E4DBE" w:rsidRDefault="000A0789" w:rsidP="000A0789">
      <w:pPr>
        <w:pStyle w:val="Prrafodelista"/>
        <w:rPr>
          <w:highlight w:val="yellow"/>
        </w:rPr>
      </w:pPr>
    </w:p>
    <w:p w14:paraId="29B8A9AB" w14:textId="57082B04" w:rsidR="000A0789" w:rsidRPr="00926FBE" w:rsidRDefault="00F50955" w:rsidP="00926FBE">
      <w:pPr>
        <w:pStyle w:val="Prrafodelista"/>
        <w:tabs>
          <w:tab w:val="left" w:pos="5626"/>
        </w:tabs>
        <w:spacing w:line="360" w:lineRule="auto"/>
        <w:ind w:left="0" w:right="1410"/>
        <w:jc w:val="center"/>
      </w:pPr>
      <w:r>
        <w:t xml:space="preserve">                                       </w:t>
      </w:r>
      <w:r w:rsidR="00926FBE" w:rsidRPr="00926FBE">
        <w:rPr>
          <w:rStyle w:val="Refdenotaalpie"/>
        </w:rPr>
        <w:footnoteReference w:id="2"/>
      </w:r>
    </w:p>
    <w:p w14:paraId="13F44ACA" w14:textId="77777777" w:rsidR="000A0789" w:rsidRPr="000E4DBE" w:rsidRDefault="000A0789" w:rsidP="000A0789">
      <w:pPr>
        <w:rPr>
          <w:highlight w:val="yellow"/>
        </w:rPr>
      </w:pPr>
    </w:p>
    <w:p w14:paraId="419B471C" w14:textId="5FA2FF83" w:rsidR="000A0789" w:rsidRPr="00926FBE" w:rsidRDefault="00167A59" w:rsidP="00F50955">
      <w:pPr>
        <w:tabs>
          <w:tab w:val="left" w:pos="5626"/>
        </w:tabs>
        <w:spacing w:line="360" w:lineRule="auto"/>
        <w:ind w:left="708"/>
        <w:jc w:val="both"/>
      </w:pPr>
      <w:r w:rsidRPr="00926FBE">
        <w:t xml:space="preserve">Lo anterior resulta importante porque la </w:t>
      </w:r>
      <w:r w:rsidR="00926FBE" w:rsidRPr="00926FBE">
        <w:t>p</w:t>
      </w:r>
      <w:r w:rsidR="00926FBE">
        <w:t>é</w:t>
      </w:r>
      <w:r w:rsidR="00926FBE" w:rsidRPr="00926FBE">
        <w:t>rdida</w:t>
      </w:r>
      <w:r w:rsidRPr="00926FBE">
        <w:t xml:space="preserve"> que aduce la reclamante tiene que ver con el deterioro y destrucción de un mobiliario que no es de propiedad del Instituto Asegurado, pero que, por virtud de una relación entre estos</w:t>
      </w:r>
      <w:r w:rsidR="000A0789" w:rsidRPr="00926FBE">
        <w:t xml:space="preserve"> – La Liga y el </w:t>
      </w:r>
      <w:r w:rsidR="00926FBE" w:rsidRPr="00926FBE">
        <w:t xml:space="preserve">IMRD </w:t>
      </w:r>
      <w:r w:rsidR="00424D17" w:rsidRPr="00926FBE">
        <w:t>-</w:t>
      </w:r>
      <w:r w:rsidRPr="00926FBE">
        <w:t>, permanecía dentro del</w:t>
      </w:r>
      <w:r w:rsidR="00926FBE">
        <w:t xml:space="preserve"> complejo deportivo</w:t>
      </w:r>
      <w:r w:rsidRPr="00926FBE">
        <w:t>. Si bien no se ha probado que entre el Instituto y la</w:t>
      </w:r>
      <w:r w:rsidR="00D35DB9">
        <w:t xml:space="preserve"> </w:t>
      </w:r>
      <w:r w:rsidR="00D35DB9" w:rsidRPr="00D35DB9">
        <w:t>Liga Norte Santandereana de Gimnasia</w:t>
      </w:r>
      <w:r w:rsidRPr="00926FBE">
        <w:t xml:space="preserve"> exista un contrato de comodato, ni de depósito, lo cierto es que estos bienes estaban siendo custodiados por el Instituto que administra y opera el complejo deportivo</w:t>
      </w:r>
      <w:r w:rsidR="000A0789" w:rsidRPr="00926FBE">
        <w:t>,</w:t>
      </w:r>
      <w:r w:rsidRPr="00926FBE">
        <w:t xml:space="preserve"> dado que en el hecho segundo de la reclamación </w:t>
      </w:r>
      <w:r w:rsidR="00926FBE">
        <w:t>primigenia</w:t>
      </w:r>
      <w:r w:rsidR="00926FBE">
        <w:rPr>
          <w:rStyle w:val="Refdenotaalpie"/>
        </w:rPr>
        <w:footnoteReference w:id="3"/>
      </w:r>
      <w:r w:rsidRPr="00926FBE">
        <w:t xml:space="preserve"> se dice que la </w:t>
      </w:r>
      <w:r w:rsidR="00D35DB9" w:rsidRPr="00D35DB9">
        <w:t>Liga de Gimnasia</w:t>
      </w:r>
      <w:r w:rsidRPr="00926FBE">
        <w:t xml:space="preserve"> aguardaba el traslado</w:t>
      </w:r>
      <w:r w:rsidR="000A0789" w:rsidRPr="00926FBE">
        <w:t xml:space="preserve"> de los elementos</w:t>
      </w:r>
      <w:r w:rsidRPr="00926FBE">
        <w:t xml:space="preserve"> por parte del IMRD y que además era este Instituto quien decidía sobre la reubicación de los mismos.</w:t>
      </w:r>
    </w:p>
    <w:p w14:paraId="5966E6C3" w14:textId="77777777" w:rsidR="00926FBE" w:rsidRDefault="00926FBE" w:rsidP="00926FBE">
      <w:pPr>
        <w:tabs>
          <w:tab w:val="left" w:pos="5626"/>
        </w:tabs>
        <w:spacing w:line="360" w:lineRule="auto"/>
        <w:jc w:val="both"/>
        <w:rPr>
          <w:highlight w:val="yellow"/>
        </w:rPr>
      </w:pPr>
    </w:p>
    <w:p w14:paraId="70B19007" w14:textId="791B1497" w:rsidR="006B05C7" w:rsidRPr="00926FBE" w:rsidRDefault="00424D17" w:rsidP="00F50955">
      <w:pPr>
        <w:tabs>
          <w:tab w:val="left" w:pos="5626"/>
        </w:tabs>
        <w:spacing w:line="360" w:lineRule="auto"/>
        <w:ind w:left="708"/>
        <w:jc w:val="both"/>
      </w:pPr>
      <w:r w:rsidRPr="00926FBE">
        <w:t>Pero, además, por</w:t>
      </w:r>
      <w:r w:rsidR="00167A59" w:rsidRPr="00926FBE">
        <w:t xml:space="preserve"> </w:t>
      </w:r>
      <w:r w:rsidRPr="00926FBE">
        <w:t>ser es</w:t>
      </w:r>
      <w:r w:rsidR="00167A59" w:rsidRPr="00926FBE">
        <w:t>tos elementos y muebles estaban custodiados por el</w:t>
      </w:r>
      <w:r w:rsidR="00D35DB9">
        <w:t xml:space="preserve"> </w:t>
      </w:r>
      <w:r w:rsidR="00D35DB9" w:rsidRPr="00926FBE">
        <w:t>IMRD</w:t>
      </w:r>
      <w:r w:rsidRPr="00926FBE">
        <w:t>, se materializa</w:t>
      </w:r>
      <w:r w:rsidR="00167A59" w:rsidRPr="00926FBE">
        <w:t xml:space="preserve"> una de las</w:t>
      </w:r>
      <w:r w:rsidR="006B05C7" w:rsidRPr="00926FBE">
        <w:t xml:space="preserve"> ex</w:t>
      </w:r>
      <w:r w:rsidR="00A15BF1" w:rsidRPr="00926FBE">
        <w:t>clusiones</w:t>
      </w:r>
      <w:r w:rsidR="006B05C7" w:rsidRPr="00926FBE">
        <w:t xml:space="preserve"> insertas en las condiciones generales</w:t>
      </w:r>
      <w:r w:rsidR="00A15BF1" w:rsidRPr="00926FBE">
        <w:t xml:space="preserve"> de la </w:t>
      </w:r>
      <w:r w:rsidR="00A15BF1" w:rsidRPr="00926FBE">
        <w:rPr>
          <w:rFonts w:ascii="Arial" w:hAnsi="Arial" w:cs="Arial"/>
        </w:rPr>
        <w:t xml:space="preserve">Póliza </w:t>
      </w:r>
      <w:r w:rsidR="00A15BF1" w:rsidRPr="00926FBE">
        <w:t xml:space="preserve">Seguro de Responsabilidad Civil Extracontractual No. 475-74-994000010524 numeral 20 </w:t>
      </w:r>
      <w:r w:rsidRPr="00926FBE">
        <w:t xml:space="preserve">que opera para el amparo básico </w:t>
      </w:r>
      <w:r w:rsidR="00167A59" w:rsidRPr="00926FBE">
        <w:t xml:space="preserve">en donde </w:t>
      </w:r>
      <w:r w:rsidR="00A15BF1" w:rsidRPr="00926FBE">
        <w:t>se concertó que la obligación incorporada en el contrato de seguro no sería exigible por reclamaciones:</w:t>
      </w:r>
    </w:p>
    <w:p w14:paraId="6CBB61FB" w14:textId="77777777" w:rsidR="00A15BF1" w:rsidRPr="000E4DBE" w:rsidRDefault="00A15BF1" w:rsidP="00A15BF1">
      <w:pPr>
        <w:pStyle w:val="Prrafodelista"/>
        <w:rPr>
          <w:highlight w:val="yellow"/>
        </w:rPr>
      </w:pPr>
    </w:p>
    <w:p w14:paraId="2382D1E7" w14:textId="0447EDEE" w:rsidR="00A15BF1" w:rsidRPr="00D35DB9" w:rsidRDefault="00A15BF1" w:rsidP="00A15BF1">
      <w:pPr>
        <w:pStyle w:val="Prrafodelista"/>
        <w:tabs>
          <w:tab w:val="left" w:pos="5626"/>
        </w:tabs>
        <w:spacing w:line="276" w:lineRule="auto"/>
        <w:ind w:left="1416" w:right="851"/>
        <w:jc w:val="both"/>
        <w:rPr>
          <w:i/>
          <w:iCs/>
          <w:sz w:val="20"/>
          <w:szCs w:val="20"/>
        </w:rPr>
      </w:pPr>
      <w:r w:rsidRPr="00D35DB9">
        <w:rPr>
          <w:i/>
          <w:iCs/>
          <w:sz w:val="20"/>
          <w:szCs w:val="20"/>
        </w:rPr>
        <w:t xml:space="preserve">“20. RECLAMACIONES A CAUSA DE DAÑOS OCASIONADOS A BIENES AJENOS, QUE HAYAN SIDO ENTREGADOS AL ASEGURADO EN ARRENDAMIENTO, COMODATO, DEPOSITO </w:t>
      </w:r>
      <w:r w:rsidRPr="00D35DB9">
        <w:rPr>
          <w:b/>
          <w:bCs/>
          <w:i/>
          <w:iCs/>
          <w:sz w:val="20"/>
          <w:szCs w:val="20"/>
          <w:u w:val="single"/>
        </w:rPr>
        <w:t>O CUSTODIA</w:t>
      </w:r>
      <w:r w:rsidRPr="00D35DB9">
        <w:rPr>
          <w:i/>
          <w:iCs/>
          <w:sz w:val="20"/>
          <w:szCs w:val="20"/>
        </w:rPr>
        <w:t>.”</w:t>
      </w:r>
    </w:p>
    <w:p w14:paraId="66EF5ADF" w14:textId="77777777" w:rsidR="006B05C7" w:rsidRPr="000E4DBE" w:rsidRDefault="006B05C7" w:rsidP="006B05C7">
      <w:pPr>
        <w:pStyle w:val="Prrafodelista"/>
        <w:rPr>
          <w:rFonts w:ascii="Arial" w:hAnsi="Arial" w:cs="Arial"/>
          <w:highlight w:val="yellow"/>
        </w:rPr>
      </w:pPr>
    </w:p>
    <w:p w14:paraId="22377030" w14:textId="77777777" w:rsidR="00D35DB9" w:rsidRDefault="00D35DB9" w:rsidP="00F50955">
      <w:pPr>
        <w:tabs>
          <w:tab w:val="left" w:pos="5626"/>
        </w:tabs>
        <w:spacing w:line="360" w:lineRule="auto"/>
        <w:ind w:left="708"/>
        <w:jc w:val="both"/>
      </w:pPr>
      <w:r>
        <w:lastRenderedPageBreak/>
        <w:t>Fruto de lo anterior, y t</w:t>
      </w:r>
      <w:r w:rsidR="002E49AE" w:rsidRPr="00D35DB9">
        <w:t xml:space="preserve">ras revisar los argumentos y documentos presentados en su solicitud de reconsideración, se determina que los bienes objeto de reclamación no están amparados por la cobertura de Responsabilidad Civil Extracontractual </w:t>
      </w:r>
      <w:r w:rsidR="00424D17" w:rsidRPr="00D35DB9">
        <w:t>de Predios, Labores y Operaciones por estar excluido el daño a</w:t>
      </w:r>
      <w:r w:rsidR="002E49AE" w:rsidRPr="00D35DB9">
        <w:t xml:space="preserve"> bienes bajo custodia, tenencia o control del asegurado</w:t>
      </w:r>
      <w:r w:rsidR="00424D17" w:rsidRPr="00D35DB9">
        <w:t xml:space="preserve"> y poque no se contrato el amparo adicional denominado RCE por bienes bajo cuidado, tenencia y control.</w:t>
      </w:r>
    </w:p>
    <w:p w14:paraId="4258EE82" w14:textId="77777777" w:rsidR="00D35DB9" w:rsidRDefault="00D35DB9" w:rsidP="00D35DB9">
      <w:pPr>
        <w:tabs>
          <w:tab w:val="left" w:pos="5626"/>
        </w:tabs>
        <w:spacing w:line="360" w:lineRule="auto"/>
        <w:jc w:val="both"/>
      </w:pPr>
    </w:p>
    <w:p w14:paraId="467B3340" w14:textId="0B10E540" w:rsidR="005A259C" w:rsidRPr="00D35DB9" w:rsidRDefault="00885E8E" w:rsidP="00F50955">
      <w:pPr>
        <w:tabs>
          <w:tab w:val="left" w:pos="5626"/>
        </w:tabs>
        <w:spacing w:line="360" w:lineRule="auto"/>
        <w:ind w:left="708"/>
        <w:jc w:val="both"/>
      </w:pPr>
      <w:r w:rsidRPr="00D35DB9">
        <w:t>Que, en el primer hecho expuesto en su reclamación inicial, se menciona que los elementos deportivos supuestamente destruidos por un conato de incendio se encontraban dentro del Complejo Deportivo Eustorgio Colmenares, en San José De Cúcuta, Norte De Santander, a la espera de una decisión por parte del IMRD o la entidad responsable sobre su reubicación. De acuerdo con esta descripción, se infiere que los elementos estaban bajo la custodia y control del asegurado, es decir, el Instituto Municipal para la Recreación y el Deporte – IMRD. En virtud de esta situación, se activa de manera automática la exclusión acordada en la póliza de seguro.</w:t>
      </w:r>
    </w:p>
    <w:p w14:paraId="56F807EA" w14:textId="77777777" w:rsidR="00885E8E" w:rsidRPr="000E4DBE" w:rsidRDefault="00885E8E" w:rsidP="00885E8E">
      <w:pPr>
        <w:pStyle w:val="Prrafodelista"/>
        <w:rPr>
          <w:highlight w:val="yellow"/>
        </w:rPr>
      </w:pPr>
    </w:p>
    <w:p w14:paraId="0BB26C79" w14:textId="497BB80A" w:rsidR="00885E8E" w:rsidRPr="00D35DB9" w:rsidRDefault="00885E8E" w:rsidP="00885E8E">
      <w:pPr>
        <w:pStyle w:val="Prrafodelista"/>
        <w:tabs>
          <w:tab w:val="left" w:pos="5626"/>
        </w:tabs>
        <w:spacing w:line="360" w:lineRule="auto"/>
        <w:jc w:val="center"/>
      </w:pPr>
      <w:r w:rsidRPr="00D35DB9">
        <w:rPr>
          <w:noProof/>
        </w:rPr>
        <w:drawing>
          <wp:inline distT="0" distB="0" distL="0" distR="0" wp14:anchorId="5EEE1E4F" wp14:editId="62D7DA3C">
            <wp:extent cx="4229317" cy="914447"/>
            <wp:effectExtent l="152400" t="152400" r="361950" b="361950"/>
            <wp:docPr id="200329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9138" name=""/>
                    <pic:cNvPicPr/>
                  </pic:nvPicPr>
                  <pic:blipFill>
                    <a:blip r:embed="rId11"/>
                    <a:stretch>
                      <a:fillRect/>
                    </a:stretch>
                  </pic:blipFill>
                  <pic:spPr>
                    <a:xfrm>
                      <a:off x="0" y="0"/>
                      <a:ext cx="4229317" cy="914447"/>
                    </a:xfrm>
                    <a:prstGeom prst="rect">
                      <a:avLst/>
                    </a:prstGeom>
                    <a:ln>
                      <a:noFill/>
                    </a:ln>
                    <a:effectLst>
                      <a:outerShdw blurRad="292100" dist="139700" dir="2700000" algn="tl" rotWithShape="0">
                        <a:srgbClr val="333333">
                          <a:alpha val="65000"/>
                        </a:srgbClr>
                      </a:outerShdw>
                    </a:effectLst>
                  </pic:spPr>
                </pic:pic>
              </a:graphicData>
            </a:graphic>
          </wp:inline>
        </w:drawing>
      </w:r>
      <w:r w:rsidRPr="00D35DB9">
        <w:rPr>
          <w:rStyle w:val="Refdenotaalpie"/>
        </w:rPr>
        <w:footnoteReference w:id="4"/>
      </w:r>
    </w:p>
    <w:p w14:paraId="0E3E8768" w14:textId="19A3A809" w:rsidR="005E588D" w:rsidRPr="00D35DB9" w:rsidRDefault="005E588D" w:rsidP="00F50955">
      <w:pPr>
        <w:spacing w:line="276" w:lineRule="auto"/>
        <w:ind w:left="708"/>
        <w:jc w:val="both"/>
      </w:pPr>
      <w:r w:rsidRPr="00D35DB9">
        <w:t>Además, podemos afirmar que el reclamante o interesado no satisfizo la carga de la prueba que le impone el artículo 1º77 del Código de Comercio, pues tras el análisis de los argumentos y documentos aportados en su solicitud de reconsideración, no se ha encontrado certificación alguna que demuestre la titularidad o dominio, por parte de la Liga, sobre los bienes alegadamente dañados, pues los documentos (cotizaciones) no demuestran que en algún momento hubiere una operación de compra como para argüir que eran</w:t>
      </w:r>
      <w:r w:rsidR="00D35DB9">
        <w:t xml:space="preserve"> de su dominio</w:t>
      </w:r>
      <w:r w:rsidRPr="00D35DB9">
        <w:t xml:space="preserve">, una cotización no demuestra el vínculo sustancial de los elementos incinerados con el haber patrimonial de la </w:t>
      </w:r>
      <w:r w:rsidR="00D35DB9" w:rsidRPr="00D35DB9">
        <w:t>Liga Norte Santandereana de Gimnasia</w:t>
      </w:r>
      <w:r w:rsidRPr="00D35DB9">
        <w:t xml:space="preserve">. Tampoco hay un inventario detallado realizado antes de la fecha del </w:t>
      </w:r>
      <w:r w:rsidR="00D35DB9">
        <w:t xml:space="preserve">conato de </w:t>
      </w:r>
      <w:r w:rsidRPr="00D35DB9">
        <w:t>incendio que enliste, la cantidad, con valor y características los elementos incinerados en la conflagración del</w:t>
      </w:r>
      <w:r w:rsidR="00D35DB9">
        <w:t xml:space="preserve"> 11 de diciembre de 2024</w:t>
      </w:r>
      <w:r w:rsidRPr="00D35DB9">
        <w:t>, por lo que dicha perdida ni siquiera cumple con los requisitos de indemnizabilidad del daño, que son la certeza y la realidad.</w:t>
      </w:r>
    </w:p>
    <w:p w14:paraId="39F32E45" w14:textId="77777777" w:rsidR="005E588D" w:rsidRDefault="005E588D" w:rsidP="005E588D">
      <w:pPr>
        <w:pStyle w:val="Prrafodelista"/>
        <w:spacing w:line="276" w:lineRule="auto"/>
        <w:jc w:val="both"/>
      </w:pPr>
    </w:p>
    <w:p w14:paraId="1DA484E8" w14:textId="0FDD5ADB" w:rsidR="005E588D" w:rsidRPr="00D35DB9" w:rsidRDefault="005E588D" w:rsidP="00F50955">
      <w:pPr>
        <w:spacing w:line="276" w:lineRule="auto"/>
        <w:ind w:left="708"/>
        <w:jc w:val="both"/>
      </w:pPr>
      <w:r w:rsidRPr="00D35DB9">
        <w:t>En consecuencia, los hechos descritos por el reclamante no configuran un siniestro cubierto por nuestra póliza, dado que no se ha demostrado que los daños materiales afecten bienes que formen parte del patrimonio del Instituto asegurado.</w:t>
      </w:r>
    </w:p>
    <w:p w14:paraId="3733BD6F" w14:textId="77777777" w:rsidR="005E588D" w:rsidRPr="003F3212" w:rsidRDefault="005E588D" w:rsidP="005E588D">
      <w:pPr>
        <w:tabs>
          <w:tab w:val="left" w:pos="5626"/>
        </w:tabs>
        <w:spacing w:line="276" w:lineRule="auto"/>
        <w:jc w:val="both"/>
        <w:rPr>
          <w:highlight w:val="yellow"/>
        </w:rPr>
      </w:pPr>
    </w:p>
    <w:p w14:paraId="13BEEA82" w14:textId="37170C47" w:rsidR="00A15BF1" w:rsidRPr="00F50955" w:rsidRDefault="005A259C" w:rsidP="00F50955">
      <w:pPr>
        <w:pStyle w:val="Prrafodelista"/>
        <w:numPr>
          <w:ilvl w:val="0"/>
          <w:numId w:val="22"/>
        </w:numPr>
        <w:tabs>
          <w:tab w:val="left" w:pos="5626"/>
        </w:tabs>
        <w:spacing w:line="276" w:lineRule="auto"/>
        <w:jc w:val="both"/>
        <w:rPr>
          <w:i/>
          <w:iCs/>
          <w:sz w:val="20"/>
          <w:szCs w:val="20"/>
        </w:rPr>
      </w:pPr>
      <w:r w:rsidRPr="00D35DB9">
        <w:t xml:space="preserve">Que el contrato de seguro </w:t>
      </w:r>
      <w:r w:rsidR="00885E8E" w:rsidRPr="00D35DB9">
        <w:t>Todo Riesgo Daños Materiales Entidades Estatales</w:t>
      </w:r>
      <w:r w:rsidRPr="00D35DB9">
        <w:t xml:space="preserve">, instrumentado en la </w:t>
      </w:r>
      <w:r w:rsidR="00885E8E" w:rsidRPr="00D35DB9">
        <w:t>P</w:t>
      </w:r>
      <w:r w:rsidRPr="00D35DB9">
        <w:t xml:space="preserve">óliza No.475-74-994000010524, tiene como objeto </w:t>
      </w:r>
      <w:r w:rsidRPr="00F50955">
        <w:rPr>
          <w:i/>
          <w:iCs/>
          <w:sz w:val="20"/>
          <w:szCs w:val="20"/>
        </w:rPr>
        <w:t xml:space="preserve">“GARANTIZAR EL PAGO DE LOS PERJUICIOS DERIVADOS DEL INCUMPLIMIENTO DE LAS OBLIGACIONES A CARGO DEL CONTRATISTA DERIVADAS DE CONTRATO No. LP - 001 - 2023 DE FECHA 27 DE </w:t>
      </w:r>
      <w:r w:rsidRPr="00F50955">
        <w:rPr>
          <w:i/>
          <w:iCs/>
          <w:sz w:val="20"/>
          <w:szCs w:val="20"/>
        </w:rPr>
        <w:lastRenderedPageBreak/>
        <w:t>JULIO DE 2023 CELEBRADO ENTRE LAS PARTES, RELACIONADO CON ADECUACION DE COMPLEJO DEPORTIVO EUSTORGIO COLMENARES, SAN JOSÉ DE CÚCUTA, NORTE DE SANTANDER.”</w:t>
      </w:r>
    </w:p>
    <w:p w14:paraId="62E7E779" w14:textId="77777777" w:rsidR="007B4FCE" w:rsidRDefault="007B4FCE" w:rsidP="00D35DB9">
      <w:pPr>
        <w:tabs>
          <w:tab w:val="left" w:pos="5626"/>
        </w:tabs>
        <w:spacing w:line="276" w:lineRule="auto"/>
        <w:jc w:val="both"/>
        <w:rPr>
          <w:i/>
          <w:iCs/>
          <w:sz w:val="20"/>
          <w:szCs w:val="20"/>
        </w:rPr>
      </w:pPr>
    </w:p>
    <w:p w14:paraId="050902B7" w14:textId="6F4BC467" w:rsidR="005A259C" w:rsidRDefault="008E4022" w:rsidP="00F50955">
      <w:pPr>
        <w:spacing w:line="360" w:lineRule="auto"/>
        <w:ind w:left="708"/>
        <w:jc w:val="both"/>
      </w:pPr>
      <w:r w:rsidRPr="008E4022">
        <w:t>En el mencionado contrato de seguro, actúa en calidad de tomador y asegurado el Instituto Municipal para la Recreación y el Deporte (IMRD), sin que se haya tomado la póliza por cuenta de un tercero indeterminado. Por consiguiente, se omite el análisis de la solicitud de reconsideración del reclamante, ya que la póliza del contrato de seguro Todo Riesgo Daños Materiales para Entidades Estatales, instrumentada en la Póliza No. 475-74-994000010524, no cubre los daños materiales que la Liga de Gimnasia alega haber sufrido en su patrimonio, habida consideración de que no se ha acreditado que los bienes sean propiedad del asegurado, es decir, del IMRD.</w:t>
      </w:r>
    </w:p>
    <w:p w14:paraId="13F03DFE" w14:textId="77777777" w:rsidR="00F50955" w:rsidRDefault="00F50955" w:rsidP="00F50955">
      <w:pPr>
        <w:tabs>
          <w:tab w:val="left" w:pos="5626"/>
        </w:tabs>
        <w:spacing w:line="276" w:lineRule="auto"/>
        <w:jc w:val="both"/>
      </w:pPr>
      <w:bookmarkStart w:id="0" w:name="_Hlk164879465"/>
    </w:p>
    <w:p w14:paraId="1E3226D9" w14:textId="1037B0C4" w:rsidR="005A259C" w:rsidRDefault="000E4DBE" w:rsidP="00F50955">
      <w:pPr>
        <w:tabs>
          <w:tab w:val="left" w:pos="5626"/>
        </w:tabs>
        <w:spacing w:line="276" w:lineRule="auto"/>
        <w:jc w:val="both"/>
      </w:pPr>
      <w:r w:rsidRPr="007B4FCE">
        <w:t>Además,</w:t>
      </w:r>
      <w:r w:rsidR="00424D17" w:rsidRPr="007B4FCE">
        <w:t xml:space="preserve"> podemos afirmar que el reclamante o interesado no satisfizo la carga de la prueba que le impone el artículo 1</w:t>
      </w:r>
      <w:r w:rsidR="00F50955">
        <w:t>0</w:t>
      </w:r>
      <w:r w:rsidR="00424D17" w:rsidRPr="007B4FCE">
        <w:t>77 del Código de Comercio, pues t</w:t>
      </w:r>
      <w:r w:rsidR="005A259C" w:rsidRPr="007B4FCE">
        <w:t>ras el análisis de los argumentos y documentos aportados en su solicitud de reconsideración, no se ha encontrado certificación alguna que demuestre la titularidad</w:t>
      </w:r>
      <w:r w:rsidR="00424D17" w:rsidRPr="007B4FCE">
        <w:t xml:space="preserve"> o dominio</w:t>
      </w:r>
      <w:r w:rsidR="005A259C" w:rsidRPr="007B4FCE">
        <w:t xml:space="preserve">, por parte </w:t>
      </w:r>
      <w:r w:rsidRPr="007B4FCE">
        <w:t>del Instituto</w:t>
      </w:r>
      <w:r w:rsidR="005A259C" w:rsidRPr="007B4FCE">
        <w:t>, sobre los bienes alegadamente dañados. En consecuencia, los hechos descritos por el reclamante no configuran un siniestro cubierto por nuestra póliza, dado que no se ha demostrado que los daños materiales afecten bienes que formen parte del patrimonio del</w:t>
      </w:r>
      <w:r w:rsidR="00885E8E" w:rsidRPr="007B4FCE">
        <w:t xml:space="preserve"> Instituto asegurado.</w:t>
      </w:r>
    </w:p>
    <w:p w14:paraId="1BEFB3BF" w14:textId="77777777" w:rsidR="008E4022" w:rsidRDefault="008E4022" w:rsidP="008E4022">
      <w:pPr>
        <w:tabs>
          <w:tab w:val="left" w:pos="5626"/>
        </w:tabs>
        <w:spacing w:line="276" w:lineRule="auto"/>
        <w:jc w:val="both"/>
      </w:pPr>
    </w:p>
    <w:bookmarkEnd w:id="0"/>
    <w:p w14:paraId="36CE3113" w14:textId="77777777" w:rsidR="00F50955" w:rsidRDefault="00F50955" w:rsidP="00F50955"/>
    <w:p w14:paraId="7F06F347" w14:textId="424A488D" w:rsidR="00F414FA" w:rsidRDefault="00F414FA" w:rsidP="00F50955">
      <w:r>
        <w:t>En consecuencia, ratificamos la objeción a su solicitud de pago ante el aviso que nos han dado.</w:t>
      </w:r>
    </w:p>
    <w:p w14:paraId="48AFF0D7" w14:textId="77777777" w:rsidR="00F414FA" w:rsidRDefault="00F414FA" w:rsidP="00F414FA"/>
    <w:p w14:paraId="5591CB23" w14:textId="77777777" w:rsidR="0071393E" w:rsidRDefault="0071393E" w:rsidP="00124847">
      <w:pPr>
        <w:tabs>
          <w:tab w:val="left" w:pos="5626"/>
        </w:tabs>
        <w:spacing w:line="276" w:lineRule="auto"/>
        <w:jc w:val="both"/>
        <w:rPr>
          <w:rFonts w:ascii="Arial" w:hAnsi="Arial" w:cs="Arial"/>
        </w:rPr>
      </w:pPr>
    </w:p>
    <w:p w14:paraId="0485CDD0" w14:textId="77777777" w:rsidR="00865C3B" w:rsidRDefault="00865C3B" w:rsidP="00124847">
      <w:pPr>
        <w:tabs>
          <w:tab w:val="left" w:pos="5626"/>
        </w:tabs>
        <w:spacing w:line="276" w:lineRule="auto"/>
        <w:jc w:val="both"/>
        <w:rPr>
          <w:rFonts w:ascii="Arial" w:hAnsi="Arial" w:cs="Arial"/>
        </w:rPr>
      </w:pPr>
      <w:r w:rsidRPr="005C103B">
        <w:rPr>
          <w:rFonts w:ascii="Arial" w:hAnsi="Arial" w:cs="Arial"/>
        </w:rPr>
        <w:t xml:space="preserve">Cordialmente, </w:t>
      </w:r>
    </w:p>
    <w:p w14:paraId="61E9E8B1" w14:textId="77777777" w:rsidR="00F50955" w:rsidRPr="005C103B" w:rsidRDefault="00F50955" w:rsidP="00124847">
      <w:pPr>
        <w:tabs>
          <w:tab w:val="left" w:pos="5626"/>
        </w:tabs>
        <w:spacing w:line="276" w:lineRule="auto"/>
        <w:jc w:val="both"/>
        <w:rPr>
          <w:rFonts w:ascii="Arial" w:hAnsi="Arial" w:cs="Arial"/>
        </w:rPr>
      </w:pPr>
    </w:p>
    <w:p w14:paraId="446E3597" w14:textId="77777777" w:rsidR="00865C3B" w:rsidRPr="005C103B" w:rsidRDefault="00865C3B" w:rsidP="00124847">
      <w:pPr>
        <w:tabs>
          <w:tab w:val="left" w:pos="5626"/>
        </w:tabs>
        <w:spacing w:line="276" w:lineRule="auto"/>
        <w:jc w:val="both"/>
        <w:rPr>
          <w:rFonts w:ascii="Arial" w:hAnsi="Arial" w:cs="Arial"/>
        </w:rPr>
      </w:pPr>
    </w:p>
    <w:p w14:paraId="67DB61C0" w14:textId="77777777" w:rsidR="00045AD6" w:rsidRDefault="00045AD6" w:rsidP="00045AD6">
      <w:pPr>
        <w:pStyle w:val="xmsonormal"/>
        <w:shd w:val="clear" w:color="auto" w:fill="FFFFFF"/>
        <w:spacing w:before="0" w:beforeAutospacing="0" w:after="0" w:afterAutospacing="0"/>
        <w:rPr>
          <w:rFonts w:ascii="Calibri" w:hAnsi="Calibri" w:cs="Calibri"/>
          <w:color w:val="242424"/>
          <w:sz w:val="22"/>
          <w:szCs w:val="22"/>
        </w:rPr>
      </w:pPr>
      <w:r>
        <w:rPr>
          <w:rStyle w:val="markfy748xlnl"/>
          <w:rFonts w:ascii="Arial" w:hAnsi="Arial" w:cs="Arial"/>
          <w:b/>
          <w:bCs/>
          <w:color w:val="000000"/>
          <w:sz w:val="20"/>
          <w:szCs w:val="20"/>
          <w:bdr w:val="none" w:sz="0" w:space="0" w:color="auto" w:frame="1"/>
        </w:rPr>
        <w:t>GERMAN</w:t>
      </w:r>
      <w:r>
        <w:rPr>
          <w:rFonts w:ascii="Arial" w:hAnsi="Arial" w:cs="Arial"/>
          <w:b/>
          <w:bCs/>
          <w:color w:val="000000"/>
          <w:sz w:val="20"/>
          <w:szCs w:val="20"/>
          <w:bdr w:val="none" w:sz="0" w:space="0" w:color="auto" w:frame="1"/>
        </w:rPr>
        <w:t> LONDOÑO GIRALDO</w:t>
      </w:r>
    </w:p>
    <w:p w14:paraId="6641FEA4" w14:textId="77777777" w:rsidR="00045AD6" w:rsidRDefault="00045AD6" w:rsidP="00045AD6">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000000"/>
          <w:sz w:val="20"/>
          <w:szCs w:val="20"/>
          <w:bdr w:val="none" w:sz="0" w:space="0" w:color="auto" w:frame="1"/>
        </w:rPr>
        <w:t>GERENTE</w:t>
      </w:r>
    </w:p>
    <w:p w14:paraId="0CD2D3B7" w14:textId="77777777" w:rsidR="00045AD6" w:rsidRDefault="00045AD6" w:rsidP="00045AD6">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000000"/>
          <w:sz w:val="20"/>
          <w:szCs w:val="20"/>
          <w:bdr w:val="none" w:sz="0" w:space="0" w:color="auto" w:frame="1"/>
        </w:rPr>
        <w:t>GERENCIA INDEMNIZACIONES SEGUROS GENERALES</w:t>
      </w:r>
    </w:p>
    <w:p w14:paraId="6B81A761" w14:textId="36F36AF9" w:rsidR="0071393E" w:rsidRPr="005C103B" w:rsidRDefault="00865C3B" w:rsidP="00124847">
      <w:pPr>
        <w:tabs>
          <w:tab w:val="left" w:pos="5626"/>
        </w:tabs>
        <w:spacing w:line="276" w:lineRule="auto"/>
        <w:jc w:val="both"/>
        <w:rPr>
          <w:rFonts w:ascii="Arial" w:hAnsi="Arial" w:cs="Arial"/>
          <w:b/>
          <w:bCs/>
        </w:rPr>
      </w:pPr>
      <w:r w:rsidRPr="005C103B">
        <w:rPr>
          <w:rFonts w:ascii="Arial" w:hAnsi="Arial" w:cs="Arial"/>
          <w:b/>
          <w:bCs/>
        </w:rPr>
        <w:t>Aseguradora Solidaria de Colombia</w:t>
      </w:r>
      <w:r w:rsidR="002E1B08">
        <w:rPr>
          <w:rFonts w:ascii="Arial" w:hAnsi="Arial" w:cs="Arial"/>
          <w:b/>
          <w:bCs/>
        </w:rPr>
        <w:t>.</w:t>
      </w:r>
    </w:p>
    <w:p w14:paraId="00D88A46" w14:textId="1D99AF25" w:rsidR="001D55FC" w:rsidRPr="001D55FC" w:rsidRDefault="001D55FC" w:rsidP="001D55FC">
      <w:pPr>
        <w:tabs>
          <w:tab w:val="left" w:pos="5626"/>
        </w:tabs>
        <w:spacing w:line="276" w:lineRule="auto"/>
        <w:jc w:val="both"/>
        <w:rPr>
          <w:rFonts w:ascii="Arial" w:hAnsi="Arial" w:cs="Arial"/>
        </w:rPr>
      </w:pPr>
    </w:p>
    <w:sectPr w:rsidR="001D55FC" w:rsidRPr="001D55FC" w:rsidSect="00CA04FD">
      <w:headerReference w:type="default" r:id="rId12"/>
      <w:footerReference w:type="default" r:id="rId13"/>
      <w:pgSz w:w="12240" w:h="20160" w:code="5"/>
      <w:pgMar w:top="1985" w:right="1304" w:bottom="2835" w:left="1304" w:header="709"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0124B" w14:textId="77777777" w:rsidR="00CA04FD" w:rsidRDefault="00CA04FD" w:rsidP="0025591F">
      <w:r>
        <w:separator/>
      </w:r>
    </w:p>
  </w:endnote>
  <w:endnote w:type="continuationSeparator" w:id="0">
    <w:p w14:paraId="1172710F" w14:textId="77777777" w:rsidR="00CA04FD" w:rsidRDefault="00CA04F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CDF8" w14:textId="17D11293" w:rsidR="002B5E76" w:rsidRPr="0011326C" w:rsidRDefault="00B54DCC" w:rsidP="0011326C">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73EE4CB9" wp14:editId="38833F7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3AAF6BB" w14:textId="3D2533CE" w:rsidR="00416F84" w:rsidRPr="004A356B" w:rsidRDefault="00416F84" w:rsidP="00416F84">
                    <w:pPr>
                      <w:spacing w:before="10"/>
                      <w:jc w:val="right"/>
                      <w:rPr>
                        <w:rFonts w:ascii="Raleway" w:hAnsi="Raleway"/>
                        <w:color w:val="11213B"/>
                        <w:w w:val="105"/>
                        <w:sz w:val="14"/>
                        <w:szCs w:val="14"/>
                      </w:rPr>
                    </w:pPr>
                  </w:p>
                </w:txbxContent>
              </v:textbox>
              <w10:wrap anchorx="margin" anchory="page"/>
            </v:rect>
          </w:pict>
        </mc:Fallback>
      </mc:AlternateContent>
    </w:r>
    <w:r w:rsidR="00B43063">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00E23DED"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00E23DED"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6E701" w14:textId="77777777" w:rsidR="00CA04FD" w:rsidRDefault="00CA04FD" w:rsidP="0025591F">
      <w:r>
        <w:separator/>
      </w:r>
    </w:p>
  </w:footnote>
  <w:footnote w:type="continuationSeparator" w:id="0">
    <w:p w14:paraId="415039A4" w14:textId="77777777" w:rsidR="00CA04FD" w:rsidRDefault="00CA04FD" w:rsidP="0025591F">
      <w:r>
        <w:continuationSeparator/>
      </w:r>
    </w:p>
  </w:footnote>
  <w:footnote w:id="1">
    <w:p w14:paraId="44AC16A3" w14:textId="7514791A" w:rsidR="00B3653C" w:rsidRDefault="00B3653C">
      <w:pPr>
        <w:pStyle w:val="Textonotapie"/>
      </w:pPr>
      <w:r>
        <w:rPr>
          <w:rStyle w:val="Refdenotaalpie"/>
        </w:rPr>
        <w:footnoteRef/>
      </w:r>
      <w:r>
        <w:t xml:space="preserve"> </w:t>
      </w:r>
      <w:r w:rsidRPr="00B3653C">
        <w:rPr>
          <w:rFonts w:ascii="Arial" w:hAnsi="Arial" w:cs="Arial"/>
          <w:i/>
          <w:iCs/>
          <w:sz w:val="16"/>
          <w:szCs w:val="16"/>
        </w:rPr>
        <w:t>Corte Suprema de Justicia, Sala de Casación Civil, sentencia del 17 de septiembre de 2015, MP. Ariel Salazar Ramírez, radicado 11001-02-03-000-2015-02084-00</w:t>
      </w:r>
    </w:p>
  </w:footnote>
  <w:footnote w:id="2">
    <w:p w14:paraId="155BB326" w14:textId="5351AFAF" w:rsidR="00926FBE" w:rsidRPr="00D35DB9" w:rsidRDefault="00926FBE">
      <w:pPr>
        <w:pStyle w:val="Textonotapie"/>
        <w:rPr>
          <w:i/>
          <w:iCs/>
          <w:sz w:val="16"/>
          <w:szCs w:val="16"/>
        </w:rPr>
      </w:pPr>
      <w:r w:rsidRPr="00D35DB9">
        <w:rPr>
          <w:rStyle w:val="Refdenotaalpie"/>
          <w:i/>
          <w:iCs/>
          <w:sz w:val="16"/>
          <w:szCs w:val="16"/>
        </w:rPr>
        <w:footnoteRef/>
      </w:r>
      <w:r w:rsidRPr="00D35DB9">
        <w:rPr>
          <w:i/>
          <w:iCs/>
          <w:sz w:val="16"/>
          <w:szCs w:val="16"/>
        </w:rPr>
        <w:t xml:space="preserve"> </w:t>
      </w:r>
      <w:r w:rsidRPr="00D35DB9">
        <w:rPr>
          <w:rFonts w:ascii="Arial" w:hAnsi="Arial" w:cs="Arial"/>
          <w:i/>
          <w:iCs/>
          <w:sz w:val="16"/>
          <w:szCs w:val="16"/>
        </w:rPr>
        <w:t>Carátula Póliza Seguro de Responsabilidad Civil Extracontractual No. 475-74-994000010524</w:t>
      </w:r>
    </w:p>
  </w:footnote>
  <w:footnote w:id="3">
    <w:p w14:paraId="5EF923F5" w14:textId="3BBA2191" w:rsidR="00926FBE" w:rsidRDefault="00926FBE">
      <w:pPr>
        <w:pStyle w:val="Textonotapie"/>
      </w:pPr>
      <w:r w:rsidRPr="00D35DB9">
        <w:rPr>
          <w:rStyle w:val="Refdenotaalpie"/>
          <w:i/>
          <w:iCs/>
          <w:sz w:val="16"/>
          <w:szCs w:val="16"/>
        </w:rPr>
        <w:footnoteRef/>
      </w:r>
      <w:r w:rsidRPr="00D35DB9">
        <w:rPr>
          <w:i/>
          <w:iCs/>
          <w:sz w:val="16"/>
          <w:szCs w:val="16"/>
        </w:rPr>
        <w:t xml:space="preserve"> San José de Cúcuta, 05 de enero de 2024.</w:t>
      </w:r>
    </w:p>
  </w:footnote>
  <w:footnote w:id="4">
    <w:p w14:paraId="2A5028A2" w14:textId="724B5FF1" w:rsidR="00885E8E" w:rsidRDefault="00885E8E" w:rsidP="00885E8E">
      <w:pPr>
        <w:pStyle w:val="Textonotapie"/>
        <w:jc w:val="both"/>
      </w:pPr>
      <w:r>
        <w:rPr>
          <w:rStyle w:val="Refdenotaalpie"/>
        </w:rPr>
        <w:footnoteRef/>
      </w:r>
      <w:r>
        <w:t xml:space="preserve"> </w:t>
      </w:r>
      <w:r w:rsidRPr="00885E8E">
        <w:rPr>
          <w:i/>
          <w:iCs/>
          <w:sz w:val="16"/>
          <w:szCs w:val="16"/>
        </w:rPr>
        <w:t xml:space="preserve">asunto: reclamación formal del pago de la póliza no. 475-74- 994000010524, póliza no. 475-83-994000000077 o cualquier otra que cubra los daños de los elementos deportivos y otros de la liga nortesantandereana de gimnasia por el incendio sucedido el 11 de diciembre de 2023 en el coliseo menor </w:t>
      </w:r>
      <w:proofErr w:type="spellStart"/>
      <w:r w:rsidRPr="00885E8E">
        <w:rPr>
          <w:i/>
          <w:iCs/>
          <w:sz w:val="16"/>
          <w:szCs w:val="16"/>
        </w:rPr>
        <w:t>eustorgio</w:t>
      </w:r>
      <w:proofErr w:type="spellEnd"/>
      <w:r w:rsidRPr="00885E8E">
        <w:rPr>
          <w:i/>
          <w:iCs/>
          <w:sz w:val="16"/>
          <w:szCs w:val="16"/>
        </w:rPr>
        <w:t xml:space="preserve"> colmenares baptista de la ciudad de </w:t>
      </w:r>
      <w:proofErr w:type="spellStart"/>
      <w:r w:rsidRPr="00885E8E">
        <w:rPr>
          <w:i/>
          <w:iCs/>
          <w:sz w:val="16"/>
          <w:szCs w:val="16"/>
        </w:rPr>
        <w:t>cúcuta</w:t>
      </w:r>
      <w:proofErr w:type="spellEnd"/>
      <w:r w:rsidRPr="00885E8E">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3272D65"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4" w15:restartNumberingAfterBreak="0">
    <w:nsid w:val="248528CE"/>
    <w:multiLevelType w:val="hybridMultilevel"/>
    <w:tmpl w:val="078A82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A33426"/>
    <w:multiLevelType w:val="multilevel"/>
    <w:tmpl w:val="AA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643C0"/>
    <w:multiLevelType w:val="hybridMultilevel"/>
    <w:tmpl w:val="99DC2930"/>
    <w:lvl w:ilvl="0" w:tplc="7C540D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0"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1"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3"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DC20BF"/>
    <w:multiLevelType w:val="hybridMultilevel"/>
    <w:tmpl w:val="23C6C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17" w15:restartNumberingAfterBreak="0">
    <w:nsid w:val="5BA342AA"/>
    <w:multiLevelType w:val="hybridMultilevel"/>
    <w:tmpl w:val="79D0AF1E"/>
    <w:lvl w:ilvl="0" w:tplc="A6F45878">
      <w:start w:val="1"/>
      <w:numFmt w:val="decimal"/>
      <w:lvlText w:val="%1."/>
      <w:lvlJc w:val="left"/>
      <w:pPr>
        <w:ind w:left="720" w:hanging="360"/>
      </w:pPr>
      <w:rPr>
        <w:rFonts w:hint="default"/>
        <w:i w:val="0"/>
        <w:i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C20478"/>
    <w:multiLevelType w:val="hybridMultilevel"/>
    <w:tmpl w:val="3D148E1C"/>
    <w:lvl w:ilvl="0" w:tplc="62221CE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4856901">
    <w:abstractNumId w:val="2"/>
  </w:num>
  <w:num w:numId="2" w16cid:durableId="1126003788">
    <w:abstractNumId w:val="3"/>
  </w:num>
  <w:num w:numId="3" w16cid:durableId="1480998017">
    <w:abstractNumId w:val="9"/>
  </w:num>
  <w:num w:numId="4" w16cid:durableId="1389187562">
    <w:abstractNumId w:val="5"/>
  </w:num>
  <w:num w:numId="5" w16cid:durableId="1079449185">
    <w:abstractNumId w:val="18"/>
  </w:num>
  <w:num w:numId="6" w16cid:durableId="4094774">
    <w:abstractNumId w:val="16"/>
  </w:num>
  <w:num w:numId="7" w16cid:durableId="1033924569">
    <w:abstractNumId w:val="0"/>
  </w:num>
  <w:num w:numId="8" w16cid:durableId="1041397770">
    <w:abstractNumId w:val="12"/>
  </w:num>
  <w:num w:numId="9" w16cid:durableId="2134446339">
    <w:abstractNumId w:val="15"/>
  </w:num>
  <w:num w:numId="10" w16cid:durableId="326979205">
    <w:abstractNumId w:val="1"/>
  </w:num>
  <w:num w:numId="11" w16cid:durableId="1897619809">
    <w:abstractNumId w:val="21"/>
  </w:num>
  <w:num w:numId="12" w16cid:durableId="503858803">
    <w:abstractNumId w:val="13"/>
  </w:num>
  <w:num w:numId="13" w16cid:durableId="1832789797">
    <w:abstractNumId w:val="10"/>
  </w:num>
  <w:num w:numId="14" w16cid:durableId="1939873758">
    <w:abstractNumId w:val="11"/>
  </w:num>
  <w:num w:numId="15" w16cid:durableId="1110008377">
    <w:abstractNumId w:val="6"/>
  </w:num>
  <w:num w:numId="16" w16cid:durableId="1799715098">
    <w:abstractNumId w:val="19"/>
  </w:num>
  <w:num w:numId="17" w16cid:durableId="890846755">
    <w:abstractNumId w:val="14"/>
  </w:num>
  <w:num w:numId="18" w16cid:durableId="1432897141">
    <w:abstractNumId w:val="7"/>
  </w:num>
  <w:num w:numId="19" w16cid:durableId="1465932093">
    <w:abstractNumId w:val="8"/>
  </w:num>
  <w:num w:numId="20" w16cid:durableId="2131587951">
    <w:abstractNumId w:val="20"/>
  </w:num>
  <w:num w:numId="21" w16cid:durableId="2068650228">
    <w:abstractNumId w:val="4"/>
  </w:num>
  <w:num w:numId="22" w16cid:durableId="4759534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1444D"/>
    <w:rsid w:val="000144A5"/>
    <w:rsid w:val="00015082"/>
    <w:rsid w:val="000154E5"/>
    <w:rsid w:val="00020689"/>
    <w:rsid w:val="00025687"/>
    <w:rsid w:val="00025EA7"/>
    <w:rsid w:val="0003111F"/>
    <w:rsid w:val="00032CD9"/>
    <w:rsid w:val="00045AD6"/>
    <w:rsid w:val="00050E1D"/>
    <w:rsid w:val="000573E3"/>
    <w:rsid w:val="00077EEB"/>
    <w:rsid w:val="00086A07"/>
    <w:rsid w:val="000A0789"/>
    <w:rsid w:val="000A6991"/>
    <w:rsid w:val="000B3BE1"/>
    <w:rsid w:val="000B538C"/>
    <w:rsid w:val="000C2815"/>
    <w:rsid w:val="000C4DED"/>
    <w:rsid w:val="000C7469"/>
    <w:rsid w:val="000D031C"/>
    <w:rsid w:val="000D124F"/>
    <w:rsid w:val="000D52F5"/>
    <w:rsid w:val="000D5F36"/>
    <w:rsid w:val="000E0AEC"/>
    <w:rsid w:val="000E348E"/>
    <w:rsid w:val="000E4DBE"/>
    <w:rsid w:val="000E6F31"/>
    <w:rsid w:val="000E7330"/>
    <w:rsid w:val="000F0D39"/>
    <w:rsid w:val="000F3543"/>
    <w:rsid w:val="000F76F8"/>
    <w:rsid w:val="00100CEE"/>
    <w:rsid w:val="0011326C"/>
    <w:rsid w:val="00116E65"/>
    <w:rsid w:val="00124847"/>
    <w:rsid w:val="0014416A"/>
    <w:rsid w:val="0014416E"/>
    <w:rsid w:val="00146D82"/>
    <w:rsid w:val="001558CB"/>
    <w:rsid w:val="00157282"/>
    <w:rsid w:val="00157F60"/>
    <w:rsid w:val="0016281D"/>
    <w:rsid w:val="001632CC"/>
    <w:rsid w:val="001671C7"/>
    <w:rsid w:val="00167A59"/>
    <w:rsid w:val="00175C68"/>
    <w:rsid w:val="00177DD7"/>
    <w:rsid w:val="00183622"/>
    <w:rsid w:val="0018711B"/>
    <w:rsid w:val="00190529"/>
    <w:rsid w:val="0019062C"/>
    <w:rsid w:val="00191A49"/>
    <w:rsid w:val="001925A0"/>
    <w:rsid w:val="001949D1"/>
    <w:rsid w:val="00194DAC"/>
    <w:rsid w:val="001A0ED0"/>
    <w:rsid w:val="001A65FF"/>
    <w:rsid w:val="001A7639"/>
    <w:rsid w:val="001B5C29"/>
    <w:rsid w:val="001C2FCD"/>
    <w:rsid w:val="001C62B4"/>
    <w:rsid w:val="001D30D3"/>
    <w:rsid w:val="001D55FC"/>
    <w:rsid w:val="001D6F5A"/>
    <w:rsid w:val="001E6FBB"/>
    <w:rsid w:val="001F3957"/>
    <w:rsid w:val="001F3A4E"/>
    <w:rsid w:val="00201129"/>
    <w:rsid w:val="002041ED"/>
    <w:rsid w:val="0021224E"/>
    <w:rsid w:val="00216E7E"/>
    <w:rsid w:val="002254CC"/>
    <w:rsid w:val="00226EF9"/>
    <w:rsid w:val="0023316E"/>
    <w:rsid w:val="00234F3F"/>
    <w:rsid w:val="002428E0"/>
    <w:rsid w:val="00247CE6"/>
    <w:rsid w:val="00254E27"/>
    <w:rsid w:val="0025591F"/>
    <w:rsid w:val="00267DDC"/>
    <w:rsid w:val="00270806"/>
    <w:rsid w:val="00274D01"/>
    <w:rsid w:val="00281D90"/>
    <w:rsid w:val="002927E8"/>
    <w:rsid w:val="00295B60"/>
    <w:rsid w:val="002A0049"/>
    <w:rsid w:val="002A0A01"/>
    <w:rsid w:val="002A0CDC"/>
    <w:rsid w:val="002A17BB"/>
    <w:rsid w:val="002A1F2F"/>
    <w:rsid w:val="002A5B53"/>
    <w:rsid w:val="002B4E0F"/>
    <w:rsid w:val="002B5E76"/>
    <w:rsid w:val="002C212E"/>
    <w:rsid w:val="002C6A2F"/>
    <w:rsid w:val="002E1B08"/>
    <w:rsid w:val="002E49AE"/>
    <w:rsid w:val="002F5263"/>
    <w:rsid w:val="002F566E"/>
    <w:rsid w:val="003053BB"/>
    <w:rsid w:val="003113F0"/>
    <w:rsid w:val="00315F9E"/>
    <w:rsid w:val="00316F6F"/>
    <w:rsid w:val="00317313"/>
    <w:rsid w:val="0032414A"/>
    <w:rsid w:val="0033450C"/>
    <w:rsid w:val="003374D7"/>
    <w:rsid w:val="003462B8"/>
    <w:rsid w:val="00346BCE"/>
    <w:rsid w:val="003503EF"/>
    <w:rsid w:val="0035274B"/>
    <w:rsid w:val="00353442"/>
    <w:rsid w:val="00373FBE"/>
    <w:rsid w:val="00375AFE"/>
    <w:rsid w:val="00381656"/>
    <w:rsid w:val="00383852"/>
    <w:rsid w:val="0038615D"/>
    <w:rsid w:val="003912B6"/>
    <w:rsid w:val="003B3B19"/>
    <w:rsid w:val="003B4939"/>
    <w:rsid w:val="003B52E4"/>
    <w:rsid w:val="003C1CAE"/>
    <w:rsid w:val="003C2967"/>
    <w:rsid w:val="003C3393"/>
    <w:rsid w:val="003C5BCE"/>
    <w:rsid w:val="003C6B2D"/>
    <w:rsid w:val="003D3E08"/>
    <w:rsid w:val="003D79EF"/>
    <w:rsid w:val="003E1338"/>
    <w:rsid w:val="003F0B86"/>
    <w:rsid w:val="003F26B0"/>
    <w:rsid w:val="003F3212"/>
    <w:rsid w:val="00400DAA"/>
    <w:rsid w:val="00404FE1"/>
    <w:rsid w:val="00405492"/>
    <w:rsid w:val="004069D1"/>
    <w:rsid w:val="00407687"/>
    <w:rsid w:val="00410A1E"/>
    <w:rsid w:val="00416F84"/>
    <w:rsid w:val="004214DA"/>
    <w:rsid w:val="0042497F"/>
    <w:rsid w:val="00424D17"/>
    <w:rsid w:val="004310AE"/>
    <w:rsid w:val="004317DB"/>
    <w:rsid w:val="004319C3"/>
    <w:rsid w:val="00431B03"/>
    <w:rsid w:val="00433EFB"/>
    <w:rsid w:val="00444167"/>
    <w:rsid w:val="00444813"/>
    <w:rsid w:val="004458CE"/>
    <w:rsid w:val="00446E60"/>
    <w:rsid w:val="00450BDC"/>
    <w:rsid w:val="00453F05"/>
    <w:rsid w:val="0045471E"/>
    <w:rsid w:val="00455D79"/>
    <w:rsid w:val="00461BF0"/>
    <w:rsid w:val="0046738F"/>
    <w:rsid w:val="00470810"/>
    <w:rsid w:val="004748E7"/>
    <w:rsid w:val="0047689F"/>
    <w:rsid w:val="00481525"/>
    <w:rsid w:val="00482BDA"/>
    <w:rsid w:val="004840BA"/>
    <w:rsid w:val="004854F5"/>
    <w:rsid w:val="0048633A"/>
    <w:rsid w:val="00486850"/>
    <w:rsid w:val="00490B80"/>
    <w:rsid w:val="004A356B"/>
    <w:rsid w:val="004B1FA9"/>
    <w:rsid w:val="004C01CE"/>
    <w:rsid w:val="004C7A49"/>
    <w:rsid w:val="004C7FEA"/>
    <w:rsid w:val="004D10FD"/>
    <w:rsid w:val="004F1222"/>
    <w:rsid w:val="005039B9"/>
    <w:rsid w:val="00505F3C"/>
    <w:rsid w:val="005163EF"/>
    <w:rsid w:val="00516D8E"/>
    <w:rsid w:val="00521C26"/>
    <w:rsid w:val="00521F0A"/>
    <w:rsid w:val="005255EA"/>
    <w:rsid w:val="00534A2F"/>
    <w:rsid w:val="00534E25"/>
    <w:rsid w:val="00540581"/>
    <w:rsid w:val="00543F6F"/>
    <w:rsid w:val="00546BC8"/>
    <w:rsid w:val="00546FB8"/>
    <w:rsid w:val="00553661"/>
    <w:rsid w:val="00557B6D"/>
    <w:rsid w:val="00565641"/>
    <w:rsid w:val="00592CF7"/>
    <w:rsid w:val="00596739"/>
    <w:rsid w:val="00597760"/>
    <w:rsid w:val="005A259C"/>
    <w:rsid w:val="005A3F2C"/>
    <w:rsid w:val="005A658D"/>
    <w:rsid w:val="005B16E3"/>
    <w:rsid w:val="005B2502"/>
    <w:rsid w:val="005C103B"/>
    <w:rsid w:val="005C2D31"/>
    <w:rsid w:val="005D4319"/>
    <w:rsid w:val="005D7117"/>
    <w:rsid w:val="005E1E2E"/>
    <w:rsid w:val="005E588D"/>
    <w:rsid w:val="005F6701"/>
    <w:rsid w:val="00601991"/>
    <w:rsid w:val="006071CB"/>
    <w:rsid w:val="00610523"/>
    <w:rsid w:val="00611161"/>
    <w:rsid w:val="00612072"/>
    <w:rsid w:val="00613106"/>
    <w:rsid w:val="006144D8"/>
    <w:rsid w:val="00615FA4"/>
    <w:rsid w:val="00625EDA"/>
    <w:rsid w:val="0063079B"/>
    <w:rsid w:val="006357F7"/>
    <w:rsid w:val="00637020"/>
    <w:rsid w:val="00647947"/>
    <w:rsid w:val="0065178E"/>
    <w:rsid w:val="00661209"/>
    <w:rsid w:val="00676000"/>
    <w:rsid w:val="00685386"/>
    <w:rsid w:val="0068591B"/>
    <w:rsid w:val="006951AE"/>
    <w:rsid w:val="006A2793"/>
    <w:rsid w:val="006B05C7"/>
    <w:rsid w:val="006E6567"/>
    <w:rsid w:val="006F3729"/>
    <w:rsid w:val="006F3F7B"/>
    <w:rsid w:val="006F4A18"/>
    <w:rsid w:val="006F744E"/>
    <w:rsid w:val="00700572"/>
    <w:rsid w:val="00702F66"/>
    <w:rsid w:val="0070325F"/>
    <w:rsid w:val="0070416B"/>
    <w:rsid w:val="00710F3F"/>
    <w:rsid w:val="0071393E"/>
    <w:rsid w:val="00733461"/>
    <w:rsid w:val="00740540"/>
    <w:rsid w:val="007449A0"/>
    <w:rsid w:val="00750F39"/>
    <w:rsid w:val="007523A6"/>
    <w:rsid w:val="0076054C"/>
    <w:rsid w:val="00764603"/>
    <w:rsid w:val="00765A72"/>
    <w:rsid w:val="007724C8"/>
    <w:rsid w:val="007740AE"/>
    <w:rsid w:val="0077779B"/>
    <w:rsid w:val="00791DF1"/>
    <w:rsid w:val="00793C8E"/>
    <w:rsid w:val="0079487B"/>
    <w:rsid w:val="007A0F90"/>
    <w:rsid w:val="007A2C67"/>
    <w:rsid w:val="007A45FA"/>
    <w:rsid w:val="007A56F5"/>
    <w:rsid w:val="007B3074"/>
    <w:rsid w:val="007B4FCE"/>
    <w:rsid w:val="007B7C5B"/>
    <w:rsid w:val="007C1A65"/>
    <w:rsid w:val="007C60A5"/>
    <w:rsid w:val="007D1AEE"/>
    <w:rsid w:val="007D24BA"/>
    <w:rsid w:val="007D7C62"/>
    <w:rsid w:val="007E5FFE"/>
    <w:rsid w:val="007F20EB"/>
    <w:rsid w:val="007F29CA"/>
    <w:rsid w:val="007F632D"/>
    <w:rsid w:val="007F6A39"/>
    <w:rsid w:val="008126E0"/>
    <w:rsid w:val="00820692"/>
    <w:rsid w:val="00820B9E"/>
    <w:rsid w:val="00823101"/>
    <w:rsid w:val="00826DB7"/>
    <w:rsid w:val="0083302F"/>
    <w:rsid w:val="00836BC2"/>
    <w:rsid w:val="00837B9A"/>
    <w:rsid w:val="008400FF"/>
    <w:rsid w:val="00845EB1"/>
    <w:rsid w:val="008573FC"/>
    <w:rsid w:val="00865C3B"/>
    <w:rsid w:val="00867C37"/>
    <w:rsid w:val="00871AA3"/>
    <w:rsid w:val="008806E2"/>
    <w:rsid w:val="008830A7"/>
    <w:rsid w:val="00885E8E"/>
    <w:rsid w:val="008916D2"/>
    <w:rsid w:val="008A3EE5"/>
    <w:rsid w:val="008A42BD"/>
    <w:rsid w:val="008C15C6"/>
    <w:rsid w:val="008C1E18"/>
    <w:rsid w:val="008C246E"/>
    <w:rsid w:val="008D0CA9"/>
    <w:rsid w:val="008D39C1"/>
    <w:rsid w:val="008E267C"/>
    <w:rsid w:val="008E4022"/>
    <w:rsid w:val="008E4E08"/>
    <w:rsid w:val="008F1E2F"/>
    <w:rsid w:val="008F4E6E"/>
    <w:rsid w:val="008F5417"/>
    <w:rsid w:val="00904CA9"/>
    <w:rsid w:val="00920F11"/>
    <w:rsid w:val="00926FBE"/>
    <w:rsid w:val="00932909"/>
    <w:rsid w:val="00933C98"/>
    <w:rsid w:val="009365D7"/>
    <w:rsid w:val="0094188F"/>
    <w:rsid w:val="0095027D"/>
    <w:rsid w:val="00951076"/>
    <w:rsid w:val="00952D72"/>
    <w:rsid w:val="00967994"/>
    <w:rsid w:val="00976808"/>
    <w:rsid w:val="0098188E"/>
    <w:rsid w:val="00981BBF"/>
    <w:rsid w:val="00997C0E"/>
    <w:rsid w:val="009B2EA6"/>
    <w:rsid w:val="009C2114"/>
    <w:rsid w:val="009D193B"/>
    <w:rsid w:val="009D1A43"/>
    <w:rsid w:val="009D39DC"/>
    <w:rsid w:val="009E0F77"/>
    <w:rsid w:val="00A0110E"/>
    <w:rsid w:val="00A0456B"/>
    <w:rsid w:val="00A12BDF"/>
    <w:rsid w:val="00A15BF1"/>
    <w:rsid w:val="00A177F2"/>
    <w:rsid w:val="00A20CB1"/>
    <w:rsid w:val="00A21448"/>
    <w:rsid w:val="00A41294"/>
    <w:rsid w:val="00A4225D"/>
    <w:rsid w:val="00A44558"/>
    <w:rsid w:val="00A46494"/>
    <w:rsid w:val="00A519CE"/>
    <w:rsid w:val="00A53263"/>
    <w:rsid w:val="00A71319"/>
    <w:rsid w:val="00A74B50"/>
    <w:rsid w:val="00A8036D"/>
    <w:rsid w:val="00A80801"/>
    <w:rsid w:val="00A8708E"/>
    <w:rsid w:val="00A877E6"/>
    <w:rsid w:val="00A92130"/>
    <w:rsid w:val="00AA5B8F"/>
    <w:rsid w:val="00AB2B22"/>
    <w:rsid w:val="00AB3A2C"/>
    <w:rsid w:val="00AC5408"/>
    <w:rsid w:val="00AD03AA"/>
    <w:rsid w:val="00AD15D6"/>
    <w:rsid w:val="00AD4619"/>
    <w:rsid w:val="00AE16DF"/>
    <w:rsid w:val="00AF15CE"/>
    <w:rsid w:val="00AF54D0"/>
    <w:rsid w:val="00AF6062"/>
    <w:rsid w:val="00AF7E1D"/>
    <w:rsid w:val="00B01C71"/>
    <w:rsid w:val="00B052B3"/>
    <w:rsid w:val="00B10619"/>
    <w:rsid w:val="00B12AA2"/>
    <w:rsid w:val="00B20189"/>
    <w:rsid w:val="00B247E0"/>
    <w:rsid w:val="00B25F92"/>
    <w:rsid w:val="00B3653C"/>
    <w:rsid w:val="00B3785B"/>
    <w:rsid w:val="00B43063"/>
    <w:rsid w:val="00B43090"/>
    <w:rsid w:val="00B43985"/>
    <w:rsid w:val="00B43C3E"/>
    <w:rsid w:val="00B54DCC"/>
    <w:rsid w:val="00B60BF7"/>
    <w:rsid w:val="00B630A5"/>
    <w:rsid w:val="00B6454B"/>
    <w:rsid w:val="00B65F5A"/>
    <w:rsid w:val="00B72C94"/>
    <w:rsid w:val="00B75C37"/>
    <w:rsid w:val="00B827F6"/>
    <w:rsid w:val="00B830BD"/>
    <w:rsid w:val="00B85887"/>
    <w:rsid w:val="00B90E1B"/>
    <w:rsid w:val="00B9354F"/>
    <w:rsid w:val="00B9752A"/>
    <w:rsid w:val="00BA33E1"/>
    <w:rsid w:val="00BB1109"/>
    <w:rsid w:val="00BB1D50"/>
    <w:rsid w:val="00BB7105"/>
    <w:rsid w:val="00BC062A"/>
    <w:rsid w:val="00BC30EC"/>
    <w:rsid w:val="00BC4340"/>
    <w:rsid w:val="00BC520B"/>
    <w:rsid w:val="00BC77D5"/>
    <w:rsid w:val="00BE01E1"/>
    <w:rsid w:val="00BE14A5"/>
    <w:rsid w:val="00BE42E2"/>
    <w:rsid w:val="00BE6214"/>
    <w:rsid w:val="00BE7CFC"/>
    <w:rsid w:val="00BF1A90"/>
    <w:rsid w:val="00BF2F75"/>
    <w:rsid w:val="00C10F2B"/>
    <w:rsid w:val="00C11959"/>
    <w:rsid w:val="00C20564"/>
    <w:rsid w:val="00C21254"/>
    <w:rsid w:val="00C22B21"/>
    <w:rsid w:val="00C2767E"/>
    <w:rsid w:val="00C30C52"/>
    <w:rsid w:val="00C53500"/>
    <w:rsid w:val="00C56BDB"/>
    <w:rsid w:val="00C611AF"/>
    <w:rsid w:val="00C66948"/>
    <w:rsid w:val="00C70FF5"/>
    <w:rsid w:val="00C711DA"/>
    <w:rsid w:val="00C71D75"/>
    <w:rsid w:val="00C71ED1"/>
    <w:rsid w:val="00C82E79"/>
    <w:rsid w:val="00C90076"/>
    <w:rsid w:val="00C94D68"/>
    <w:rsid w:val="00CA04FD"/>
    <w:rsid w:val="00CB11B6"/>
    <w:rsid w:val="00CC378C"/>
    <w:rsid w:val="00CC773A"/>
    <w:rsid w:val="00CD15CF"/>
    <w:rsid w:val="00CD1A2E"/>
    <w:rsid w:val="00CD2270"/>
    <w:rsid w:val="00CD5454"/>
    <w:rsid w:val="00CD5793"/>
    <w:rsid w:val="00CE1726"/>
    <w:rsid w:val="00CE24EC"/>
    <w:rsid w:val="00CF650F"/>
    <w:rsid w:val="00D04073"/>
    <w:rsid w:val="00D06F9F"/>
    <w:rsid w:val="00D2099E"/>
    <w:rsid w:val="00D2328F"/>
    <w:rsid w:val="00D23A48"/>
    <w:rsid w:val="00D32457"/>
    <w:rsid w:val="00D35DB9"/>
    <w:rsid w:val="00D367C8"/>
    <w:rsid w:val="00D4034A"/>
    <w:rsid w:val="00D4172A"/>
    <w:rsid w:val="00D43A1F"/>
    <w:rsid w:val="00D518DF"/>
    <w:rsid w:val="00D51A82"/>
    <w:rsid w:val="00D51F5C"/>
    <w:rsid w:val="00D631EE"/>
    <w:rsid w:val="00D726A4"/>
    <w:rsid w:val="00D72751"/>
    <w:rsid w:val="00D7398D"/>
    <w:rsid w:val="00D8132E"/>
    <w:rsid w:val="00D84E7C"/>
    <w:rsid w:val="00D90940"/>
    <w:rsid w:val="00D95FFF"/>
    <w:rsid w:val="00DA3076"/>
    <w:rsid w:val="00DB2160"/>
    <w:rsid w:val="00DD0151"/>
    <w:rsid w:val="00DD0AB2"/>
    <w:rsid w:val="00DD1DD6"/>
    <w:rsid w:val="00DD2549"/>
    <w:rsid w:val="00DD2A1E"/>
    <w:rsid w:val="00DD69CE"/>
    <w:rsid w:val="00DD751E"/>
    <w:rsid w:val="00DD7DB4"/>
    <w:rsid w:val="00DE6BB9"/>
    <w:rsid w:val="00DF3C23"/>
    <w:rsid w:val="00DF67EA"/>
    <w:rsid w:val="00E05B6C"/>
    <w:rsid w:val="00E10FFC"/>
    <w:rsid w:val="00E23DED"/>
    <w:rsid w:val="00E251D7"/>
    <w:rsid w:val="00E25CA6"/>
    <w:rsid w:val="00E315C1"/>
    <w:rsid w:val="00E31771"/>
    <w:rsid w:val="00E31ABF"/>
    <w:rsid w:val="00E346D4"/>
    <w:rsid w:val="00E36706"/>
    <w:rsid w:val="00E40FF5"/>
    <w:rsid w:val="00E41BD0"/>
    <w:rsid w:val="00E43BA7"/>
    <w:rsid w:val="00E50E0D"/>
    <w:rsid w:val="00E528B7"/>
    <w:rsid w:val="00E57346"/>
    <w:rsid w:val="00E5745B"/>
    <w:rsid w:val="00E636DE"/>
    <w:rsid w:val="00E63CC0"/>
    <w:rsid w:val="00E644B6"/>
    <w:rsid w:val="00E67EC2"/>
    <w:rsid w:val="00E708C9"/>
    <w:rsid w:val="00E86712"/>
    <w:rsid w:val="00E94F33"/>
    <w:rsid w:val="00EA4C35"/>
    <w:rsid w:val="00EB06B6"/>
    <w:rsid w:val="00EB2E13"/>
    <w:rsid w:val="00EB5000"/>
    <w:rsid w:val="00EC1046"/>
    <w:rsid w:val="00EC434B"/>
    <w:rsid w:val="00EC4629"/>
    <w:rsid w:val="00EC6471"/>
    <w:rsid w:val="00ED35D0"/>
    <w:rsid w:val="00ED3FC8"/>
    <w:rsid w:val="00ED5DC6"/>
    <w:rsid w:val="00ED7CD9"/>
    <w:rsid w:val="00EE2169"/>
    <w:rsid w:val="00EE40E3"/>
    <w:rsid w:val="00EF1047"/>
    <w:rsid w:val="00EF1A91"/>
    <w:rsid w:val="00EF613D"/>
    <w:rsid w:val="00F014C3"/>
    <w:rsid w:val="00F0319C"/>
    <w:rsid w:val="00F10686"/>
    <w:rsid w:val="00F133BB"/>
    <w:rsid w:val="00F2244F"/>
    <w:rsid w:val="00F22493"/>
    <w:rsid w:val="00F25EDF"/>
    <w:rsid w:val="00F27B35"/>
    <w:rsid w:val="00F34B58"/>
    <w:rsid w:val="00F37EC1"/>
    <w:rsid w:val="00F40BC6"/>
    <w:rsid w:val="00F414FA"/>
    <w:rsid w:val="00F420F3"/>
    <w:rsid w:val="00F50912"/>
    <w:rsid w:val="00F50955"/>
    <w:rsid w:val="00F51C3D"/>
    <w:rsid w:val="00F57CA3"/>
    <w:rsid w:val="00F63070"/>
    <w:rsid w:val="00F6524B"/>
    <w:rsid w:val="00F70BAF"/>
    <w:rsid w:val="00F720FF"/>
    <w:rsid w:val="00F77130"/>
    <w:rsid w:val="00F82629"/>
    <w:rsid w:val="00F83E55"/>
    <w:rsid w:val="00F92F03"/>
    <w:rsid w:val="00F95354"/>
    <w:rsid w:val="00FA0D00"/>
    <w:rsid w:val="00FA2B24"/>
    <w:rsid w:val="00FA4FFB"/>
    <w:rsid w:val="00FA7A57"/>
    <w:rsid w:val="00FB083C"/>
    <w:rsid w:val="00FC31A3"/>
    <w:rsid w:val="00FD068D"/>
    <w:rsid w:val="00FD484D"/>
    <w:rsid w:val="00FD68EF"/>
    <w:rsid w:val="00FE10B5"/>
    <w:rsid w:val="00FE5E2E"/>
    <w:rsid w:val="00FE5FA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table" w:styleId="Tablaconcuadrcula">
    <w:name w:val="Table Grid"/>
    <w:basedOn w:val="Tablanormal"/>
    <w:uiPriority w:val="39"/>
    <w:rsid w:val="004214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0C7469"/>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F77130"/>
    <w:rPr>
      <w:sz w:val="16"/>
      <w:szCs w:val="16"/>
    </w:rPr>
  </w:style>
  <w:style w:type="paragraph" w:styleId="Textocomentario">
    <w:name w:val="annotation text"/>
    <w:basedOn w:val="Normal"/>
    <w:link w:val="TextocomentarioCar"/>
    <w:uiPriority w:val="99"/>
    <w:semiHidden/>
    <w:unhideWhenUsed/>
    <w:rsid w:val="00F77130"/>
    <w:rPr>
      <w:sz w:val="20"/>
      <w:szCs w:val="20"/>
    </w:rPr>
  </w:style>
  <w:style w:type="character" w:customStyle="1" w:styleId="TextocomentarioCar">
    <w:name w:val="Texto comentario Car"/>
    <w:basedOn w:val="Fuentedeprrafopredeter"/>
    <w:link w:val="Textocomentario"/>
    <w:uiPriority w:val="99"/>
    <w:semiHidden/>
    <w:rsid w:val="00F7713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130"/>
    <w:rPr>
      <w:b/>
      <w:bCs/>
    </w:rPr>
  </w:style>
  <w:style w:type="character" w:customStyle="1" w:styleId="AsuntodelcomentarioCar">
    <w:name w:val="Asunto del comentario Car"/>
    <w:basedOn w:val="TextocomentarioCar"/>
    <w:link w:val="Asuntodelcomentario"/>
    <w:uiPriority w:val="99"/>
    <w:semiHidden/>
    <w:rsid w:val="00F77130"/>
    <w:rPr>
      <w:rFonts w:ascii="Arial MT" w:eastAsia="Arial MT" w:hAnsi="Arial MT" w:cs="Arial MT"/>
      <w:b/>
      <w:bCs/>
      <w:sz w:val="20"/>
      <w:szCs w:val="20"/>
      <w:lang w:val="es-ES"/>
    </w:rPr>
  </w:style>
  <w:style w:type="paragraph" w:customStyle="1" w:styleId="xmsonormal">
    <w:name w:val="x_msonormal"/>
    <w:basedOn w:val="Normal"/>
    <w:rsid w:val="00045AD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markfy748xlnl">
    <w:name w:val="markfy748xlnl"/>
    <w:basedOn w:val="Fuentedeprrafopredeter"/>
    <w:rsid w:val="0004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607">
      <w:bodyDiv w:val="1"/>
      <w:marLeft w:val="0"/>
      <w:marRight w:val="0"/>
      <w:marTop w:val="0"/>
      <w:marBottom w:val="0"/>
      <w:divBdr>
        <w:top w:val="none" w:sz="0" w:space="0" w:color="auto"/>
        <w:left w:val="none" w:sz="0" w:space="0" w:color="auto"/>
        <w:bottom w:val="none" w:sz="0" w:space="0" w:color="auto"/>
        <w:right w:val="none" w:sz="0" w:space="0" w:color="auto"/>
      </w:divBdr>
    </w:div>
    <w:div w:id="47609927">
      <w:bodyDiv w:val="1"/>
      <w:marLeft w:val="0"/>
      <w:marRight w:val="0"/>
      <w:marTop w:val="0"/>
      <w:marBottom w:val="0"/>
      <w:divBdr>
        <w:top w:val="none" w:sz="0" w:space="0" w:color="auto"/>
        <w:left w:val="none" w:sz="0" w:space="0" w:color="auto"/>
        <w:bottom w:val="none" w:sz="0" w:space="0" w:color="auto"/>
        <w:right w:val="none" w:sz="0" w:space="0" w:color="auto"/>
      </w:divBdr>
    </w:div>
    <w:div w:id="59527517">
      <w:bodyDiv w:val="1"/>
      <w:marLeft w:val="0"/>
      <w:marRight w:val="0"/>
      <w:marTop w:val="0"/>
      <w:marBottom w:val="0"/>
      <w:divBdr>
        <w:top w:val="none" w:sz="0" w:space="0" w:color="auto"/>
        <w:left w:val="none" w:sz="0" w:space="0" w:color="auto"/>
        <w:bottom w:val="none" w:sz="0" w:space="0" w:color="auto"/>
        <w:right w:val="none" w:sz="0" w:space="0" w:color="auto"/>
      </w:divBdr>
    </w:div>
    <w:div w:id="60561715">
      <w:bodyDiv w:val="1"/>
      <w:marLeft w:val="0"/>
      <w:marRight w:val="0"/>
      <w:marTop w:val="0"/>
      <w:marBottom w:val="0"/>
      <w:divBdr>
        <w:top w:val="none" w:sz="0" w:space="0" w:color="auto"/>
        <w:left w:val="none" w:sz="0" w:space="0" w:color="auto"/>
        <w:bottom w:val="none" w:sz="0" w:space="0" w:color="auto"/>
        <w:right w:val="none" w:sz="0" w:space="0" w:color="auto"/>
      </w:divBdr>
    </w:div>
    <w:div w:id="69230140">
      <w:bodyDiv w:val="1"/>
      <w:marLeft w:val="0"/>
      <w:marRight w:val="0"/>
      <w:marTop w:val="0"/>
      <w:marBottom w:val="0"/>
      <w:divBdr>
        <w:top w:val="none" w:sz="0" w:space="0" w:color="auto"/>
        <w:left w:val="none" w:sz="0" w:space="0" w:color="auto"/>
        <w:bottom w:val="none" w:sz="0" w:space="0" w:color="auto"/>
        <w:right w:val="none" w:sz="0" w:space="0" w:color="auto"/>
      </w:divBdr>
    </w:div>
    <w:div w:id="20875944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4063581">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632634727">
      <w:bodyDiv w:val="1"/>
      <w:marLeft w:val="0"/>
      <w:marRight w:val="0"/>
      <w:marTop w:val="0"/>
      <w:marBottom w:val="0"/>
      <w:divBdr>
        <w:top w:val="none" w:sz="0" w:space="0" w:color="auto"/>
        <w:left w:val="none" w:sz="0" w:space="0" w:color="auto"/>
        <w:bottom w:val="none" w:sz="0" w:space="0" w:color="auto"/>
        <w:right w:val="none" w:sz="0" w:space="0" w:color="auto"/>
      </w:divBdr>
    </w:div>
    <w:div w:id="661279058">
      <w:bodyDiv w:val="1"/>
      <w:marLeft w:val="0"/>
      <w:marRight w:val="0"/>
      <w:marTop w:val="0"/>
      <w:marBottom w:val="0"/>
      <w:divBdr>
        <w:top w:val="none" w:sz="0" w:space="0" w:color="auto"/>
        <w:left w:val="none" w:sz="0" w:space="0" w:color="auto"/>
        <w:bottom w:val="none" w:sz="0" w:space="0" w:color="auto"/>
        <w:right w:val="none" w:sz="0" w:space="0" w:color="auto"/>
      </w:divBdr>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81521731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73646823">
      <w:bodyDiv w:val="1"/>
      <w:marLeft w:val="0"/>
      <w:marRight w:val="0"/>
      <w:marTop w:val="0"/>
      <w:marBottom w:val="0"/>
      <w:divBdr>
        <w:top w:val="none" w:sz="0" w:space="0" w:color="auto"/>
        <w:left w:val="none" w:sz="0" w:space="0" w:color="auto"/>
        <w:bottom w:val="none" w:sz="0" w:space="0" w:color="auto"/>
        <w:right w:val="none" w:sz="0" w:space="0" w:color="auto"/>
      </w:divBdr>
    </w:div>
    <w:div w:id="1289774867">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41697996">
      <w:bodyDiv w:val="1"/>
      <w:marLeft w:val="0"/>
      <w:marRight w:val="0"/>
      <w:marTop w:val="0"/>
      <w:marBottom w:val="0"/>
      <w:divBdr>
        <w:top w:val="none" w:sz="0" w:space="0" w:color="auto"/>
        <w:left w:val="none" w:sz="0" w:space="0" w:color="auto"/>
        <w:bottom w:val="none" w:sz="0" w:space="0" w:color="auto"/>
        <w:right w:val="none" w:sz="0" w:space="0" w:color="auto"/>
      </w:divBdr>
    </w:div>
    <w:div w:id="1562984895">
      <w:bodyDiv w:val="1"/>
      <w:marLeft w:val="0"/>
      <w:marRight w:val="0"/>
      <w:marTop w:val="0"/>
      <w:marBottom w:val="0"/>
      <w:divBdr>
        <w:top w:val="none" w:sz="0" w:space="0" w:color="auto"/>
        <w:left w:val="none" w:sz="0" w:space="0" w:color="auto"/>
        <w:bottom w:val="none" w:sz="0" w:space="0" w:color="auto"/>
        <w:right w:val="none" w:sz="0" w:space="0" w:color="auto"/>
      </w:divBdr>
    </w:div>
    <w:div w:id="1869561470">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39019476">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orsagym@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denaconsultoresabogados@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4</TotalTime>
  <Pages>5</Pages>
  <Words>1897</Words>
  <Characters>10434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Usuario;Juan Pablo Calvo</dc:creator>
  <cp:keywords/>
  <dc:description/>
  <cp:lastModifiedBy>Juan Pablo Calvo</cp:lastModifiedBy>
  <cp:revision>2</cp:revision>
  <dcterms:created xsi:type="dcterms:W3CDTF">2024-04-26T15:47:00Z</dcterms:created>
  <dcterms:modified xsi:type="dcterms:W3CDTF">2024-04-26T15:47:00Z</dcterms:modified>
</cp:coreProperties>
</file>