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A031A2" w:rsidRDefault="00C3016C" w:rsidP="005E6986">
      <w:pPr>
        <w:jc w:val="both"/>
        <w:rPr>
          <w:rFonts w:ascii="Arial" w:hAnsi="Arial" w:cs="Arial"/>
        </w:rPr>
      </w:pPr>
      <w:r w:rsidRPr="00A031A2">
        <w:rPr>
          <w:rFonts w:ascii="Arial" w:hAnsi="Arial" w:cs="Arial"/>
        </w:rPr>
        <w:t> </w:t>
      </w:r>
    </w:p>
    <w:tbl>
      <w:tblPr>
        <w:tblStyle w:val="Tablaconcuadrcula"/>
        <w:tblW w:w="9983" w:type="dxa"/>
        <w:tblLook w:val="04A0" w:firstRow="1" w:lastRow="0" w:firstColumn="1" w:lastColumn="0" w:noHBand="0" w:noVBand="1"/>
      </w:tblPr>
      <w:tblGrid>
        <w:gridCol w:w="2689"/>
        <w:gridCol w:w="7294"/>
      </w:tblGrid>
      <w:tr w:rsidR="00A031A2" w:rsidRPr="00A031A2" w14:paraId="680EB41E" w14:textId="77777777" w:rsidTr="01B774E0">
        <w:tc>
          <w:tcPr>
            <w:tcW w:w="9983" w:type="dxa"/>
            <w:gridSpan w:val="2"/>
            <w:shd w:val="clear" w:color="auto" w:fill="1F3864" w:themeFill="accent1" w:themeFillShade="80"/>
          </w:tcPr>
          <w:p w14:paraId="2A6B0E42" w14:textId="09A01D5F" w:rsidR="00C3016C" w:rsidRPr="00A031A2" w:rsidRDefault="00C3016C" w:rsidP="005E6986">
            <w:pPr>
              <w:jc w:val="center"/>
              <w:rPr>
                <w:rFonts w:ascii="Arial" w:hAnsi="Arial" w:cs="Arial"/>
                <w:b/>
                <w:lang w:val="es-ES_tradnl"/>
              </w:rPr>
            </w:pPr>
            <w:r w:rsidRPr="00A031A2">
              <w:rPr>
                <w:rFonts w:ascii="Arial" w:hAnsi="Arial" w:cs="Arial"/>
                <w:b/>
                <w:lang w:val="es-ES_tradnl"/>
              </w:rPr>
              <w:t>INFORME INICIAL DEL PROCESO</w:t>
            </w:r>
          </w:p>
        </w:tc>
      </w:tr>
      <w:tr w:rsidR="00A031A2" w:rsidRPr="00A031A2" w14:paraId="4BC558F4" w14:textId="77777777" w:rsidTr="005E6986">
        <w:tc>
          <w:tcPr>
            <w:tcW w:w="2689" w:type="dxa"/>
            <w:shd w:val="clear" w:color="auto" w:fill="D9D9D9" w:themeFill="background1" w:themeFillShade="D9"/>
          </w:tcPr>
          <w:p w14:paraId="28F99CFA"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Apoderado:</w:t>
            </w:r>
          </w:p>
        </w:tc>
        <w:tc>
          <w:tcPr>
            <w:tcW w:w="7294" w:type="dxa"/>
          </w:tcPr>
          <w:p w14:paraId="0B07F818" w14:textId="698B6558" w:rsidR="00C3016C" w:rsidRPr="00A031A2" w:rsidRDefault="00346853" w:rsidP="005E6986">
            <w:pPr>
              <w:jc w:val="both"/>
              <w:rPr>
                <w:rFonts w:ascii="Arial" w:hAnsi="Arial" w:cs="Arial"/>
                <w:lang w:val="es-ES_tradnl"/>
              </w:rPr>
            </w:pPr>
            <w:r w:rsidRPr="00A031A2">
              <w:rPr>
                <w:rFonts w:ascii="Arial" w:hAnsi="Arial" w:cs="Arial"/>
                <w:lang w:val="es-ES_tradnl"/>
              </w:rPr>
              <w:t>GUSTAVO HERRERA AVILA</w:t>
            </w:r>
          </w:p>
        </w:tc>
      </w:tr>
      <w:tr w:rsidR="00A031A2" w:rsidRPr="00A031A2" w14:paraId="05CE423E" w14:textId="77777777" w:rsidTr="005E6986">
        <w:tc>
          <w:tcPr>
            <w:tcW w:w="2689" w:type="dxa"/>
            <w:shd w:val="clear" w:color="auto" w:fill="D9D9D9" w:themeFill="background1" w:themeFillShade="D9"/>
          </w:tcPr>
          <w:p w14:paraId="6CF2773B"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Tipo y # de Póliza:</w:t>
            </w:r>
          </w:p>
        </w:tc>
        <w:tc>
          <w:tcPr>
            <w:tcW w:w="7294" w:type="dxa"/>
          </w:tcPr>
          <w:p w14:paraId="2CD51689" w14:textId="7CC5DD31" w:rsidR="00C3016C" w:rsidRPr="00A031A2" w:rsidRDefault="00346853" w:rsidP="005E6986">
            <w:pPr>
              <w:jc w:val="both"/>
              <w:rPr>
                <w:rFonts w:ascii="Arial" w:hAnsi="Arial" w:cs="Arial"/>
                <w:lang w:val="es-ES_tradnl"/>
              </w:rPr>
            </w:pPr>
            <w:r w:rsidRPr="00A031A2">
              <w:rPr>
                <w:rFonts w:ascii="Arial" w:hAnsi="Arial" w:cs="Arial"/>
                <w:lang w:val="es-ES_tradnl"/>
              </w:rPr>
              <w:t xml:space="preserve">Responsabilidad Extracontractual Póliza No </w:t>
            </w:r>
            <w:r w:rsidR="005E6986" w:rsidRPr="00A031A2">
              <w:rPr>
                <w:rFonts w:ascii="Arial" w:hAnsi="Arial" w:cs="Arial"/>
                <w:shd w:val="clear" w:color="auto" w:fill="FFFFFF"/>
              </w:rPr>
              <w:t>4000458</w:t>
            </w:r>
          </w:p>
        </w:tc>
      </w:tr>
      <w:tr w:rsidR="00A031A2" w:rsidRPr="00A031A2" w14:paraId="3EA02A2A" w14:textId="77777777" w:rsidTr="005E6986">
        <w:tc>
          <w:tcPr>
            <w:tcW w:w="2689" w:type="dxa"/>
            <w:shd w:val="clear" w:color="auto" w:fill="D9D9D9" w:themeFill="background1" w:themeFillShade="D9"/>
          </w:tcPr>
          <w:p w14:paraId="54CFE80A"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Amparos afectados:</w:t>
            </w:r>
          </w:p>
        </w:tc>
        <w:tc>
          <w:tcPr>
            <w:tcW w:w="7294" w:type="dxa"/>
          </w:tcPr>
          <w:p w14:paraId="4705A538" w14:textId="0C015049" w:rsidR="00C3016C" w:rsidRPr="00A031A2" w:rsidRDefault="00346853" w:rsidP="005E6986">
            <w:pPr>
              <w:tabs>
                <w:tab w:val="left" w:pos="5740"/>
              </w:tabs>
              <w:jc w:val="both"/>
              <w:rPr>
                <w:rFonts w:ascii="Arial" w:hAnsi="Arial" w:cs="Arial"/>
                <w:lang w:val="es-ES_tradnl"/>
              </w:rPr>
            </w:pPr>
            <w:r w:rsidRPr="00A031A2">
              <w:rPr>
                <w:rFonts w:ascii="Arial" w:hAnsi="Arial" w:cs="Arial"/>
                <w:lang w:val="es-ES_tradnl"/>
              </w:rPr>
              <w:t>Predios Labores y Operaciones</w:t>
            </w:r>
          </w:p>
        </w:tc>
      </w:tr>
      <w:tr w:rsidR="00A031A2" w:rsidRPr="00A031A2" w14:paraId="6EEEE1EE" w14:textId="77777777" w:rsidTr="005E6986">
        <w:tc>
          <w:tcPr>
            <w:tcW w:w="2689" w:type="dxa"/>
            <w:shd w:val="clear" w:color="auto" w:fill="D9D9D9" w:themeFill="background1" w:themeFillShade="D9"/>
          </w:tcPr>
          <w:p w14:paraId="217E586A"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Tomador:</w:t>
            </w:r>
          </w:p>
        </w:tc>
        <w:tc>
          <w:tcPr>
            <w:tcW w:w="7294" w:type="dxa"/>
          </w:tcPr>
          <w:p w14:paraId="0712951B" w14:textId="11ED9064" w:rsidR="00C3016C" w:rsidRPr="00A031A2" w:rsidRDefault="00346853" w:rsidP="005E6986">
            <w:pPr>
              <w:jc w:val="both"/>
              <w:rPr>
                <w:rFonts w:ascii="Arial" w:hAnsi="Arial" w:cs="Arial"/>
                <w:lang w:val="es-ES_tradnl"/>
              </w:rPr>
            </w:pPr>
            <w:r w:rsidRPr="00A031A2">
              <w:rPr>
                <w:rFonts w:ascii="Arial" w:hAnsi="Arial" w:cs="Arial"/>
                <w:lang w:val="es-ES_tradnl"/>
              </w:rPr>
              <w:t>Distrito de Cali</w:t>
            </w:r>
          </w:p>
        </w:tc>
      </w:tr>
      <w:tr w:rsidR="00A031A2" w:rsidRPr="00A031A2" w14:paraId="30CA897D" w14:textId="77777777" w:rsidTr="005E6986">
        <w:tc>
          <w:tcPr>
            <w:tcW w:w="2689" w:type="dxa"/>
            <w:shd w:val="clear" w:color="auto" w:fill="D9D9D9" w:themeFill="background1" w:themeFillShade="D9"/>
          </w:tcPr>
          <w:p w14:paraId="5D5E5F58"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Asegurado:</w:t>
            </w:r>
          </w:p>
        </w:tc>
        <w:tc>
          <w:tcPr>
            <w:tcW w:w="7294" w:type="dxa"/>
          </w:tcPr>
          <w:p w14:paraId="087CA4CA" w14:textId="4E28A2B5" w:rsidR="00C3016C" w:rsidRPr="00A031A2" w:rsidRDefault="00346853" w:rsidP="005E6986">
            <w:pPr>
              <w:jc w:val="both"/>
              <w:rPr>
                <w:rFonts w:ascii="Arial" w:hAnsi="Arial" w:cs="Arial"/>
                <w:lang w:val="es-ES_tradnl"/>
              </w:rPr>
            </w:pPr>
            <w:r w:rsidRPr="00A031A2">
              <w:rPr>
                <w:rFonts w:ascii="Arial" w:hAnsi="Arial" w:cs="Arial"/>
                <w:lang w:val="es-ES_tradnl"/>
              </w:rPr>
              <w:t>Distrito de Cali</w:t>
            </w:r>
          </w:p>
        </w:tc>
      </w:tr>
      <w:tr w:rsidR="00A031A2" w:rsidRPr="00A031A2" w14:paraId="5D17C2C5" w14:textId="77777777" w:rsidTr="005E6986">
        <w:tc>
          <w:tcPr>
            <w:tcW w:w="2689" w:type="dxa"/>
            <w:shd w:val="clear" w:color="auto" w:fill="D9D9D9" w:themeFill="background1" w:themeFillShade="D9"/>
          </w:tcPr>
          <w:p w14:paraId="65094B69"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Tipo de Proceso:</w:t>
            </w:r>
          </w:p>
        </w:tc>
        <w:tc>
          <w:tcPr>
            <w:tcW w:w="7294" w:type="dxa"/>
          </w:tcPr>
          <w:p w14:paraId="309EF488" w14:textId="7CD34C7A" w:rsidR="00C3016C" w:rsidRPr="00A031A2" w:rsidRDefault="00346853" w:rsidP="005E6986">
            <w:pPr>
              <w:jc w:val="both"/>
              <w:rPr>
                <w:rFonts w:ascii="Arial" w:hAnsi="Arial" w:cs="Arial"/>
                <w:lang w:val="es-ES_tradnl"/>
              </w:rPr>
            </w:pPr>
            <w:r w:rsidRPr="00A031A2">
              <w:rPr>
                <w:rFonts w:ascii="Arial" w:hAnsi="Arial" w:cs="Arial"/>
                <w:lang w:val="es-ES_tradnl"/>
              </w:rPr>
              <w:t xml:space="preserve">Reparación </w:t>
            </w:r>
            <w:r w:rsidR="005E6986" w:rsidRPr="00A031A2">
              <w:rPr>
                <w:rFonts w:ascii="Arial" w:hAnsi="Arial" w:cs="Arial"/>
                <w:lang w:val="es-ES_tradnl"/>
              </w:rPr>
              <w:t>directa</w:t>
            </w:r>
          </w:p>
        </w:tc>
      </w:tr>
      <w:tr w:rsidR="00A031A2" w:rsidRPr="00A031A2" w14:paraId="5DB3C2DA" w14:textId="77777777" w:rsidTr="005E6986">
        <w:tc>
          <w:tcPr>
            <w:tcW w:w="2689" w:type="dxa"/>
            <w:shd w:val="clear" w:color="auto" w:fill="D9D9D9" w:themeFill="background1" w:themeFillShade="D9"/>
          </w:tcPr>
          <w:p w14:paraId="7397F6B3"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Jurisdicción:</w:t>
            </w:r>
          </w:p>
        </w:tc>
        <w:tc>
          <w:tcPr>
            <w:tcW w:w="7294" w:type="dxa"/>
          </w:tcPr>
          <w:p w14:paraId="27E029E3" w14:textId="2A6EE764" w:rsidR="00C3016C" w:rsidRPr="00A031A2" w:rsidRDefault="005E6986" w:rsidP="005E6986">
            <w:pPr>
              <w:jc w:val="both"/>
              <w:rPr>
                <w:rFonts w:ascii="Arial" w:hAnsi="Arial" w:cs="Arial"/>
                <w:lang w:val="es-ES_tradnl"/>
              </w:rPr>
            </w:pPr>
            <w:r w:rsidRPr="00A031A2">
              <w:rPr>
                <w:rFonts w:ascii="Arial" w:hAnsi="Arial" w:cs="Arial"/>
                <w:lang w:val="es-ES_tradnl"/>
              </w:rPr>
              <w:t>Contencioso administrativo</w:t>
            </w:r>
            <w:r w:rsidR="00346853" w:rsidRPr="00A031A2">
              <w:rPr>
                <w:rFonts w:ascii="Arial" w:hAnsi="Arial" w:cs="Arial"/>
                <w:lang w:val="es-ES_tradnl"/>
              </w:rPr>
              <w:t xml:space="preserve"> </w:t>
            </w:r>
          </w:p>
        </w:tc>
      </w:tr>
      <w:tr w:rsidR="00A031A2" w:rsidRPr="00A031A2" w14:paraId="28C51AE9" w14:textId="77777777" w:rsidTr="005E6986">
        <w:tc>
          <w:tcPr>
            <w:tcW w:w="2689" w:type="dxa"/>
            <w:shd w:val="clear" w:color="auto" w:fill="D9D9D9" w:themeFill="background1" w:themeFillShade="D9"/>
          </w:tcPr>
          <w:p w14:paraId="544719C8"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Despacho:</w:t>
            </w:r>
          </w:p>
        </w:tc>
        <w:tc>
          <w:tcPr>
            <w:tcW w:w="7294" w:type="dxa"/>
          </w:tcPr>
          <w:p w14:paraId="46B4FFC6" w14:textId="006FC29A" w:rsidR="00C3016C" w:rsidRPr="00A031A2" w:rsidRDefault="005E6986" w:rsidP="005E6986">
            <w:pPr>
              <w:jc w:val="both"/>
              <w:rPr>
                <w:rFonts w:ascii="Arial" w:hAnsi="Arial" w:cs="Arial"/>
                <w:lang w:val="es-ES_tradnl"/>
              </w:rPr>
            </w:pPr>
            <w:r w:rsidRPr="00A031A2">
              <w:rPr>
                <w:rFonts w:ascii="Arial" w:hAnsi="Arial" w:cs="Arial"/>
              </w:rPr>
              <w:t>JUZGADO PRIMERO (1°) ADMINISTRATIVO DEL CIRCUITO DE CALI (V)</w:t>
            </w:r>
          </w:p>
        </w:tc>
      </w:tr>
      <w:tr w:rsidR="00A031A2" w:rsidRPr="00A031A2" w14:paraId="1E19F9F0" w14:textId="77777777" w:rsidTr="005E6986">
        <w:tc>
          <w:tcPr>
            <w:tcW w:w="2689" w:type="dxa"/>
            <w:shd w:val="clear" w:color="auto" w:fill="D9D9D9" w:themeFill="background1" w:themeFillShade="D9"/>
          </w:tcPr>
          <w:p w14:paraId="2CA6172A"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Ciudad:</w:t>
            </w:r>
          </w:p>
        </w:tc>
        <w:tc>
          <w:tcPr>
            <w:tcW w:w="7294" w:type="dxa"/>
          </w:tcPr>
          <w:p w14:paraId="7AD37AC6" w14:textId="11E8C4AA" w:rsidR="00C3016C" w:rsidRPr="00A031A2" w:rsidRDefault="00346853" w:rsidP="005E6986">
            <w:pPr>
              <w:jc w:val="both"/>
              <w:rPr>
                <w:rFonts w:ascii="Arial" w:hAnsi="Arial" w:cs="Arial"/>
                <w:lang w:val="es-ES_tradnl"/>
              </w:rPr>
            </w:pPr>
            <w:r w:rsidRPr="00A031A2">
              <w:rPr>
                <w:rFonts w:ascii="Arial" w:hAnsi="Arial" w:cs="Arial"/>
                <w:lang w:val="es-ES_tradnl"/>
              </w:rPr>
              <w:t>Cali</w:t>
            </w:r>
          </w:p>
        </w:tc>
      </w:tr>
      <w:tr w:rsidR="00A031A2" w:rsidRPr="00A031A2" w14:paraId="7ED4A0CC" w14:textId="77777777" w:rsidTr="005E6986">
        <w:tc>
          <w:tcPr>
            <w:tcW w:w="2689" w:type="dxa"/>
            <w:shd w:val="clear" w:color="auto" w:fill="D9D9D9" w:themeFill="background1" w:themeFillShade="D9"/>
          </w:tcPr>
          <w:p w14:paraId="65963757"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Radicado (23 dígitos):</w:t>
            </w:r>
          </w:p>
        </w:tc>
        <w:tc>
          <w:tcPr>
            <w:tcW w:w="7294" w:type="dxa"/>
          </w:tcPr>
          <w:p w14:paraId="4ED5E590" w14:textId="153D717F" w:rsidR="00C3016C" w:rsidRPr="00A031A2" w:rsidRDefault="00EF22CF" w:rsidP="005E6986">
            <w:pPr>
              <w:jc w:val="both"/>
              <w:rPr>
                <w:rFonts w:ascii="Arial" w:hAnsi="Arial" w:cs="Arial"/>
                <w:lang w:val="es-ES_tradnl"/>
              </w:rPr>
            </w:pPr>
            <w:r w:rsidRPr="00A031A2">
              <w:rPr>
                <w:rFonts w:ascii="Arial" w:hAnsi="Arial" w:cs="Arial"/>
                <w:shd w:val="clear" w:color="auto" w:fill="FFFFFF"/>
              </w:rPr>
              <w:t> 76001-33-33-001-2023-00235-00</w:t>
            </w:r>
          </w:p>
        </w:tc>
      </w:tr>
      <w:tr w:rsidR="00A031A2" w:rsidRPr="00A031A2" w14:paraId="365EB3D3" w14:textId="77777777" w:rsidTr="005E6986">
        <w:trPr>
          <w:trHeight w:val="567"/>
        </w:trPr>
        <w:tc>
          <w:tcPr>
            <w:tcW w:w="2689" w:type="dxa"/>
            <w:shd w:val="clear" w:color="auto" w:fill="D9D9D9" w:themeFill="background1" w:themeFillShade="D9"/>
          </w:tcPr>
          <w:p w14:paraId="3E29A9FF"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Demandantes:</w:t>
            </w:r>
          </w:p>
        </w:tc>
        <w:tc>
          <w:tcPr>
            <w:tcW w:w="7294" w:type="dxa"/>
          </w:tcPr>
          <w:p w14:paraId="548A5806" w14:textId="5F4E562C" w:rsidR="00C3016C" w:rsidRPr="00A031A2" w:rsidRDefault="00346853" w:rsidP="005E6986">
            <w:pPr>
              <w:pStyle w:val="Prrafodelista"/>
              <w:numPr>
                <w:ilvl w:val="0"/>
                <w:numId w:val="5"/>
              </w:numPr>
              <w:jc w:val="both"/>
              <w:rPr>
                <w:rFonts w:ascii="Arial" w:hAnsi="Arial" w:cs="Arial"/>
                <w:sz w:val="22"/>
                <w:szCs w:val="22"/>
                <w:lang w:val="es-ES_tradnl"/>
              </w:rPr>
            </w:pPr>
            <w:r w:rsidRPr="00A031A2">
              <w:rPr>
                <w:rFonts w:ascii="Arial" w:hAnsi="Arial" w:cs="Arial"/>
                <w:sz w:val="22"/>
                <w:szCs w:val="22"/>
                <w:lang w:val="es-ES_tradnl"/>
              </w:rPr>
              <w:t>FRANCY ELENA OSPINA BUITRAGO</w:t>
            </w:r>
            <w:r w:rsidR="005C3588" w:rsidRPr="00A031A2">
              <w:rPr>
                <w:rFonts w:ascii="Arial" w:hAnsi="Arial" w:cs="Arial"/>
                <w:sz w:val="22"/>
                <w:szCs w:val="22"/>
                <w:lang w:val="es-ES_tradnl"/>
              </w:rPr>
              <w:t xml:space="preserve"> (Lesionada)</w:t>
            </w:r>
          </w:p>
          <w:p w14:paraId="2DE83C4F" w14:textId="77777777" w:rsidR="00346853" w:rsidRPr="00A031A2" w:rsidRDefault="00346853" w:rsidP="005E6986">
            <w:pPr>
              <w:pStyle w:val="Prrafodelista"/>
              <w:numPr>
                <w:ilvl w:val="0"/>
                <w:numId w:val="5"/>
              </w:numPr>
              <w:jc w:val="both"/>
              <w:rPr>
                <w:rFonts w:ascii="Arial" w:hAnsi="Arial" w:cs="Arial"/>
                <w:sz w:val="22"/>
                <w:szCs w:val="22"/>
              </w:rPr>
            </w:pPr>
            <w:r w:rsidRPr="00A031A2">
              <w:rPr>
                <w:rFonts w:ascii="Arial" w:hAnsi="Arial" w:cs="Arial"/>
                <w:sz w:val="22"/>
                <w:szCs w:val="22"/>
              </w:rPr>
              <w:t>SANTIAGO MELLIZO MOTATO (Compañero Permanente)</w:t>
            </w:r>
          </w:p>
          <w:p w14:paraId="38990ADB" w14:textId="77777777" w:rsidR="00346853" w:rsidRPr="00A031A2" w:rsidRDefault="00346853" w:rsidP="005E6986">
            <w:pPr>
              <w:pStyle w:val="Prrafodelista"/>
              <w:numPr>
                <w:ilvl w:val="0"/>
                <w:numId w:val="5"/>
              </w:numPr>
              <w:jc w:val="both"/>
              <w:rPr>
                <w:rFonts w:ascii="Arial" w:hAnsi="Arial" w:cs="Arial"/>
                <w:sz w:val="22"/>
                <w:szCs w:val="22"/>
              </w:rPr>
            </w:pPr>
            <w:r w:rsidRPr="00A031A2">
              <w:rPr>
                <w:rFonts w:ascii="Arial" w:hAnsi="Arial" w:cs="Arial"/>
                <w:sz w:val="22"/>
                <w:szCs w:val="22"/>
              </w:rPr>
              <w:t>DORIS BUITRAGO DUCÓN (Madre)</w:t>
            </w:r>
          </w:p>
          <w:p w14:paraId="519CAC68" w14:textId="77777777" w:rsidR="00346853" w:rsidRPr="00A031A2" w:rsidRDefault="00346853" w:rsidP="005E6986">
            <w:pPr>
              <w:pStyle w:val="Prrafodelista"/>
              <w:numPr>
                <w:ilvl w:val="0"/>
                <w:numId w:val="5"/>
              </w:numPr>
              <w:jc w:val="both"/>
              <w:rPr>
                <w:rFonts w:ascii="Arial" w:hAnsi="Arial" w:cs="Arial"/>
                <w:sz w:val="22"/>
                <w:szCs w:val="22"/>
              </w:rPr>
            </w:pPr>
            <w:r w:rsidRPr="00A031A2">
              <w:rPr>
                <w:rFonts w:ascii="Arial" w:hAnsi="Arial" w:cs="Arial"/>
                <w:sz w:val="22"/>
                <w:szCs w:val="22"/>
              </w:rPr>
              <w:t>JORGE ELIECER VARGAS BUITRAGO (Hermano)</w:t>
            </w:r>
          </w:p>
          <w:p w14:paraId="704ECFA1" w14:textId="77777777" w:rsidR="00346853" w:rsidRPr="00A031A2" w:rsidRDefault="00346853" w:rsidP="005E6986">
            <w:pPr>
              <w:pStyle w:val="Prrafodelista"/>
              <w:numPr>
                <w:ilvl w:val="0"/>
                <w:numId w:val="5"/>
              </w:numPr>
              <w:jc w:val="both"/>
              <w:rPr>
                <w:rFonts w:ascii="Arial" w:hAnsi="Arial" w:cs="Arial"/>
                <w:sz w:val="22"/>
                <w:szCs w:val="22"/>
              </w:rPr>
            </w:pPr>
            <w:r w:rsidRPr="00A031A2">
              <w:rPr>
                <w:rFonts w:ascii="Arial" w:hAnsi="Arial" w:cs="Arial"/>
                <w:sz w:val="22"/>
                <w:szCs w:val="22"/>
              </w:rPr>
              <w:t>CLAUDIA MILENA CARMONA BUITRAGO (Hermana)</w:t>
            </w:r>
          </w:p>
          <w:p w14:paraId="5F6B6717" w14:textId="7AFE6A1C" w:rsidR="00346853" w:rsidRPr="00A031A2" w:rsidRDefault="00346853" w:rsidP="005E6986">
            <w:pPr>
              <w:pStyle w:val="Prrafodelista"/>
              <w:numPr>
                <w:ilvl w:val="0"/>
                <w:numId w:val="5"/>
              </w:numPr>
              <w:jc w:val="both"/>
              <w:rPr>
                <w:rFonts w:ascii="Arial" w:hAnsi="Arial" w:cs="Arial"/>
                <w:sz w:val="22"/>
                <w:szCs w:val="22"/>
                <w:lang w:val="es-CO"/>
              </w:rPr>
            </w:pPr>
            <w:r w:rsidRPr="00A031A2">
              <w:rPr>
                <w:rFonts w:ascii="Arial" w:hAnsi="Arial" w:cs="Arial"/>
                <w:sz w:val="22"/>
                <w:szCs w:val="22"/>
              </w:rPr>
              <w:t>JAQUELINE BUITRAGO DUCÓN (Hermana)</w:t>
            </w:r>
          </w:p>
        </w:tc>
      </w:tr>
      <w:tr w:rsidR="00A031A2" w:rsidRPr="00A031A2" w14:paraId="26F1C674" w14:textId="77777777" w:rsidTr="005E6986">
        <w:tc>
          <w:tcPr>
            <w:tcW w:w="2689" w:type="dxa"/>
            <w:shd w:val="clear" w:color="auto" w:fill="D9D9D9" w:themeFill="background1" w:themeFillShade="D9"/>
          </w:tcPr>
          <w:p w14:paraId="6A2570A7"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Demandados:</w:t>
            </w:r>
          </w:p>
        </w:tc>
        <w:tc>
          <w:tcPr>
            <w:tcW w:w="7294" w:type="dxa"/>
          </w:tcPr>
          <w:p w14:paraId="4BB23873" w14:textId="77777777" w:rsidR="00C3016C" w:rsidRPr="00A031A2" w:rsidRDefault="00346853" w:rsidP="005E6986">
            <w:pPr>
              <w:pStyle w:val="Prrafodelista"/>
              <w:numPr>
                <w:ilvl w:val="0"/>
                <w:numId w:val="6"/>
              </w:numPr>
              <w:jc w:val="both"/>
              <w:rPr>
                <w:rFonts w:ascii="Arial" w:hAnsi="Arial" w:cs="Arial"/>
                <w:sz w:val="22"/>
                <w:szCs w:val="22"/>
              </w:rPr>
            </w:pPr>
            <w:r w:rsidRPr="00A031A2">
              <w:rPr>
                <w:rFonts w:ascii="Arial" w:hAnsi="Arial" w:cs="Arial"/>
                <w:sz w:val="22"/>
                <w:szCs w:val="22"/>
              </w:rPr>
              <w:t>DISTRITO DE SANTIAGO DE CALI</w:t>
            </w:r>
          </w:p>
          <w:p w14:paraId="395FB00D" w14:textId="6FEB2FD0" w:rsidR="00346853" w:rsidRPr="00A031A2" w:rsidRDefault="00346853" w:rsidP="005E6986">
            <w:pPr>
              <w:pStyle w:val="Prrafodelista"/>
              <w:numPr>
                <w:ilvl w:val="0"/>
                <w:numId w:val="6"/>
              </w:numPr>
              <w:jc w:val="both"/>
              <w:rPr>
                <w:rFonts w:ascii="Arial" w:hAnsi="Arial" w:cs="Arial"/>
                <w:sz w:val="22"/>
                <w:szCs w:val="22"/>
              </w:rPr>
            </w:pPr>
            <w:r w:rsidRPr="00A031A2">
              <w:rPr>
                <w:rFonts w:ascii="Arial" w:hAnsi="Arial" w:cs="Arial"/>
                <w:sz w:val="22"/>
                <w:szCs w:val="22"/>
              </w:rPr>
              <w:t>EMCALI EICE ESP</w:t>
            </w:r>
          </w:p>
        </w:tc>
      </w:tr>
      <w:tr w:rsidR="00A031A2" w:rsidRPr="00A031A2" w14:paraId="737C3CF7" w14:textId="77777777" w:rsidTr="005E6986">
        <w:tc>
          <w:tcPr>
            <w:tcW w:w="2689" w:type="dxa"/>
            <w:shd w:val="clear" w:color="auto" w:fill="D9D9D9" w:themeFill="background1" w:themeFillShade="D9"/>
          </w:tcPr>
          <w:p w14:paraId="245720EA" w14:textId="3E40E3DB" w:rsidR="00C3016C" w:rsidRPr="00A031A2" w:rsidRDefault="00C3016C" w:rsidP="005E6986">
            <w:pPr>
              <w:jc w:val="both"/>
              <w:rPr>
                <w:rFonts w:ascii="Arial" w:hAnsi="Arial" w:cs="Arial"/>
                <w:b/>
                <w:lang w:val="es-ES_tradnl"/>
              </w:rPr>
            </w:pPr>
            <w:r w:rsidRPr="00A031A2">
              <w:rPr>
                <w:rFonts w:ascii="Arial" w:hAnsi="Arial" w:cs="Arial"/>
                <w:b/>
                <w:lang w:val="es-ES_tradnl"/>
              </w:rPr>
              <w:t xml:space="preserve">Tipo de vinculación de </w:t>
            </w:r>
            <w:r w:rsidR="00346853" w:rsidRPr="00A031A2">
              <w:rPr>
                <w:rFonts w:ascii="Arial" w:hAnsi="Arial" w:cs="Arial"/>
                <w:b/>
                <w:lang w:val="es-ES_tradnl"/>
              </w:rPr>
              <w:t>HDI</w:t>
            </w:r>
            <w:r w:rsidRPr="00A031A2">
              <w:rPr>
                <w:rFonts w:ascii="Arial" w:hAnsi="Arial" w:cs="Arial"/>
                <w:b/>
                <w:lang w:val="es-ES_tradnl"/>
              </w:rPr>
              <w:t xml:space="preserve"> (directa, llamamiento en garantía, litisconsorte):</w:t>
            </w:r>
          </w:p>
        </w:tc>
        <w:tc>
          <w:tcPr>
            <w:tcW w:w="7294" w:type="dxa"/>
          </w:tcPr>
          <w:p w14:paraId="3D968381" w14:textId="6D5D9C2F" w:rsidR="00C3016C" w:rsidRPr="00A031A2" w:rsidRDefault="00346853" w:rsidP="005E6986">
            <w:pPr>
              <w:jc w:val="both"/>
              <w:rPr>
                <w:rFonts w:ascii="Arial" w:hAnsi="Arial" w:cs="Arial"/>
                <w:lang w:val="es-ES_tradnl"/>
              </w:rPr>
            </w:pPr>
            <w:r w:rsidRPr="00A031A2">
              <w:rPr>
                <w:rFonts w:ascii="Arial" w:hAnsi="Arial" w:cs="Arial"/>
                <w:lang w:val="es-ES_tradnl"/>
              </w:rPr>
              <w:t xml:space="preserve">Llamamiento en </w:t>
            </w:r>
            <w:r w:rsidR="00EF22CF" w:rsidRPr="00A031A2">
              <w:rPr>
                <w:rFonts w:ascii="Arial" w:hAnsi="Arial" w:cs="Arial"/>
                <w:lang w:val="es-ES_tradnl"/>
              </w:rPr>
              <w:t>garantía</w:t>
            </w:r>
          </w:p>
          <w:p w14:paraId="523FC52D" w14:textId="77777777" w:rsidR="00C3016C" w:rsidRPr="00A031A2" w:rsidRDefault="00C3016C" w:rsidP="005E6986">
            <w:pPr>
              <w:jc w:val="both"/>
              <w:rPr>
                <w:rFonts w:ascii="Arial" w:hAnsi="Arial" w:cs="Arial"/>
                <w:lang w:val="es-ES_tradnl"/>
              </w:rPr>
            </w:pPr>
          </w:p>
        </w:tc>
      </w:tr>
      <w:tr w:rsidR="00A031A2" w:rsidRPr="00A031A2" w14:paraId="310FFED0" w14:textId="77777777" w:rsidTr="005E6986">
        <w:tc>
          <w:tcPr>
            <w:tcW w:w="2689" w:type="dxa"/>
            <w:shd w:val="clear" w:color="auto" w:fill="D9D9D9" w:themeFill="background1" w:themeFillShade="D9"/>
          </w:tcPr>
          <w:p w14:paraId="003BC5F9"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Resumen de los hechos:</w:t>
            </w:r>
          </w:p>
        </w:tc>
        <w:tc>
          <w:tcPr>
            <w:tcW w:w="7294" w:type="dxa"/>
          </w:tcPr>
          <w:p w14:paraId="102686D9" w14:textId="7F69A661" w:rsidR="00C3016C" w:rsidRPr="00A031A2" w:rsidRDefault="00346853" w:rsidP="005E6986">
            <w:pPr>
              <w:jc w:val="both"/>
              <w:rPr>
                <w:rFonts w:ascii="Arial" w:hAnsi="Arial" w:cs="Arial"/>
                <w:lang w:val="es-ES_tradnl"/>
              </w:rPr>
            </w:pPr>
            <w:r w:rsidRPr="00A031A2">
              <w:rPr>
                <w:rFonts w:ascii="Arial" w:hAnsi="Arial" w:cs="Arial"/>
                <w:lang w:val="es-ES_tradnl"/>
              </w:rPr>
              <w:t>De conformidad con los hechos de la demanda, el día 30 de agosto de 2021, a eso de las 6:12 y 6:58 a.m., la señora FRANCY ELENA OSPINA BUITRAGO conducía la motocicleta Hero de placas FQO35F por la carrera 35 con calle 10 oeste (avenida de los cerros) cuando un hueco que le faltaba la tapa de alcantarilla redonda la hizo perder el control y caer, ocasionando lesiones.</w:t>
            </w:r>
          </w:p>
        </w:tc>
      </w:tr>
      <w:tr w:rsidR="00A031A2" w:rsidRPr="00A031A2" w14:paraId="0E406DF4" w14:textId="77777777" w:rsidTr="005E6986">
        <w:tc>
          <w:tcPr>
            <w:tcW w:w="2689" w:type="dxa"/>
            <w:shd w:val="clear" w:color="auto" w:fill="D9D9D9" w:themeFill="background1" w:themeFillShade="D9"/>
          </w:tcPr>
          <w:p w14:paraId="4DAF3A73"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Descripción de las pretensiones:</w:t>
            </w:r>
          </w:p>
        </w:tc>
        <w:tc>
          <w:tcPr>
            <w:tcW w:w="7294" w:type="dxa"/>
          </w:tcPr>
          <w:p w14:paraId="647913EA" w14:textId="77777777" w:rsidR="00346853" w:rsidRPr="00A031A2" w:rsidRDefault="00346853" w:rsidP="005E6986">
            <w:pPr>
              <w:pStyle w:val="Prrafodelista"/>
              <w:numPr>
                <w:ilvl w:val="0"/>
                <w:numId w:val="7"/>
              </w:numPr>
              <w:jc w:val="both"/>
              <w:rPr>
                <w:rFonts w:ascii="Arial" w:hAnsi="Arial" w:cs="Arial"/>
                <w:sz w:val="22"/>
                <w:szCs w:val="22"/>
                <w:lang w:val="es-CO"/>
              </w:rPr>
            </w:pPr>
            <w:r w:rsidRPr="00A031A2">
              <w:rPr>
                <w:rFonts w:ascii="Arial" w:hAnsi="Arial" w:cs="Arial"/>
                <w:sz w:val="22"/>
                <w:szCs w:val="22"/>
                <w:lang w:val="es-CO"/>
              </w:rPr>
              <w:t xml:space="preserve">LUCRO CESANTE. El valor de veinticinco millones seiscientos dos mil ciento veinte dos pesos ($25.602.122) , por los valores que dejará de recibir debido a la pérdida de su capacidad laboral. </w:t>
            </w:r>
          </w:p>
          <w:p w14:paraId="13FDF24B" w14:textId="65F9F191" w:rsidR="00346853" w:rsidRPr="00A031A2" w:rsidRDefault="00346853" w:rsidP="005E6986">
            <w:pPr>
              <w:pStyle w:val="Prrafodelista"/>
              <w:numPr>
                <w:ilvl w:val="0"/>
                <w:numId w:val="7"/>
              </w:numPr>
              <w:jc w:val="both"/>
              <w:rPr>
                <w:rFonts w:ascii="Arial" w:hAnsi="Arial" w:cs="Arial"/>
                <w:sz w:val="22"/>
                <w:szCs w:val="22"/>
                <w:lang w:val="es-CO"/>
              </w:rPr>
            </w:pPr>
            <w:r w:rsidRPr="00A031A2">
              <w:rPr>
                <w:rFonts w:ascii="Arial" w:hAnsi="Arial" w:cs="Arial"/>
                <w:sz w:val="22"/>
                <w:szCs w:val="22"/>
                <w:lang w:val="es-CO"/>
              </w:rPr>
              <w:t>DAÑO MORAL: El valor de 45 salarios mínimos, repartidos de la siguiente manera, diez (10) salarios mínimos legales mensuales vigente a la señora FRANCY ELENA OSPINA BUITRAGO, a SANTIAGO MELLIZO MOTATO (compañero permanente) y a DORIS BUITRAGO DUCÓN (madre), además, cinco (5) salarios mínimos legales mensuales vigentes a JORGE ELIECER VARGAS BUITRAGO (HERMANO), CLAUDIA MILENA CARMONA BUITRAGO (HERMANA), JAQUELINE BUITRAGO DUCÓN (HERMANA)</w:t>
            </w:r>
          </w:p>
          <w:p w14:paraId="1044EB82" w14:textId="77777777" w:rsidR="00346853" w:rsidRPr="00A031A2" w:rsidRDefault="00346853" w:rsidP="005E6986">
            <w:pPr>
              <w:pStyle w:val="Prrafodelista"/>
              <w:numPr>
                <w:ilvl w:val="0"/>
                <w:numId w:val="7"/>
              </w:numPr>
              <w:jc w:val="both"/>
              <w:rPr>
                <w:rFonts w:ascii="Arial" w:hAnsi="Arial" w:cs="Arial"/>
                <w:sz w:val="22"/>
                <w:szCs w:val="22"/>
                <w:lang w:val="es-CO"/>
              </w:rPr>
            </w:pPr>
            <w:r w:rsidRPr="00A031A2">
              <w:rPr>
                <w:rFonts w:ascii="Arial" w:hAnsi="Arial" w:cs="Arial"/>
                <w:sz w:val="22"/>
                <w:szCs w:val="22"/>
                <w:lang w:val="es-CO"/>
              </w:rPr>
              <w:t>DAÑO A LA SALUD:  a favor de FRANCY ELENA OSPINA BUITRAGO la suma de 10 SMMLV.</w:t>
            </w:r>
          </w:p>
          <w:p w14:paraId="3F0B9FE9" w14:textId="05095A9F" w:rsidR="00346853" w:rsidRPr="00A031A2" w:rsidRDefault="00346853" w:rsidP="005E6986">
            <w:pPr>
              <w:pStyle w:val="Prrafodelista"/>
              <w:numPr>
                <w:ilvl w:val="0"/>
                <w:numId w:val="7"/>
              </w:numPr>
              <w:jc w:val="both"/>
              <w:rPr>
                <w:rFonts w:ascii="Arial" w:hAnsi="Arial" w:cs="Arial"/>
                <w:sz w:val="22"/>
                <w:szCs w:val="22"/>
                <w:lang w:val="es-CO"/>
              </w:rPr>
            </w:pPr>
            <w:r w:rsidRPr="00A031A2">
              <w:rPr>
                <w:rFonts w:ascii="Arial" w:hAnsi="Arial" w:cs="Arial"/>
                <w:sz w:val="22"/>
                <w:szCs w:val="22"/>
                <w:lang w:val="es-CO"/>
              </w:rPr>
              <w:t>DAÑO EMERGENTE: El valor de un millón ciento sesenta mil pesos ($ 1.160.000) a favor de FRANCY ELENA OSPINA BUITRAGO, suma  que  pagó a la Junta Regional de Calificación de Invalidez para que emitiera su dictamen.</w:t>
            </w:r>
          </w:p>
          <w:p w14:paraId="5662255E" w14:textId="3163789B" w:rsidR="00C3016C" w:rsidRPr="00A031A2" w:rsidRDefault="00346853" w:rsidP="005E6986">
            <w:pPr>
              <w:pStyle w:val="Prrafodelista"/>
              <w:numPr>
                <w:ilvl w:val="0"/>
                <w:numId w:val="7"/>
              </w:numPr>
              <w:jc w:val="both"/>
              <w:rPr>
                <w:rFonts w:ascii="Arial" w:hAnsi="Arial" w:cs="Arial"/>
                <w:sz w:val="22"/>
                <w:szCs w:val="22"/>
                <w:lang w:val="es-CO"/>
              </w:rPr>
            </w:pPr>
            <w:r w:rsidRPr="00A031A2">
              <w:rPr>
                <w:rFonts w:ascii="Arial" w:hAnsi="Arial" w:cs="Arial"/>
                <w:sz w:val="22"/>
                <w:szCs w:val="22"/>
                <w:lang w:val="es-CO"/>
              </w:rPr>
              <w:lastRenderedPageBreak/>
              <w:t xml:space="preserve">Realizar todos los demás reconocimientos que conlleven a una reparación </w:t>
            </w:r>
            <w:r w:rsidR="00A172D5" w:rsidRPr="00A031A2">
              <w:rPr>
                <w:rFonts w:ascii="Arial" w:hAnsi="Arial" w:cs="Arial"/>
                <w:sz w:val="22"/>
                <w:szCs w:val="22"/>
                <w:lang w:val="es-CO"/>
              </w:rPr>
              <w:t>integral del</w:t>
            </w:r>
            <w:r w:rsidRPr="00A031A2">
              <w:rPr>
                <w:rFonts w:ascii="Arial" w:hAnsi="Arial" w:cs="Arial"/>
                <w:sz w:val="22"/>
                <w:szCs w:val="22"/>
                <w:lang w:val="es-CO"/>
              </w:rPr>
              <w:t xml:space="preserve"> daño padecido por los acá demandantes conforme lo indica el artículo 16 de la Ley 446 de 1.998, así como bajo los cánones de la reciente jurisprudencia contencioso administrativa.</w:t>
            </w:r>
          </w:p>
        </w:tc>
      </w:tr>
      <w:tr w:rsidR="00A031A2" w:rsidRPr="00A031A2" w14:paraId="704DFB9E" w14:textId="77777777" w:rsidTr="005E6986">
        <w:tc>
          <w:tcPr>
            <w:tcW w:w="2689" w:type="dxa"/>
            <w:shd w:val="clear" w:color="auto" w:fill="D9D9D9" w:themeFill="background1" w:themeFillShade="D9"/>
          </w:tcPr>
          <w:p w14:paraId="58C6E535"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lastRenderedPageBreak/>
              <w:t>Pretensiones cuantificadas ($):</w:t>
            </w:r>
          </w:p>
        </w:tc>
        <w:tc>
          <w:tcPr>
            <w:tcW w:w="7294" w:type="dxa"/>
          </w:tcPr>
          <w:p w14:paraId="61540B9A" w14:textId="23516CEB" w:rsidR="00C3016C" w:rsidRPr="00A031A2" w:rsidRDefault="00A172D5" w:rsidP="005E6986">
            <w:pPr>
              <w:jc w:val="both"/>
              <w:rPr>
                <w:rFonts w:ascii="Arial" w:hAnsi="Arial" w:cs="Arial"/>
                <w:lang w:val="es-ES_tradnl"/>
              </w:rPr>
            </w:pPr>
            <w:r w:rsidRPr="00A031A2">
              <w:rPr>
                <w:rFonts w:ascii="Arial" w:hAnsi="Arial" w:cs="Arial"/>
                <w:lang w:val="es-ES_tradnl"/>
              </w:rPr>
              <w:t>$98.262.122</w:t>
            </w:r>
          </w:p>
        </w:tc>
      </w:tr>
      <w:tr w:rsidR="00A031A2" w:rsidRPr="00A031A2" w14:paraId="0B60EBC1" w14:textId="77777777" w:rsidTr="005E6986">
        <w:tc>
          <w:tcPr>
            <w:tcW w:w="2689" w:type="dxa"/>
            <w:shd w:val="clear" w:color="auto" w:fill="D9D9D9" w:themeFill="background1" w:themeFillShade="D9"/>
          </w:tcPr>
          <w:p w14:paraId="7ABAD315"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Valor asegurado amparos afectados:</w:t>
            </w:r>
          </w:p>
        </w:tc>
        <w:tc>
          <w:tcPr>
            <w:tcW w:w="7294" w:type="dxa"/>
          </w:tcPr>
          <w:p w14:paraId="6C40C20A" w14:textId="304D60DA" w:rsidR="00C3016C" w:rsidRPr="00A031A2" w:rsidRDefault="005E6986" w:rsidP="005E6986">
            <w:pPr>
              <w:jc w:val="both"/>
              <w:rPr>
                <w:rFonts w:ascii="Arial" w:hAnsi="Arial" w:cs="Arial"/>
                <w:lang w:val="es-ES_tradnl"/>
              </w:rPr>
            </w:pPr>
            <w:r w:rsidRPr="00A031A2">
              <w:rPr>
                <w:rFonts w:ascii="Arial" w:hAnsi="Arial" w:cs="Arial"/>
                <w:lang w:val="es-ES_tradnl"/>
              </w:rPr>
              <w:t>$</w:t>
            </w:r>
            <w:r w:rsidR="00A172D5" w:rsidRPr="00A031A2">
              <w:rPr>
                <w:rFonts w:ascii="Arial" w:hAnsi="Arial" w:cs="Arial"/>
                <w:lang w:val="es-ES_tradnl"/>
              </w:rPr>
              <w:t>7.000.000.000</w:t>
            </w:r>
          </w:p>
        </w:tc>
      </w:tr>
      <w:tr w:rsidR="00A031A2" w:rsidRPr="00A031A2" w14:paraId="47DED08D" w14:textId="77777777" w:rsidTr="005E6986">
        <w:tc>
          <w:tcPr>
            <w:tcW w:w="2689" w:type="dxa"/>
            <w:shd w:val="clear" w:color="auto" w:fill="D9D9D9" w:themeFill="background1" w:themeFillShade="D9"/>
          </w:tcPr>
          <w:p w14:paraId="2040F0CE"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Valoración objetiva de las pretensiones:</w:t>
            </w:r>
          </w:p>
        </w:tc>
        <w:tc>
          <w:tcPr>
            <w:tcW w:w="7294" w:type="dxa"/>
          </w:tcPr>
          <w:p w14:paraId="2323FB3C" w14:textId="77777777" w:rsidR="00A172D5" w:rsidRPr="00A031A2" w:rsidRDefault="00A172D5" w:rsidP="005E6986">
            <w:pPr>
              <w:jc w:val="both"/>
              <w:rPr>
                <w:rFonts w:ascii="Arial" w:hAnsi="Arial" w:cs="Arial"/>
              </w:rPr>
            </w:pPr>
            <w:r w:rsidRPr="00A031A2">
              <w:rPr>
                <w:rFonts w:ascii="Arial" w:hAnsi="Arial" w:cs="Arial"/>
              </w:rPr>
              <w:t>•</w:t>
            </w:r>
            <w:r w:rsidRPr="00A031A2">
              <w:rPr>
                <w:rFonts w:ascii="Arial" w:hAnsi="Arial" w:cs="Arial"/>
              </w:rPr>
              <w:tab/>
              <w:t xml:space="preserve">Lucro cesante: $0 </w:t>
            </w:r>
          </w:p>
          <w:p w14:paraId="366A04EA" w14:textId="77777777" w:rsidR="00A172D5" w:rsidRPr="00A031A2" w:rsidRDefault="00A172D5" w:rsidP="005E6986">
            <w:pPr>
              <w:jc w:val="both"/>
              <w:rPr>
                <w:rFonts w:ascii="Arial" w:hAnsi="Arial" w:cs="Arial"/>
              </w:rPr>
            </w:pPr>
            <w:r w:rsidRPr="00A031A2">
              <w:rPr>
                <w:rFonts w:ascii="Arial" w:hAnsi="Arial" w:cs="Arial"/>
              </w:rPr>
              <w:t xml:space="preserve"> </w:t>
            </w:r>
          </w:p>
          <w:p w14:paraId="1C4B4FDD" w14:textId="77777777" w:rsidR="00A172D5" w:rsidRPr="00A031A2" w:rsidRDefault="00A172D5" w:rsidP="005E6986">
            <w:pPr>
              <w:jc w:val="both"/>
              <w:rPr>
                <w:rFonts w:ascii="Arial" w:hAnsi="Arial" w:cs="Arial"/>
              </w:rPr>
            </w:pPr>
            <w:r w:rsidRPr="00A031A2">
              <w:rPr>
                <w:rFonts w:ascii="Arial" w:hAnsi="Arial" w:cs="Arial"/>
              </w:rPr>
              <w:t>En favor de la señora Francy Ospina: $0</w:t>
            </w:r>
          </w:p>
          <w:p w14:paraId="1043965F" w14:textId="77777777" w:rsidR="00A172D5" w:rsidRPr="00A031A2" w:rsidRDefault="00A172D5" w:rsidP="005E6986">
            <w:pPr>
              <w:jc w:val="both"/>
              <w:rPr>
                <w:rFonts w:ascii="Arial" w:hAnsi="Arial" w:cs="Arial"/>
              </w:rPr>
            </w:pPr>
            <w:r w:rsidRPr="00A031A2">
              <w:rPr>
                <w:rFonts w:ascii="Arial" w:hAnsi="Arial" w:cs="Arial"/>
              </w:rPr>
              <w:t xml:space="preserve"> </w:t>
            </w:r>
          </w:p>
          <w:p w14:paraId="0BEC8020" w14:textId="77777777" w:rsidR="00A172D5" w:rsidRPr="00A031A2" w:rsidRDefault="00A172D5" w:rsidP="005E6986">
            <w:pPr>
              <w:jc w:val="both"/>
              <w:rPr>
                <w:rFonts w:ascii="Arial" w:hAnsi="Arial" w:cs="Arial"/>
              </w:rPr>
            </w:pPr>
            <w:r w:rsidRPr="00A031A2">
              <w:rPr>
                <w:rFonts w:ascii="Arial" w:hAnsi="Arial" w:cs="Arial"/>
              </w:rPr>
              <w:t>Lucro cesante Consolidado: $0</w:t>
            </w:r>
          </w:p>
          <w:p w14:paraId="0AFBF54A" w14:textId="77777777" w:rsidR="00A172D5" w:rsidRPr="00A031A2" w:rsidRDefault="00A172D5" w:rsidP="005E6986">
            <w:pPr>
              <w:jc w:val="both"/>
              <w:rPr>
                <w:rFonts w:ascii="Arial" w:hAnsi="Arial" w:cs="Arial"/>
              </w:rPr>
            </w:pPr>
            <w:r w:rsidRPr="00A031A2">
              <w:rPr>
                <w:rFonts w:ascii="Arial" w:hAnsi="Arial" w:cs="Arial"/>
              </w:rPr>
              <w:t xml:space="preserve"> </w:t>
            </w:r>
          </w:p>
          <w:p w14:paraId="7EFDCB0E" w14:textId="77777777" w:rsidR="00A172D5" w:rsidRPr="00A031A2" w:rsidRDefault="00A172D5" w:rsidP="005E6986">
            <w:pPr>
              <w:jc w:val="both"/>
              <w:rPr>
                <w:rFonts w:ascii="Arial" w:hAnsi="Arial" w:cs="Arial"/>
              </w:rPr>
            </w:pPr>
            <w:r w:rsidRPr="00A031A2">
              <w:rPr>
                <w:rFonts w:ascii="Arial" w:hAnsi="Arial" w:cs="Arial"/>
              </w:rPr>
              <w:t>Lucro cesante futuro: $ 0</w:t>
            </w:r>
          </w:p>
          <w:p w14:paraId="77AA9353" w14:textId="29BC7188" w:rsidR="00A172D5" w:rsidRPr="00A031A2" w:rsidRDefault="00A172D5" w:rsidP="005E6986">
            <w:pPr>
              <w:jc w:val="both"/>
              <w:rPr>
                <w:rFonts w:ascii="Arial" w:hAnsi="Arial" w:cs="Arial"/>
              </w:rPr>
            </w:pPr>
            <w:r w:rsidRPr="00A031A2">
              <w:rPr>
                <w:rFonts w:ascii="Arial" w:hAnsi="Arial" w:cs="Arial"/>
              </w:rPr>
              <w:t xml:space="preserve">  </w:t>
            </w:r>
          </w:p>
          <w:p w14:paraId="65E2CF1C" w14:textId="77777777" w:rsidR="00A172D5" w:rsidRPr="00A031A2" w:rsidRDefault="00A172D5" w:rsidP="005E6986">
            <w:pPr>
              <w:jc w:val="both"/>
              <w:rPr>
                <w:rFonts w:ascii="Arial" w:hAnsi="Arial" w:cs="Arial"/>
              </w:rPr>
            </w:pPr>
            <w:r w:rsidRPr="00A031A2">
              <w:rPr>
                <w:rFonts w:ascii="Arial" w:hAnsi="Arial" w:cs="Arial"/>
              </w:rPr>
              <w:t xml:space="preserve">De acuerdo a lo aportado en el expediente, no existe documento que evidencie la actividad que ejercía la demandante, ni mucho menos los salarios o ingresos que percibía. Además, no podemos reconocer lucro cesante, toda vez que ninguno de los testigos solicitados tiene como objeto acreditar la relación laboral. </w:t>
            </w:r>
          </w:p>
          <w:p w14:paraId="5F943238" w14:textId="3D5C3DC1" w:rsidR="00A172D5" w:rsidRPr="00A031A2" w:rsidRDefault="00A172D5" w:rsidP="005E6986">
            <w:pPr>
              <w:jc w:val="both"/>
              <w:rPr>
                <w:rFonts w:ascii="Arial" w:hAnsi="Arial" w:cs="Arial"/>
              </w:rPr>
            </w:pPr>
            <w:r w:rsidRPr="00A031A2">
              <w:rPr>
                <w:rFonts w:ascii="Arial" w:hAnsi="Arial" w:cs="Arial"/>
              </w:rPr>
              <w:t xml:space="preserve">  </w:t>
            </w:r>
          </w:p>
          <w:p w14:paraId="53577BF7" w14:textId="77777777" w:rsidR="00A172D5" w:rsidRPr="00A031A2" w:rsidRDefault="00A172D5" w:rsidP="005E6986">
            <w:pPr>
              <w:jc w:val="both"/>
              <w:rPr>
                <w:rFonts w:ascii="Arial" w:hAnsi="Arial" w:cs="Arial"/>
              </w:rPr>
            </w:pPr>
            <w:r w:rsidRPr="00A031A2">
              <w:rPr>
                <w:rFonts w:ascii="Arial" w:hAnsi="Arial" w:cs="Arial"/>
              </w:rPr>
              <w:t>•</w:t>
            </w:r>
            <w:r w:rsidRPr="00A031A2">
              <w:rPr>
                <w:rFonts w:ascii="Arial" w:hAnsi="Arial" w:cs="Arial"/>
              </w:rPr>
              <w:tab/>
              <w:t>Perjuicios Morales: 45SMLMV equivalentes a $58.500.000 (salario 2024).</w:t>
            </w:r>
          </w:p>
          <w:p w14:paraId="5E3B829A" w14:textId="77777777" w:rsidR="00A172D5" w:rsidRPr="00A031A2" w:rsidRDefault="00A172D5" w:rsidP="005E6986">
            <w:pPr>
              <w:jc w:val="both"/>
              <w:rPr>
                <w:rFonts w:ascii="Arial" w:hAnsi="Arial" w:cs="Arial"/>
              </w:rPr>
            </w:pPr>
            <w:r w:rsidRPr="00A031A2">
              <w:rPr>
                <w:rFonts w:ascii="Arial" w:hAnsi="Arial" w:cs="Arial"/>
              </w:rPr>
              <w:t xml:space="preserve"> </w:t>
            </w:r>
          </w:p>
          <w:p w14:paraId="2C0E3FEA" w14:textId="16B9FCAB" w:rsidR="00A172D5" w:rsidRPr="00A031A2" w:rsidRDefault="00A172D5" w:rsidP="005E6986">
            <w:pPr>
              <w:jc w:val="both"/>
              <w:rPr>
                <w:rFonts w:ascii="Arial" w:hAnsi="Arial" w:cs="Arial"/>
              </w:rPr>
            </w:pPr>
            <w:r w:rsidRPr="00A031A2">
              <w:rPr>
                <w:rFonts w:ascii="Arial" w:hAnsi="Arial" w:cs="Arial"/>
              </w:rPr>
              <w:t>Partiendo de la calificación de la perdida de la capacidad laboral emitido por la Junta Regional ,  se puede evidenciar una pérdida de capacidad laboral de 8.10%, por tanto,  se deberá liquidar el daño moral por la  suma de  $58.500.000. Se liquida el valor que de acuerdo a la sentencia de unificación del Consejo de Estado se ha reconocido por daño moral en los casos de lesión  la suma de 10 SMLMV para la víctima directa y relaciones afectivas conyugales y paterno- filiales (3 demandantes discriminados así: 1 víctimas directas, 2 padres de la lesionada) equivalentes a 30SMLMV, igual a $39.000.000 (año 2024);  5 SMLMV para aquellos en segundo grado de consanguinidad (</w:t>
            </w:r>
            <w:r w:rsidR="002413C2" w:rsidRPr="00A031A2">
              <w:rPr>
                <w:rFonts w:ascii="Arial" w:hAnsi="Arial" w:cs="Arial"/>
              </w:rPr>
              <w:t>3</w:t>
            </w:r>
            <w:r w:rsidRPr="00A031A2">
              <w:rPr>
                <w:rFonts w:ascii="Arial" w:hAnsi="Arial" w:cs="Arial"/>
              </w:rPr>
              <w:t xml:space="preserve"> demandante</w:t>
            </w:r>
            <w:r w:rsidR="002413C2" w:rsidRPr="00A031A2">
              <w:rPr>
                <w:rFonts w:ascii="Arial" w:hAnsi="Arial" w:cs="Arial"/>
              </w:rPr>
              <w:t>s</w:t>
            </w:r>
            <w:r w:rsidRPr="00A031A2">
              <w:rPr>
                <w:rFonts w:ascii="Arial" w:hAnsi="Arial" w:cs="Arial"/>
              </w:rPr>
              <w:t xml:space="preserve"> discriminado así: </w:t>
            </w:r>
            <w:r w:rsidR="002413C2" w:rsidRPr="00A031A2">
              <w:rPr>
                <w:rFonts w:ascii="Arial" w:hAnsi="Arial" w:cs="Arial"/>
              </w:rPr>
              <w:t>3</w:t>
            </w:r>
            <w:r w:rsidRPr="00A031A2">
              <w:rPr>
                <w:rFonts w:ascii="Arial" w:hAnsi="Arial" w:cs="Arial"/>
              </w:rPr>
              <w:t xml:space="preserve"> herman</w:t>
            </w:r>
            <w:r w:rsidR="002413C2" w:rsidRPr="00A031A2">
              <w:rPr>
                <w:rFonts w:ascii="Arial" w:hAnsi="Arial" w:cs="Arial"/>
              </w:rPr>
              <w:t>os</w:t>
            </w:r>
            <w:r w:rsidRPr="00A031A2">
              <w:rPr>
                <w:rFonts w:ascii="Arial" w:hAnsi="Arial" w:cs="Arial"/>
              </w:rPr>
              <w:t xml:space="preserve"> de la lesionada) equivalente a 15SMLMV, igual a $19.500.000 (año 2024).</w:t>
            </w:r>
          </w:p>
          <w:p w14:paraId="39B6B20D" w14:textId="77777777" w:rsidR="00A172D5" w:rsidRPr="00A031A2" w:rsidRDefault="00A172D5" w:rsidP="005E6986">
            <w:pPr>
              <w:jc w:val="both"/>
              <w:rPr>
                <w:rFonts w:ascii="Arial" w:hAnsi="Arial" w:cs="Arial"/>
              </w:rPr>
            </w:pPr>
            <w:r w:rsidRPr="00A031A2">
              <w:rPr>
                <w:rFonts w:ascii="Arial" w:hAnsi="Arial" w:cs="Arial"/>
              </w:rPr>
              <w:t xml:space="preserve"> </w:t>
            </w:r>
          </w:p>
          <w:p w14:paraId="30D95F7C" w14:textId="64AC0351" w:rsidR="00A172D5" w:rsidRPr="00A031A2" w:rsidRDefault="00A172D5" w:rsidP="005E6986">
            <w:pPr>
              <w:jc w:val="both"/>
              <w:rPr>
                <w:rFonts w:ascii="Arial" w:hAnsi="Arial" w:cs="Arial"/>
              </w:rPr>
            </w:pPr>
            <w:r w:rsidRPr="00A031A2">
              <w:rPr>
                <w:rFonts w:ascii="Arial" w:hAnsi="Arial" w:cs="Arial"/>
              </w:rPr>
              <w:t>•</w:t>
            </w:r>
            <w:r w:rsidRPr="00A031A2">
              <w:rPr>
                <w:rFonts w:ascii="Arial" w:hAnsi="Arial" w:cs="Arial"/>
              </w:rPr>
              <w:tab/>
              <w:t xml:space="preserve">Daño a la salud: 10 </w:t>
            </w:r>
            <w:r w:rsidR="002413C2" w:rsidRPr="00A031A2">
              <w:rPr>
                <w:rFonts w:ascii="Arial" w:hAnsi="Arial" w:cs="Arial"/>
              </w:rPr>
              <w:t>SMLMV equivalente</w:t>
            </w:r>
            <w:r w:rsidRPr="00A031A2">
              <w:rPr>
                <w:rFonts w:ascii="Arial" w:hAnsi="Arial" w:cs="Arial"/>
              </w:rPr>
              <w:t xml:space="preserve"> a $13.000.000 (año 2024)</w:t>
            </w:r>
          </w:p>
          <w:p w14:paraId="539D0071" w14:textId="77777777" w:rsidR="00C3016C" w:rsidRPr="00A031A2" w:rsidRDefault="00A172D5" w:rsidP="005E6986">
            <w:pPr>
              <w:jc w:val="both"/>
              <w:rPr>
                <w:rFonts w:ascii="Arial" w:hAnsi="Arial" w:cs="Arial"/>
              </w:rPr>
            </w:pPr>
            <w:r w:rsidRPr="00A031A2">
              <w:rPr>
                <w:rFonts w:ascii="Arial" w:hAnsi="Arial" w:cs="Arial"/>
              </w:rPr>
              <w:t>•</w:t>
            </w:r>
            <w:r w:rsidRPr="00A031A2">
              <w:rPr>
                <w:rFonts w:ascii="Arial" w:hAnsi="Arial" w:cs="Arial"/>
              </w:rPr>
              <w:tab/>
              <w:t>Daño Emergente: $ 0, toda vez que solicitan lo pagado a la junta para que realizara el dictamen. No obstante, esto hace parte de los gastos procesales, por ende, no hace parte del daño emergente.</w:t>
            </w:r>
          </w:p>
          <w:p w14:paraId="72BE846D" w14:textId="77777777" w:rsidR="005E6986" w:rsidRPr="00A031A2" w:rsidRDefault="005E6986" w:rsidP="005E6986">
            <w:pPr>
              <w:jc w:val="both"/>
              <w:rPr>
                <w:rFonts w:ascii="Arial" w:hAnsi="Arial" w:cs="Arial"/>
              </w:rPr>
            </w:pPr>
          </w:p>
          <w:p w14:paraId="2DBE00A7" w14:textId="77777777" w:rsidR="005E6986" w:rsidRPr="00A031A2" w:rsidRDefault="005E6986" w:rsidP="005E6986">
            <w:pPr>
              <w:jc w:val="both"/>
              <w:rPr>
                <w:rFonts w:ascii="Arial" w:hAnsi="Arial" w:cs="Arial"/>
              </w:rPr>
            </w:pPr>
            <w:r w:rsidRPr="00A031A2">
              <w:rPr>
                <w:rFonts w:ascii="Arial" w:hAnsi="Arial" w:cs="Arial"/>
              </w:rPr>
              <w:t xml:space="preserve">TOTAL: </w:t>
            </w:r>
            <w:r w:rsidRPr="00A031A2">
              <w:rPr>
                <w:rFonts w:ascii="Arial" w:hAnsi="Arial" w:cs="Arial"/>
              </w:rPr>
              <w:t>$71.500.000</w:t>
            </w:r>
          </w:p>
          <w:p w14:paraId="766AA449" w14:textId="77777777" w:rsidR="005E6986" w:rsidRPr="00A031A2" w:rsidRDefault="005E6986" w:rsidP="005E6986">
            <w:pPr>
              <w:jc w:val="both"/>
              <w:rPr>
                <w:rFonts w:ascii="Arial" w:hAnsi="Arial" w:cs="Arial"/>
              </w:rPr>
            </w:pPr>
            <w:r w:rsidRPr="00A031A2">
              <w:rPr>
                <w:rFonts w:ascii="Arial" w:hAnsi="Arial" w:cs="Arial"/>
              </w:rPr>
              <w:t xml:space="preserve">SIN DEDUCIBLE. </w:t>
            </w:r>
          </w:p>
          <w:p w14:paraId="39905CAE" w14:textId="77777777" w:rsidR="005E6986" w:rsidRPr="00A031A2" w:rsidRDefault="005E6986" w:rsidP="005E6986">
            <w:pPr>
              <w:jc w:val="both"/>
              <w:rPr>
                <w:rFonts w:ascii="Arial" w:hAnsi="Arial" w:cs="Arial"/>
              </w:rPr>
            </w:pPr>
            <w:r w:rsidRPr="00A031A2">
              <w:rPr>
                <w:rFonts w:ascii="Arial" w:hAnsi="Arial" w:cs="Arial"/>
              </w:rPr>
              <w:t xml:space="preserve">PARTICIPACIÓN COASEGURO HDI:   </w:t>
            </w:r>
            <w:r w:rsidRPr="00A031A2">
              <w:rPr>
                <w:rFonts w:ascii="Arial" w:hAnsi="Arial" w:cs="Arial"/>
              </w:rPr>
              <w:t>$71.500.000</w:t>
            </w:r>
            <w:r w:rsidRPr="00A031A2">
              <w:rPr>
                <w:rFonts w:ascii="Arial" w:hAnsi="Arial" w:cs="Arial"/>
              </w:rPr>
              <w:t xml:space="preserve"> *10%: </w:t>
            </w:r>
            <w:r w:rsidRPr="00A031A2">
              <w:rPr>
                <w:rFonts w:ascii="Arial" w:hAnsi="Arial" w:cs="Arial"/>
                <w:b/>
                <w:bCs/>
              </w:rPr>
              <w:t>$</w:t>
            </w:r>
            <w:r w:rsidRPr="00A031A2">
              <w:rPr>
                <w:rFonts w:ascii="Arial" w:hAnsi="Arial" w:cs="Arial"/>
                <w:b/>
                <w:bCs/>
              </w:rPr>
              <w:t>7.150.000</w:t>
            </w:r>
          </w:p>
          <w:p w14:paraId="7662D052" w14:textId="6E5EA363" w:rsidR="005E6986" w:rsidRPr="00A031A2" w:rsidRDefault="005E6986" w:rsidP="005E6986">
            <w:pPr>
              <w:jc w:val="both"/>
              <w:rPr>
                <w:rFonts w:ascii="Arial" w:hAnsi="Arial" w:cs="Arial"/>
              </w:rPr>
            </w:pPr>
          </w:p>
        </w:tc>
      </w:tr>
      <w:tr w:rsidR="00A031A2" w:rsidRPr="00A031A2" w14:paraId="3AE6DDE7" w14:textId="77777777" w:rsidTr="005E6986">
        <w:tc>
          <w:tcPr>
            <w:tcW w:w="2689" w:type="dxa"/>
            <w:shd w:val="clear" w:color="auto" w:fill="D9D9D9" w:themeFill="background1" w:themeFillShade="D9"/>
          </w:tcPr>
          <w:p w14:paraId="49F38751"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Calificación de la contingencia:</w:t>
            </w:r>
          </w:p>
        </w:tc>
        <w:tc>
          <w:tcPr>
            <w:tcW w:w="7294" w:type="dxa"/>
          </w:tcPr>
          <w:p w14:paraId="1E9AFCF4" w14:textId="724064F6" w:rsidR="00C3016C" w:rsidRPr="00A031A2" w:rsidRDefault="00283E56" w:rsidP="005E6986">
            <w:pPr>
              <w:jc w:val="both"/>
              <w:rPr>
                <w:rFonts w:ascii="Arial" w:hAnsi="Arial" w:cs="Arial"/>
                <w:lang w:val="es-ES_tradnl"/>
              </w:rPr>
            </w:pPr>
            <w:r w:rsidRPr="00A031A2">
              <w:rPr>
                <w:rFonts w:ascii="Arial" w:hAnsi="Arial" w:cs="Arial"/>
                <w:lang w:val="es-ES_tradnl"/>
              </w:rPr>
              <w:t>EVENTUAL</w:t>
            </w:r>
          </w:p>
        </w:tc>
      </w:tr>
      <w:tr w:rsidR="00A031A2" w:rsidRPr="00A031A2" w14:paraId="1EDA617F" w14:textId="77777777" w:rsidTr="005E6986">
        <w:tc>
          <w:tcPr>
            <w:tcW w:w="2689" w:type="dxa"/>
            <w:shd w:val="clear" w:color="auto" w:fill="D9D9D9" w:themeFill="background1" w:themeFillShade="D9"/>
          </w:tcPr>
          <w:p w14:paraId="45DBC8C6"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lastRenderedPageBreak/>
              <w:t>Motivos de la calificación:</w:t>
            </w:r>
          </w:p>
        </w:tc>
        <w:tc>
          <w:tcPr>
            <w:tcW w:w="7294" w:type="dxa"/>
          </w:tcPr>
          <w:p w14:paraId="65329330" w14:textId="66036143" w:rsidR="00283E56" w:rsidRPr="00A031A2" w:rsidRDefault="00283E56" w:rsidP="005E6986">
            <w:pPr>
              <w:jc w:val="both"/>
              <w:rPr>
                <w:rFonts w:ascii="Arial" w:hAnsi="Arial" w:cs="Arial"/>
              </w:rPr>
            </w:pPr>
            <w:r w:rsidRPr="00A031A2">
              <w:rPr>
                <w:rFonts w:ascii="Arial" w:hAnsi="Arial" w:cs="Arial"/>
              </w:rPr>
              <w:t>La contingencia se califica como EVENTUAL, considerando que póliza No. 420-80-994000000181 presta cobertura temporal y material, por otro lado, si bien de las pruebas aportadas por la demandante, IPAT y fotos, se evidencia que lo que causó el daño fue la ausencia de la tapa de una alcantarilla, EMCALI en su contestación manifestó que por ahí no pasa recamara alguna</w:t>
            </w:r>
            <w:r w:rsidR="005E6986" w:rsidRPr="00A031A2">
              <w:rPr>
                <w:rFonts w:ascii="Arial" w:hAnsi="Arial" w:cs="Arial"/>
              </w:rPr>
              <w:t>,</w:t>
            </w:r>
            <w:r w:rsidRPr="00A031A2">
              <w:rPr>
                <w:rFonts w:ascii="Arial" w:hAnsi="Arial" w:cs="Arial"/>
              </w:rPr>
              <w:t xml:space="preserve"> por lo que dependerá del debate probatorio determinar la responsabilidad de las entidades demandadas.</w:t>
            </w:r>
          </w:p>
          <w:p w14:paraId="60458F46" w14:textId="77777777" w:rsidR="00283E56" w:rsidRPr="00A031A2" w:rsidRDefault="00283E56" w:rsidP="005E6986">
            <w:pPr>
              <w:jc w:val="both"/>
              <w:rPr>
                <w:rFonts w:ascii="Arial" w:hAnsi="Arial" w:cs="Arial"/>
              </w:rPr>
            </w:pPr>
            <w:r w:rsidRPr="00A031A2">
              <w:rPr>
                <w:rFonts w:ascii="Arial" w:hAnsi="Arial" w:cs="Arial"/>
              </w:rPr>
              <w:t xml:space="preserve"> </w:t>
            </w:r>
          </w:p>
          <w:p w14:paraId="67964D6A" w14:textId="77777777" w:rsidR="00283E56" w:rsidRPr="00A031A2" w:rsidRDefault="00283E56" w:rsidP="005E6986">
            <w:pPr>
              <w:jc w:val="both"/>
              <w:rPr>
                <w:rFonts w:ascii="Arial" w:hAnsi="Arial" w:cs="Arial"/>
              </w:rPr>
            </w:pPr>
            <w:r w:rsidRPr="00A031A2">
              <w:rPr>
                <w:rFonts w:ascii="Arial" w:hAnsi="Arial" w:cs="Arial"/>
              </w:rPr>
              <w:t>Analizando la demanda, se evidencia que el apoderado hace referencia a la póliza No 420-80-994000000181 la cual fue aportada en el llamamiento en garantía. Una vez detallada la póliza en mención, se encontró que presta cobertura temporal, toda vez que la modalidad de cobertura es de ocurrencia. Para el caso concreto, la vigencia del seguro se estableció desde el 31 de julio de 2021 al 30 de agosto de 2021, el hecho ocurrió el día 30 de agosto 2021, es decir, durante de la vigencia mencionada. Por otro lado, presta cobertura material, toda vez que se ampara el patrimonio del asegurado que se afecte como consecuencia de los perjuicios causados por este por responsabilidad extracontractual, esta última es el objeto del proceso.</w:t>
            </w:r>
          </w:p>
          <w:p w14:paraId="0C24C54F" w14:textId="77777777" w:rsidR="00283E56" w:rsidRPr="00A031A2" w:rsidRDefault="00283E56" w:rsidP="005E6986">
            <w:pPr>
              <w:jc w:val="both"/>
              <w:rPr>
                <w:rFonts w:ascii="Arial" w:hAnsi="Arial" w:cs="Arial"/>
              </w:rPr>
            </w:pPr>
            <w:r w:rsidRPr="00A031A2">
              <w:rPr>
                <w:rFonts w:ascii="Arial" w:hAnsi="Arial" w:cs="Arial"/>
              </w:rPr>
              <w:t xml:space="preserve"> </w:t>
            </w:r>
          </w:p>
          <w:p w14:paraId="1BB23650" w14:textId="79B22D74" w:rsidR="00C3016C" w:rsidRPr="00A031A2" w:rsidRDefault="00283E56" w:rsidP="005E6986">
            <w:pPr>
              <w:jc w:val="both"/>
              <w:rPr>
                <w:rFonts w:ascii="Arial" w:hAnsi="Arial" w:cs="Arial"/>
              </w:rPr>
            </w:pPr>
            <w:r w:rsidRPr="00A031A2">
              <w:rPr>
                <w:rFonts w:ascii="Arial" w:hAnsi="Arial" w:cs="Arial"/>
              </w:rPr>
              <w:t xml:space="preserve">Ahora bien, con respecto a la responsabilidad del asegurado, se tiene que el IPAT y las fotos aportadas por la actora se evidencia que el hecho ocurrió por la ausencia de la tapa de una alcantarilla, no obstante, EMCALI en su contestación, manifestó que por ahí no pasa recamara alguna, además, llevará testigos técnicos. Por ende, dependerá de las pruebas practicadas y del valor probatorio que el juez les </w:t>
            </w:r>
            <w:proofErr w:type="spellStart"/>
            <w:r w:rsidRPr="00A031A2">
              <w:rPr>
                <w:rFonts w:ascii="Arial" w:hAnsi="Arial" w:cs="Arial"/>
              </w:rPr>
              <w:t>de</w:t>
            </w:r>
            <w:proofErr w:type="spellEnd"/>
            <w:r w:rsidRPr="00A031A2">
              <w:rPr>
                <w:rFonts w:ascii="Arial" w:hAnsi="Arial" w:cs="Arial"/>
              </w:rPr>
              <w:t xml:space="preserve"> para demostrar la responsabilidad de EMCALI o si era un hueco que debía tapa el Distrito.</w:t>
            </w:r>
          </w:p>
        </w:tc>
      </w:tr>
      <w:tr w:rsidR="00A031A2" w:rsidRPr="00A031A2" w14:paraId="73F5D798" w14:textId="77777777" w:rsidTr="005E6986">
        <w:tc>
          <w:tcPr>
            <w:tcW w:w="2689" w:type="dxa"/>
            <w:shd w:val="clear" w:color="auto" w:fill="D9D9D9" w:themeFill="background1" w:themeFillShade="D9"/>
          </w:tcPr>
          <w:p w14:paraId="3ADB1516"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Excepciones propuestas:</w:t>
            </w:r>
          </w:p>
        </w:tc>
        <w:tc>
          <w:tcPr>
            <w:tcW w:w="7294" w:type="dxa"/>
          </w:tcPr>
          <w:p w14:paraId="1A68477D" w14:textId="77777777" w:rsidR="000F170E" w:rsidRPr="00A031A2" w:rsidRDefault="00C3016C" w:rsidP="005E6986">
            <w:pPr>
              <w:pStyle w:val="Prrafodelista"/>
              <w:ind w:left="0"/>
              <w:jc w:val="both"/>
              <w:rPr>
                <w:rFonts w:ascii="Arial" w:hAnsi="Arial" w:cs="Arial"/>
                <w:sz w:val="22"/>
                <w:szCs w:val="22"/>
                <w:lang w:val="es-ES_tradnl"/>
              </w:rPr>
            </w:pPr>
            <w:r w:rsidRPr="00A031A2">
              <w:rPr>
                <w:rFonts w:ascii="Arial" w:hAnsi="Arial" w:cs="Arial"/>
                <w:sz w:val="22"/>
                <w:szCs w:val="22"/>
                <w:lang w:val="es-ES_tradnl"/>
              </w:rPr>
              <w:t xml:space="preserve"> </w:t>
            </w:r>
            <w:r w:rsidR="000F170E" w:rsidRPr="00A031A2">
              <w:rPr>
                <w:rFonts w:ascii="Arial" w:hAnsi="Arial" w:cs="Arial"/>
                <w:sz w:val="22"/>
                <w:szCs w:val="22"/>
                <w:lang w:val="es-ES_tradnl"/>
              </w:rPr>
              <w:t>EXCEPCIONES DE FONDO FRENTE A LA DEMANDA:</w:t>
            </w:r>
          </w:p>
          <w:p w14:paraId="2D8B4F77" w14:textId="480F47E6"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Falta en la legitimación en la causa por pasiva del distrito especial de </w:t>
            </w:r>
            <w:r w:rsidR="00A031A2" w:rsidRPr="00A031A2">
              <w:rPr>
                <w:rFonts w:ascii="Arial" w:hAnsi="Arial" w:cs="Arial"/>
                <w:sz w:val="22"/>
                <w:szCs w:val="22"/>
                <w:lang w:val="es-ES_tradnl"/>
              </w:rPr>
              <w:t>Santiago</w:t>
            </w:r>
            <w:r w:rsidRPr="00A031A2">
              <w:rPr>
                <w:rFonts w:ascii="Arial" w:hAnsi="Arial" w:cs="Arial"/>
                <w:sz w:val="22"/>
                <w:szCs w:val="22"/>
                <w:lang w:val="es-ES_tradnl"/>
              </w:rPr>
              <w:t xml:space="preserve"> de </w:t>
            </w:r>
            <w:r w:rsidR="00A031A2" w:rsidRPr="00A031A2">
              <w:rPr>
                <w:rFonts w:ascii="Arial" w:hAnsi="Arial" w:cs="Arial"/>
                <w:sz w:val="22"/>
                <w:szCs w:val="22"/>
                <w:lang w:val="es-ES_tradnl"/>
              </w:rPr>
              <w:t>Cali</w:t>
            </w:r>
            <w:r w:rsidRPr="00A031A2">
              <w:rPr>
                <w:rFonts w:ascii="Arial" w:hAnsi="Arial" w:cs="Arial"/>
                <w:sz w:val="22"/>
                <w:szCs w:val="22"/>
                <w:lang w:val="es-ES_tradnl"/>
              </w:rPr>
              <w:t xml:space="preserve"> </w:t>
            </w:r>
          </w:p>
          <w:p w14:paraId="547465E4" w14:textId="53BC7762"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Inexistencia de la falla de la </w:t>
            </w:r>
            <w:r w:rsidR="00A031A2" w:rsidRPr="00A031A2">
              <w:rPr>
                <w:rFonts w:ascii="Arial" w:hAnsi="Arial" w:cs="Arial"/>
                <w:sz w:val="22"/>
                <w:szCs w:val="22"/>
                <w:lang w:val="es-ES_tradnl"/>
              </w:rPr>
              <w:t>prestación</w:t>
            </w:r>
            <w:r w:rsidRPr="00A031A2">
              <w:rPr>
                <w:rFonts w:ascii="Arial" w:hAnsi="Arial" w:cs="Arial"/>
                <w:sz w:val="22"/>
                <w:szCs w:val="22"/>
                <w:lang w:val="es-ES_tradnl"/>
              </w:rPr>
              <w:t xml:space="preserve"> del servicio</w:t>
            </w:r>
          </w:p>
          <w:p w14:paraId="1075B79E" w14:textId="6DFB6431"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Hecho exclusivo de la </w:t>
            </w:r>
            <w:proofErr w:type="spellStart"/>
            <w:r w:rsidRPr="00A031A2">
              <w:rPr>
                <w:rFonts w:ascii="Arial" w:hAnsi="Arial" w:cs="Arial"/>
                <w:sz w:val="22"/>
                <w:szCs w:val="22"/>
                <w:lang w:val="es-ES_tradnl"/>
              </w:rPr>
              <w:t>victima</w:t>
            </w:r>
            <w:proofErr w:type="spellEnd"/>
            <w:r w:rsidRPr="00A031A2">
              <w:rPr>
                <w:rFonts w:ascii="Arial" w:hAnsi="Arial" w:cs="Arial"/>
                <w:sz w:val="22"/>
                <w:szCs w:val="22"/>
                <w:lang w:val="es-ES_tradnl"/>
              </w:rPr>
              <w:t xml:space="preserve"> • subsidiariamente, en el evento que el despacho no considere la</w:t>
            </w:r>
          </w:p>
          <w:p w14:paraId="0F11EF6F" w14:textId="0520FAD7"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Existencia de una culpa exclusiva de la </w:t>
            </w:r>
            <w:proofErr w:type="spellStart"/>
            <w:r w:rsidRPr="00A031A2">
              <w:rPr>
                <w:rFonts w:ascii="Arial" w:hAnsi="Arial" w:cs="Arial"/>
                <w:sz w:val="22"/>
                <w:szCs w:val="22"/>
                <w:lang w:val="es-ES_tradnl"/>
              </w:rPr>
              <w:t>victima</w:t>
            </w:r>
            <w:proofErr w:type="spellEnd"/>
            <w:r w:rsidRPr="00A031A2">
              <w:rPr>
                <w:rFonts w:ascii="Arial" w:hAnsi="Arial" w:cs="Arial"/>
                <w:sz w:val="22"/>
                <w:szCs w:val="22"/>
                <w:lang w:val="es-ES_tradnl"/>
              </w:rPr>
              <w:t xml:space="preserve"> y atribuya la causa eficiente a la entidad territorial, se deberá evaluar la conducta del</w:t>
            </w:r>
          </w:p>
          <w:p w14:paraId="3E1B304B" w14:textId="36E9ED7B"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Demandante por la </w:t>
            </w:r>
            <w:r w:rsidR="00A031A2" w:rsidRPr="00A031A2">
              <w:rPr>
                <w:rFonts w:ascii="Arial" w:hAnsi="Arial" w:cs="Arial"/>
                <w:sz w:val="22"/>
                <w:szCs w:val="22"/>
                <w:lang w:val="es-ES_tradnl"/>
              </w:rPr>
              <w:t>teoría</w:t>
            </w:r>
            <w:r w:rsidRPr="00A031A2">
              <w:rPr>
                <w:rFonts w:ascii="Arial" w:hAnsi="Arial" w:cs="Arial"/>
                <w:sz w:val="22"/>
                <w:szCs w:val="22"/>
                <w:lang w:val="es-ES_tradnl"/>
              </w:rPr>
              <w:t xml:space="preserve"> de la concurrencia de culpas</w:t>
            </w:r>
          </w:p>
          <w:p w14:paraId="34188537" w14:textId="36282E2A"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Excepciones planteadas por quien formuló el llamamiento en garantía a mi representada.</w:t>
            </w:r>
          </w:p>
          <w:p w14:paraId="2BBB4BE6" w14:textId="4AA338A4"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Improcedente reconocimiento de perjuicios inmateriales.</w:t>
            </w:r>
          </w:p>
          <w:p w14:paraId="4B5B83E1" w14:textId="68D8463D"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Improcedente e indebida acreditación de los perjuicios materiales.</w:t>
            </w:r>
          </w:p>
          <w:p w14:paraId="10DF39F7" w14:textId="709966DF" w:rsidR="000F170E" w:rsidRPr="00A031A2" w:rsidRDefault="00E96727" w:rsidP="005E6986">
            <w:pPr>
              <w:pStyle w:val="Prrafodelista"/>
              <w:numPr>
                <w:ilvl w:val="0"/>
                <w:numId w:val="10"/>
              </w:numPr>
              <w:jc w:val="both"/>
              <w:rPr>
                <w:rFonts w:ascii="Arial" w:hAnsi="Arial" w:cs="Arial"/>
                <w:sz w:val="22"/>
                <w:szCs w:val="22"/>
                <w:lang w:val="es-ES_tradnl"/>
              </w:rPr>
            </w:pPr>
            <w:r w:rsidRPr="00A031A2">
              <w:rPr>
                <w:rFonts w:ascii="Arial" w:hAnsi="Arial" w:cs="Arial"/>
                <w:sz w:val="22"/>
                <w:szCs w:val="22"/>
                <w:lang w:val="es-ES_tradnl"/>
              </w:rPr>
              <w:t xml:space="preserve">Genérica o innominada  </w:t>
            </w:r>
          </w:p>
          <w:p w14:paraId="5EBF696F" w14:textId="77777777" w:rsidR="000F170E" w:rsidRPr="00A031A2" w:rsidRDefault="000F170E" w:rsidP="005E6986">
            <w:pPr>
              <w:pStyle w:val="Prrafodelista"/>
              <w:ind w:left="0"/>
              <w:jc w:val="both"/>
              <w:rPr>
                <w:rFonts w:ascii="Arial" w:hAnsi="Arial" w:cs="Arial"/>
                <w:sz w:val="22"/>
                <w:szCs w:val="22"/>
                <w:lang w:val="es-ES_tradnl"/>
              </w:rPr>
            </w:pPr>
          </w:p>
          <w:p w14:paraId="703CA3B5" w14:textId="74F92C50" w:rsidR="000F170E" w:rsidRPr="00A031A2" w:rsidRDefault="000F170E" w:rsidP="005E6986">
            <w:pPr>
              <w:pStyle w:val="Prrafodelista"/>
              <w:ind w:left="0"/>
              <w:jc w:val="both"/>
              <w:rPr>
                <w:rFonts w:ascii="Arial" w:hAnsi="Arial" w:cs="Arial"/>
                <w:sz w:val="22"/>
                <w:szCs w:val="22"/>
                <w:lang w:val="es-ES_tradnl"/>
              </w:rPr>
            </w:pPr>
            <w:r w:rsidRPr="00A031A2">
              <w:rPr>
                <w:rFonts w:ascii="Arial" w:hAnsi="Arial" w:cs="Arial"/>
                <w:sz w:val="22"/>
                <w:szCs w:val="22"/>
                <w:lang w:val="es-ES_tradnl"/>
              </w:rPr>
              <w:t xml:space="preserve">EXCEPCIONES RESPECTO A LA POLIZA </w:t>
            </w:r>
          </w:p>
          <w:p w14:paraId="61615588" w14:textId="77777777" w:rsidR="000F170E" w:rsidRPr="00A031A2" w:rsidRDefault="000F170E" w:rsidP="005E6986">
            <w:pPr>
              <w:pStyle w:val="Prrafodelista"/>
              <w:ind w:left="0"/>
              <w:jc w:val="both"/>
              <w:rPr>
                <w:rFonts w:ascii="Arial" w:hAnsi="Arial" w:cs="Arial"/>
                <w:sz w:val="22"/>
                <w:szCs w:val="22"/>
                <w:lang w:val="es-ES_tradnl"/>
              </w:rPr>
            </w:pPr>
            <w:r w:rsidRPr="00A031A2">
              <w:rPr>
                <w:rFonts w:ascii="Arial" w:hAnsi="Arial" w:cs="Arial"/>
                <w:sz w:val="22"/>
                <w:szCs w:val="22"/>
                <w:lang w:val="es-ES_tradnl"/>
              </w:rPr>
              <w:t xml:space="preserve">EXCEPCIONES RESPECTO A LA PÓLIZA DE RESPONSABILIDAD CIVIL EXTRACONTRACTUAL NO. 420-80-994000000181. </w:t>
            </w:r>
          </w:p>
          <w:p w14:paraId="2E918E6F" w14:textId="691C0816" w:rsidR="000F170E"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 xml:space="preserve">Inexigibilidad de la obligación indemnizatoria a cargo de </w:t>
            </w:r>
            <w:r w:rsidRPr="00A031A2">
              <w:rPr>
                <w:rFonts w:ascii="Arial" w:hAnsi="Arial" w:cs="Arial"/>
                <w:sz w:val="22"/>
                <w:szCs w:val="22"/>
              </w:rPr>
              <w:t>HDI SEGUROS S.A</w:t>
            </w:r>
            <w:r w:rsidRPr="00A031A2">
              <w:rPr>
                <w:rFonts w:ascii="Arial" w:hAnsi="Arial" w:cs="Arial"/>
                <w:sz w:val="22"/>
                <w:szCs w:val="22"/>
                <w:lang w:val="es-ES_tradnl"/>
              </w:rPr>
              <w:t xml:space="preserve"> por la no realización del riesgo asegurado en la póliza de responsabilidad civil extracontractual no. 420-80-994000000181</w:t>
            </w:r>
          </w:p>
          <w:p w14:paraId="4D32E839" w14:textId="71A0FDC6" w:rsidR="000F170E" w:rsidRPr="00A031A2" w:rsidRDefault="00E96727" w:rsidP="00B83EDE">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lastRenderedPageBreak/>
              <w:t xml:space="preserve">Posible configuración de una de las exclusiones de amparo concertadas en la póliza de responsabilidad civil extracontractual </w:t>
            </w:r>
            <w:r w:rsidR="000F170E" w:rsidRPr="00A031A2">
              <w:rPr>
                <w:rFonts w:ascii="Arial" w:hAnsi="Arial" w:cs="Arial"/>
                <w:sz w:val="22"/>
                <w:szCs w:val="22"/>
                <w:lang w:val="es-ES_tradnl"/>
              </w:rPr>
              <w:t>No. 420-80-994000000181</w:t>
            </w:r>
          </w:p>
          <w:p w14:paraId="3503AEF2" w14:textId="1A3385B5" w:rsidR="000F170E"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Carácter meramente indemnizatorio que revisten los contratos de seguros.</w:t>
            </w:r>
          </w:p>
          <w:p w14:paraId="6EC1F1FF" w14:textId="77777777" w:rsidR="00E96727" w:rsidRPr="00A031A2" w:rsidRDefault="00E96727" w:rsidP="00E96727">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Límites máximos de responsabilidad del asegurador y condiciones pactados en el contrato de seguro documentado en la póliza de responsabilidad civil extracontractual no. 420-80-994000000181</w:t>
            </w:r>
          </w:p>
          <w:p w14:paraId="6D5B9F4B" w14:textId="08BA3AFB" w:rsidR="000F170E" w:rsidRPr="00A031A2" w:rsidRDefault="00E96727" w:rsidP="00E96727">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 xml:space="preserve">Coaseguro e inexistencia de solidaridad contenida en la póliza de responsabilidad civil extracontractual no. 420-80-994000000181.  </w:t>
            </w:r>
          </w:p>
          <w:p w14:paraId="6EFB00D2" w14:textId="0BE027CC" w:rsidR="000F170E"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 xml:space="preserve">Ausencia de solidaridad entre mi mandante y el distrito especial de Santiago de Cali. </w:t>
            </w:r>
          </w:p>
          <w:p w14:paraId="2E5B6CCE" w14:textId="1F22ACF9" w:rsidR="000F170E"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 xml:space="preserve">Pago por reembolso  </w:t>
            </w:r>
          </w:p>
          <w:p w14:paraId="0469DFB3" w14:textId="4C865182" w:rsidR="000F170E"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 xml:space="preserve">Disponibilidad del valor asegurado </w:t>
            </w:r>
          </w:p>
          <w:p w14:paraId="01C4BF91" w14:textId="24FF5B8E" w:rsidR="00C3016C" w:rsidRPr="00A031A2" w:rsidRDefault="00E96727" w:rsidP="005E6986">
            <w:pPr>
              <w:pStyle w:val="Prrafodelista"/>
              <w:numPr>
                <w:ilvl w:val="0"/>
                <w:numId w:val="14"/>
              </w:numPr>
              <w:jc w:val="both"/>
              <w:rPr>
                <w:rFonts w:ascii="Arial" w:hAnsi="Arial" w:cs="Arial"/>
                <w:sz w:val="22"/>
                <w:szCs w:val="22"/>
                <w:lang w:val="es-ES_tradnl"/>
              </w:rPr>
            </w:pPr>
            <w:r w:rsidRPr="00A031A2">
              <w:rPr>
                <w:rFonts w:ascii="Arial" w:hAnsi="Arial" w:cs="Arial"/>
                <w:sz w:val="22"/>
                <w:szCs w:val="22"/>
                <w:lang w:val="es-ES_tradnl"/>
              </w:rPr>
              <w:t>Genérica o innominada</w:t>
            </w:r>
          </w:p>
        </w:tc>
      </w:tr>
      <w:tr w:rsidR="00A031A2" w:rsidRPr="00A031A2" w14:paraId="7B9E12F7" w14:textId="77777777" w:rsidTr="005E6986">
        <w:tc>
          <w:tcPr>
            <w:tcW w:w="2689" w:type="dxa"/>
            <w:shd w:val="clear" w:color="auto" w:fill="D9D9D9" w:themeFill="background1" w:themeFillShade="D9"/>
          </w:tcPr>
          <w:p w14:paraId="395CCBB9"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lastRenderedPageBreak/>
              <w:t>Concepto del abogado sobre la posibilidad de conciliar el caso y valor de una propuesta conciliatoria:</w:t>
            </w:r>
          </w:p>
        </w:tc>
        <w:tc>
          <w:tcPr>
            <w:tcW w:w="7294" w:type="dxa"/>
          </w:tcPr>
          <w:p w14:paraId="3800392C" w14:textId="7F124BA7" w:rsidR="00C3016C" w:rsidRPr="00A031A2" w:rsidRDefault="00E96727" w:rsidP="005E6986">
            <w:pPr>
              <w:jc w:val="both"/>
              <w:rPr>
                <w:rFonts w:ascii="Arial" w:hAnsi="Arial" w:cs="Arial"/>
                <w:lang w:val="es-ES_tradnl"/>
              </w:rPr>
            </w:pPr>
            <w:r w:rsidRPr="00A031A2">
              <w:rPr>
                <w:rFonts w:ascii="Arial" w:hAnsi="Arial" w:cs="Arial"/>
                <w:lang w:val="es-ES_tradnl"/>
              </w:rPr>
              <w:t xml:space="preserve">No sugerimos conciliar, toda vez que dependerá del debate probatorio </w:t>
            </w:r>
            <w:r w:rsidRPr="00A031A2">
              <w:rPr>
                <w:rFonts w:ascii="Arial" w:hAnsi="Arial" w:cs="Arial"/>
                <w:lang w:val="es-ES_tradnl"/>
              </w:rPr>
              <w:t>determinar si</w:t>
            </w:r>
            <w:r w:rsidRPr="00A031A2">
              <w:rPr>
                <w:rFonts w:ascii="Arial" w:hAnsi="Arial" w:cs="Arial"/>
                <w:lang w:val="es-ES_tradnl"/>
              </w:rPr>
              <w:t xml:space="preserve"> se acredita o no imputación alguna al </w:t>
            </w:r>
            <w:r w:rsidRPr="00A031A2">
              <w:rPr>
                <w:rFonts w:ascii="Arial" w:hAnsi="Arial" w:cs="Arial"/>
                <w:lang w:val="es-ES_tradnl"/>
              </w:rPr>
              <w:t>asegurado</w:t>
            </w:r>
            <w:r w:rsidRPr="00A031A2">
              <w:rPr>
                <w:rFonts w:ascii="Arial" w:hAnsi="Arial" w:cs="Arial"/>
                <w:lang w:val="es-ES_tradnl"/>
              </w:rPr>
              <w:t>.</w:t>
            </w:r>
          </w:p>
        </w:tc>
      </w:tr>
      <w:tr w:rsidR="00A031A2" w:rsidRPr="00A031A2" w14:paraId="4885AFEF" w14:textId="77777777" w:rsidTr="005E6986">
        <w:tc>
          <w:tcPr>
            <w:tcW w:w="2689" w:type="dxa"/>
            <w:shd w:val="clear" w:color="auto" w:fill="D9D9D9" w:themeFill="background1" w:themeFillShade="D9"/>
          </w:tcPr>
          <w:p w14:paraId="7A4A8098"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Fecha de asignación del caso</w:t>
            </w:r>
          </w:p>
        </w:tc>
        <w:tc>
          <w:tcPr>
            <w:tcW w:w="7294" w:type="dxa"/>
          </w:tcPr>
          <w:p w14:paraId="17343298" w14:textId="2D2E2458" w:rsidR="00C3016C" w:rsidRPr="00A031A2" w:rsidRDefault="00A172D5" w:rsidP="005E6986">
            <w:pPr>
              <w:jc w:val="both"/>
              <w:rPr>
                <w:rFonts w:ascii="Arial" w:hAnsi="Arial" w:cs="Arial"/>
                <w:lang w:val="es-ES_tradnl"/>
              </w:rPr>
            </w:pPr>
            <w:r w:rsidRPr="00A031A2">
              <w:rPr>
                <w:rFonts w:ascii="Arial" w:hAnsi="Arial" w:cs="Arial"/>
                <w:lang w:val="es-ES_tradnl"/>
              </w:rPr>
              <w:t>27 de mayo de 2024</w:t>
            </w:r>
          </w:p>
        </w:tc>
      </w:tr>
      <w:tr w:rsidR="00A031A2" w:rsidRPr="00A031A2" w14:paraId="2EE1817E" w14:textId="77777777" w:rsidTr="005E6986">
        <w:tc>
          <w:tcPr>
            <w:tcW w:w="2689" w:type="dxa"/>
            <w:shd w:val="clear" w:color="auto" w:fill="D9D9D9" w:themeFill="background1" w:themeFillShade="D9"/>
          </w:tcPr>
          <w:p w14:paraId="4BBB3EF0" w14:textId="48FAB88E" w:rsidR="00C3016C" w:rsidRPr="00A031A2" w:rsidRDefault="00C3016C" w:rsidP="005E6986">
            <w:pPr>
              <w:jc w:val="both"/>
              <w:rPr>
                <w:rFonts w:ascii="Arial" w:hAnsi="Arial" w:cs="Arial"/>
                <w:b/>
                <w:bCs/>
                <w:lang w:val="es-ES"/>
              </w:rPr>
            </w:pPr>
            <w:r w:rsidRPr="00A031A2">
              <w:rPr>
                <w:rFonts w:ascii="Arial" w:hAnsi="Arial" w:cs="Arial"/>
                <w:b/>
                <w:bCs/>
                <w:lang w:val="es-ES"/>
              </w:rPr>
              <w:t xml:space="preserve">Fecha de admisión de la vinculación de </w:t>
            </w:r>
            <w:r w:rsidR="1D5C43AD" w:rsidRPr="00A031A2">
              <w:rPr>
                <w:rFonts w:ascii="Arial" w:hAnsi="Arial" w:cs="Arial"/>
                <w:b/>
                <w:bCs/>
                <w:lang w:val="es-ES"/>
              </w:rPr>
              <w:t>HDI</w:t>
            </w:r>
          </w:p>
        </w:tc>
        <w:tc>
          <w:tcPr>
            <w:tcW w:w="7294" w:type="dxa"/>
          </w:tcPr>
          <w:p w14:paraId="696A523B" w14:textId="07ACAAB0" w:rsidR="00C3016C" w:rsidRPr="00A031A2" w:rsidRDefault="00A172D5" w:rsidP="005E6986">
            <w:pPr>
              <w:jc w:val="both"/>
              <w:rPr>
                <w:rFonts w:ascii="Arial" w:hAnsi="Arial" w:cs="Arial"/>
                <w:lang w:val="es-ES_tradnl"/>
              </w:rPr>
            </w:pPr>
            <w:r w:rsidRPr="00A031A2">
              <w:rPr>
                <w:rFonts w:ascii="Arial" w:hAnsi="Arial" w:cs="Arial"/>
                <w:lang w:val="es-ES_tradnl"/>
              </w:rPr>
              <w:t>14 de mayo de 2024</w:t>
            </w:r>
          </w:p>
        </w:tc>
      </w:tr>
      <w:tr w:rsidR="00A031A2" w:rsidRPr="00A031A2" w14:paraId="5D5354CC" w14:textId="77777777" w:rsidTr="005E6986">
        <w:tc>
          <w:tcPr>
            <w:tcW w:w="2689" w:type="dxa"/>
            <w:shd w:val="clear" w:color="auto" w:fill="D9D9D9" w:themeFill="background1" w:themeFillShade="D9"/>
          </w:tcPr>
          <w:p w14:paraId="1C31935F" w14:textId="699D1516" w:rsidR="00C3016C" w:rsidRPr="00A031A2" w:rsidRDefault="00C3016C" w:rsidP="005E6986">
            <w:pPr>
              <w:jc w:val="both"/>
              <w:rPr>
                <w:rFonts w:ascii="Arial" w:hAnsi="Arial" w:cs="Arial"/>
                <w:b/>
                <w:bCs/>
                <w:lang w:val="es-ES"/>
              </w:rPr>
            </w:pPr>
            <w:r w:rsidRPr="00A031A2">
              <w:rPr>
                <w:rFonts w:ascii="Arial" w:hAnsi="Arial" w:cs="Arial"/>
                <w:b/>
                <w:bCs/>
                <w:lang w:val="es-ES"/>
              </w:rPr>
              <w:t xml:space="preserve">Fecha de notificación de la vinculación a </w:t>
            </w:r>
            <w:r w:rsidR="3C4442AC" w:rsidRPr="00A031A2">
              <w:rPr>
                <w:rFonts w:ascii="Arial" w:hAnsi="Arial" w:cs="Arial"/>
                <w:b/>
                <w:bCs/>
                <w:lang w:val="es-ES"/>
              </w:rPr>
              <w:t>HDI</w:t>
            </w:r>
          </w:p>
        </w:tc>
        <w:tc>
          <w:tcPr>
            <w:tcW w:w="7294" w:type="dxa"/>
          </w:tcPr>
          <w:p w14:paraId="34EF59C3" w14:textId="6ECEAAC4" w:rsidR="00C3016C" w:rsidRPr="00A031A2" w:rsidRDefault="00A172D5" w:rsidP="005E6986">
            <w:pPr>
              <w:jc w:val="both"/>
              <w:rPr>
                <w:rFonts w:ascii="Arial" w:hAnsi="Arial" w:cs="Arial"/>
                <w:lang w:val="es-ES_tradnl"/>
              </w:rPr>
            </w:pPr>
            <w:r w:rsidRPr="00A031A2">
              <w:rPr>
                <w:rFonts w:ascii="Arial" w:hAnsi="Arial" w:cs="Arial"/>
                <w:lang w:val="es-ES_tradnl"/>
              </w:rPr>
              <w:t>24 de mayo de 2024</w:t>
            </w:r>
          </w:p>
        </w:tc>
      </w:tr>
      <w:tr w:rsidR="00A031A2" w:rsidRPr="00A031A2" w14:paraId="2F193EE7" w14:textId="77777777" w:rsidTr="005E6986">
        <w:tc>
          <w:tcPr>
            <w:tcW w:w="2689" w:type="dxa"/>
            <w:shd w:val="clear" w:color="auto" w:fill="D9D9D9" w:themeFill="background1" w:themeFillShade="D9"/>
          </w:tcPr>
          <w:p w14:paraId="60E8F079" w14:textId="77777777" w:rsidR="00C3016C" w:rsidRPr="00A031A2" w:rsidRDefault="00C3016C" w:rsidP="005E6986">
            <w:pPr>
              <w:jc w:val="both"/>
              <w:rPr>
                <w:rFonts w:ascii="Arial" w:hAnsi="Arial" w:cs="Arial"/>
                <w:b/>
                <w:lang w:val="es-ES_tradnl"/>
              </w:rPr>
            </w:pPr>
            <w:r w:rsidRPr="00A031A2">
              <w:rPr>
                <w:rFonts w:ascii="Arial" w:hAnsi="Arial" w:cs="Arial"/>
                <w:b/>
                <w:lang w:val="es-ES_tradnl"/>
              </w:rPr>
              <w:t>Fecha de contestación del caso</w:t>
            </w:r>
          </w:p>
        </w:tc>
        <w:tc>
          <w:tcPr>
            <w:tcW w:w="7294" w:type="dxa"/>
          </w:tcPr>
          <w:p w14:paraId="635E2E0B" w14:textId="59637501" w:rsidR="00C3016C" w:rsidRPr="00A031A2" w:rsidRDefault="00EF22CF" w:rsidP="005E6986">
            <w:pPr>
              <w:jc w:val="both"/>
              <w:rPr>
                <w:rFonts w:ascii="Arial" w:hAnsi="Arial" w:cs="Arial"/>
                <w:lang w:val="es-ES_tradnl"/>
              </w:rPr>
            </w:pPr>
            <w:r w:rsidRPr="00A031A2">
              <w:rPr>
                <w:rFonts w:ascii="Arial" w:hAnsi="Arial" w:cs="Arial"/>
                <w:lang w:val="es-ES_tradnl"/>
              </w:rPr>
              <w:t>13 de junio de 2024</w:t>
            </w:r>
          </w:p>
        </w:tc>
      </w:tr>
    </w:tbl>
    <w:p w14:paraId="6550DCAA" w14:textId="7A482D36" w:rsidR="00C3016C" w:rsidRPr="00A031A2" w:rsidRDefault="00C3016C" w:rsidP="005E6986">
      <w:pPr>
        <w:spacing w:after="160"/>
        <w:jc w:val="both"/>
        <w:rPr>
          <w:rFonts w:ascii="Arial" w:hAnsi="Arial" w:cs="Arial"/>
        </w:rPr>
      </w:pPr>
    </w:p>
    <w:sectPr w:rsidR="00C3016C" w:rsidRPr="00A03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BF0"/>
    <w:multiLevelType w:val="hybridMultilevel"/>
    <w:tmpl w:val="2D127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1E95577"/>
    <w:multiLevelType w:val="hybridMultilevel"/>
    <w:tmpl w:val="71486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C87F6B"/>
    <w:multiLevelType w:val="hybridMultilevel"/>
    <w:tmpl w:val="50CAC2D4"/>
    <w:lvl w:ilvl="0" w:tplc="35FC629C">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355E8A"/>
    <w:multiLevelType w:val="hybridMultilevel"/>
    <w:tmpl w:val="181075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CD1AE4"/>
    <w:multiLevelType w:val="hybridMultilevel"/>
    <w:tmpl w:val="963E3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3E0F86"/>
    <w:multiLevelType w:val="hybridMultilevel"/>
    <w:tmpl w:val="B59EE0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4F11DD1"/>
    <w:multiLevelType w:val="hybridMultilevel"/>
    <w:tmpl w:val="2DC42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7C3000"/>
    <w:multiLevelType w:val="hybridMultilevel"/>
    <w:tmpl w:val="5350A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54699E"/>
    <w:multiLevelType w:val="hybridMultilevel"/>
    <w:tmpl w:val="64AED90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C705CA3"/>
    <w:multiLevelType w:val="hybridMultilevel"/>
    <w:tmpl w:val="5590C99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67859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391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556127">
    <w:abstractNumId w:val="1"/>
  </w:num>
  <w:num w:numId="5" w16cid:durableId="352196376">
    <w:abstractNumId w:val="6"/>
  </w:num>
  <w:num w:numId="6" w16cid:durableId="687559525">
    <w:abstractNumId w:val="0"/>
  </w:num>
  <w:num w:numId="7" w16cid:durableId="1197498265">
    <w:abstractNumId w:val="7"/>
  </w:num>
  <w:num w:numId="8" w16cid:durableId="918518887">
    <w:abstractNumId w:val="8"/>
  </w:num>
  <w:num w:numId="9" w16cid:durableId="227737763">
    <w:abstractNumId w:val="4"/>
  </w:num>
  <w:num w:numId="10" w16cid:durableId="1109276504">
    <w:abstractNumId w:val="10"/>
  </w:num>
  <w:num w:numId="11" w16cid:durableId="1179467957">
    <w:abstractNumId w:val="5"/>
  </w:num>
  <w:num w:numId="12" w16cid:durableId="620964761">
    <w:abstractNumId w:val="3"/>
  </w:num>
  <w:num w:numId="13" w16cid:durableId="1485973224">
    <w:abstractNumId w:val="11"/>
  </w:num>
  <w:num w:numId="14" w16cid:durableId="1475830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F170E"/>
    <w:rsid w:val="00203F47"/>
    <w:rsid w:val="002413C2"/>
    <w:rsid w:val="00283E56"/>
    <w:rsid w:val="00346853"/>
    <w:rsid w:val="003D524F"/>
    <w:rsid w:val="003F5769"/>
    <w:rsid w:val="005C3588"/>
    <w:rsid w:val="005D7B82"/>
    <w:rsid w:val="005E6986"/>
    <w:rsid w:val="00891F78"/>
    <w:rsid w:val="00A031A2"/>
    <w:rsid w:val="00A172D5"/>
    <w:rsid w:val="00AC0786"/>
    <w:rsid w:val="00C3016C"/>
    <w:rsid w:val="00C35645"/>
    <w:rsid w:val="00E8173D"/>
    <w:rsid w:val="00E96727"/>
    <w:rsid w:val="00EF22CF"/>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00092">
      <w:bodyDiv w:val="1"/>
      <w:marLeft w:val="0"/>
      <w:marRight w:val="0"/>
      <w:marTop w:val="0"/>
      <w:marBottom w:val="0"/>
      <w:divBdr>
        <w:top w:val="none" w:sz="0" w:space="0" w:color="auto"/>
        <w:left w:val="none" w:sz="0" w:space="0" w:color="auto"/>
        <w:bottom w:val="none" w:sz="0" w:space="0" w:color="auto"/>
        <w:right w:val="none" w:sz="0" w:space="0" w:color="auto"/>
      </w:divBdr>
      <w:divsChild>
        <w:div w:id="1655602319">
          <w:marLeft w:val="0"/>
          <w:marRight w:val="0"/>
          <w:marTop w:val="0"/>
          <w:marBottom w:val="160"/>
          <w:divBdr>
            <w:top w:val="none" w:sz="0" w:space="0" w:color="auto"/>
            <w:left w:val="none" w:sz="0" w:space="0" w:color="auto"/>
            <w:bottom w:val="none" w:sz="0" w:space="0" w:color="auto"/>
            <w:right w:val="none" w:sz="0" w:space="0" w:color="auto"/>
          </w:divBdr>
        </w:div>
        <w:div w:id="435951020">
          <w:marLeft w:val="0"/>
          <w:marRight w:val="0"/>
          <w:marTop w:val="0"/>
          <w:marBottom w:val="160"/>
          <w:divBdr>
            <w:top w:val="none" w:sz="0" w:space="0" w:color="auto"/>
            <w:left w:val="none" w:sz="0" w:space="0" w:color="auto"/>
            <w:bottom w:val="none" w:sz="0" w:space="0" w:color="auto"/>
            <w:right w:val="none" w:sz="0" w:space="0" w:color="auto"/>
          </w:divBdr>
        </w:div>
        <w:div w:id="16856181">
          <w:marLeft w:val="0"/>
          <w:marRight w:val="0"/>
          <w:marTop w:val="0"/>
          <w:marBottom w:val="160"/>
          <w:divBdr>
            <w:top w:val="none" w:sz="0" w:space="0" w:color="auto"/>
            <w:left w:val="none" w:sz="0" w:space="0" w:color="auto"/>
            <w:bottom w:val="none" w:sz="0" w:space="0" w:color="auto"/>
            <w:right w:val="none" w:sz="0" w:space="0" w:color="auto"/>
          </w:divBdr>
        </w:div>
        <w:div w:id="2007971671">
          <w:marLeft w:val="0"/>
          <w:marRight w:val="0"/>
          <w:marTop w:val="0"/>
          <w:marBottom w:val="160"/>
          <w:divBdr>
            <w:top w:val="none" w:sz="0" w:space="0" w:color="auto"/>
            <w:left w:val="none" w:sz="0" w:space="0" w:color="auto"/>
            <w:bottom w:val="none" w:sz="0" w:space="0" w:color="auto"/>
            <w:right w:val="none" w:sz="0" w:space="0" w:color="auto"/>
          </w:divBdr>
        </w:div>
        <w:div w:id="347679338">
          <w:marLeft w:val="0"/>
          <w:marRight w:val="0"/>
          <w:marTop w:val="0"/>
          <w:marBottom w:val="160"/>
          <w:divBdr>
            <w:top w:val="none" w:sz="0" w:space="0" w:color="auto"/>
            <w:left w:val="none" w:sz="0" w:space="0" w:color="auto"/>
            <w:bottom w:val="none" w:sz="0" w:space="0" w:color="auto"/>
            <w:right w:val="none" w:sz="0" w:space="0" w:color="auto"/>
          </w:divBdr>
        </w:div>
      </w:divsChild>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1280</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Mayerly Ayala Rivera</cp:lastModifiedBy>
  <cp:revision>3</cp:revision>
  <dcterms:created xsi:type="dcterms:W3CDTF">2024-06-20T21:43:00Z</dcterms:created>
  <dcterms:modified xsi:type="dcterms:W3CDTF">2024-06-20T21:44:00Z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