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527F5" w14:textId="77777777" w:rsidR="003915D6" w:rsidRPr="00F92E46" w:rsidRDefault="003915D6" w:rsidP="00707EAC">
      <w:pPr>
        <w:pStyle w:val="xmsonormal"/>
        <w:shd w:val="clear" w:color="auto" w:fill="FFFFFF"/>
        <w:spacing w:line="276" w:lineRule="auto"/>
        <w:rPr>
          <w:rFonts w:ascii="Arial" w:hAnsi="Arial" w:cs="Arial"/>
          <w:sz w:val="22"/>
          <w:szCs w:val="22"/>
        </w:rPr>
      </w:pPr>
      <w:bookmarkStart w:id="0" w:name="_Hlk133578016"/>
      <w:r w:rsidRPr="00F92E46">
        <w:rPr>
          <w:rStyle w:val="xcontentpasted0"/>
          <w:rFonts w:ascii="Arial" w:hAnsi="Arial" w:cs="Arial"/>
          <w:sz w:val="22"/>
          <w:szCs w:val="22"/>
          <w:bdr w:val="none" w:sz="0" w:space="0" w:color="auto" w:frame="1"/>
        </w:rPr>
        <w:t>Estimada área de informes,</w:t>
      </w:r>
    </w:p>
    <w:p w14:paraId="66BAD8EA" w14:textId="77777777" w:rsidR="003915D6" w:rsidRPr="00F92E46" w:rsidRDefault="003915D6" w:rsidP="00707EAC">
      <w:pPr>
        <w:pStyle w:val="xmsonormal"/>
        <w:shd w:val="clear" w:color="auto" w:fill="FFFFFF"/>
        <w:spacing w:line="276" w:lineRule="auto"/>
        <w:rPr>
          <w:rFonts w:ascii="Arial" w:hAnsi="Arial" w:cs="Arial"/>
          <w:sz w:val="22"/>
          <w:szCs w:val="22"/>
        </w:rPr>
      </w:pPr>
      <w:r w:rsidRPr="00F92E46">
        <w:rPr>
          <w:rStyle w:val="xcontentpasted0"/>
          <w:rFonts w:ascii="Arial" w:hAnsi="Arial" w:cs="Arial"/>
          <w:sz w:val="22"/>
          <w:szCs w:val="22"/>
          <w:bdr w:val="none" w:sz="0" w:space="0" w:color="auto" w:frame="1"/>
        </w:rPr>
        <w:t>Reciban un cordial saludo, </w:t>
      </w:r>
    </w:p>
    <w:p w14:paraId="29206D0A" w14:textId="3A8C05D6" w:rsidR="003915D6" w:rsidRPr="00F92E46" w:rsidRDefault="003915D6" w:rsidP="00707EAC">
      <w:pPr>
        <w:pStyle w:val="xmsonormal"/>
        <w:shd w:val="clear" w:color="auto" w:fill="FFFFFF"/>
        <w:spacing w:line="276" w:lineRule="auto"/>
        <w:jc w:val="both"/>
        <w:rPr>
          <w:rFonts w:ascii="Arial" w:hAnsi="Arial" w:cs="Arial"/>
          <w:sz w:val="22"/>
          <w:szCs w:val="22"/>
        </w:rPr>
      </w:pPr>
      <w:r w:rsidRPr="00F92E46">
        <w:rPr>
          <w:rStyle w:val="xcontentpasted0"/>
          <w:rFonts w:ascii="Arial" w:hAnsi="Arial" w:cs="Arial"/>
          <w:sz w:val="22"/>
          <w:szCs w:val="22"/>
          <w:bdr w:val="none" w:sz="0" w:space="0" w:color="auto" w:frame="1"/>
        </w:rPr>
        <w:t xml:space="preserve">Para todos los fines pertinentes, comedidamente informo </w:t>
      </w:r>
      <w:r w:rsidR="00451F57" w:rsidRPr="00F92E46">
        <w:rPr>
          <w:rStyle w:val="xcontentpasted0"/>
          <w:rFonts w:ascii="Arial" w:hAnsi="Arial" w:cs="Arial"/>
          <w:sz w:val="22"/>
          <w:szCs w:val="22"/>
          <w:bdr w:val="none" w:sz="0" w:space="0" w:color="auto" w:frame="1"/>
        </w:rPr>
        <w:t xml:space="preserve">que el día </w:t>
      </w:r>
      <w:r w:rsidR="008C41FC">
        <w:rPr>
          <w:rStyle w:val="xcontentpasted0"/>
          <w:rFonts w:ascii="Arial" w:hAnsi="Arial" w:cs="Arial"/>
          <w:sz w:val="22"/>
          <w:szCs w:val="22"/>
          <w:bdr w:val="none" w:sz="0" w:space="0" w:color="auto" w:frame="1"/>
        </w:rPr>
        <w:t>09 de julio de 2024</w:t>
      </w:r>
      <w:r w:rsidR="00451F57" w:rsidRPr="00F92E46">
        <w:rPr>
          <w:rStyle w:val="xcontentpasted0"/>
          <w:rFonts w:ascii="Arial" w:hAnsi="Arial" w:cs="Arial"/>
          <w:sz w:val="22"/>
          <w:szCs w:val="22"/>
          <w:bdr w:val="none" w:sz="0" w:space="0" w:color="auto" w:frame="1"/>
        </w:rPr>
        <w:t xml:space="preserve">, fue radicada contestación de la demanda ante </w:t>
      </w:r>
      <w:r w:rsidR="0001552C">
        <w:rPr>
          <w:rStyle w:val="xcontentpasted0"/>
          <w:rFonts w:ascii="Arial" w:hAnsi="Arial" w:cs="Arial"/>
          <w:sz w:val="22"/>
          <w:szCs w:val="22"/>
          <w:bdr w:val="none" w:sz="0" w:space="0" w:color="auto" w:frame="1"/>
        </w:rPr>
        <w:t xml:space="preserve">la </w:t>
      </w:r>
      <w:r w:rsidR="0001552C" w:rsidRPr="0001552C">
        <w:rPr>
          <w:rStyle w:val="xcontentpasted0"/>
          <w:rFonts w:ascii="Arial" w:hAnsi="Arial" w:cs="Arial"/>
          <w:sz w:val="22"/>
          <w:szCs w:val="22"/>
          <w:bdr w:val="none" w:sz="0" w:space="0" w:color="auto" w:frame="1"/>
        </w:rPr>
        <w:t>SUPERINTENDENCIA FINANCIERA DE COLOMBIA</w:t>
      </w:r>
      <w:r w:rsidR="0001552C">
        <w:rPr>
          <w:rStyle w:val="xcontentpasted0"/>
          <w:rFonts w:ascii="Arial" w:hAnsi="Arial" w:cs="Arial"/>
          <w:sz w:val="22"/>
          <w:szCs w:val="22"/>
          <w:bdr w:val="none" w:sz="0" w:space="0" w:color="auto" w:frame="1"/>
        </w:rPr>
        <w:t xml:space="preserve">, </w:t>
      </w:r>
      <w:r w:rsidR="00451F57" w:rsidRPr="00F92E46">
        <w:rPr>
          <w:rStyle w:val="xcontentpasted0"/>
          <w:rFonts w:ascii="Arial" w:hAnsi="Arial" w:cs="Arial"/>
          <w:sz w:val="22"/>
          <w:szCs w:val="22"/>
          <w:bdr w:val="none" w:sz="0" w:space="0" w:color="auto" w:frame="1"/>
        </w:rPr>
        <w:t>dentro del proceso que a continuación de describe:</w:t>
      </w:r>
    </w:p>
    <w:tbl>
      <w:tblPr>
        <w:tblW w:w="8823" w:type="dxa"/>
        <w:tblLook w:val="04A0" w:firstRow="1" w:lastRow="0" w:firstColumn="1" w:lastColumn="0" w:noHBand="0" w:noVBand="1"/>
      </w:tblPr>
      <w:tblGrid>
        <w:gridCol w:w="2842"/>
        <w:gridCol w:w="5981"/>
      </w:tblGrid>
      <w:tr w:rsidR="003630CC" w:rsidRPr="00F92E46" w14:paraId="566E4D6A" w14:textId="77777777" w:rsidTr="007E6F36">
        <w:trPr>
          <w:trHeight w:val="697"/>
        </w:trPr>
        <w:tc>
          <w:tcPr>
            <w:tcW w:w="2842" w:type="dxa"/>
            <w:vAlign w:val="center"/>
            <w:hideMark/>
          </w:tcPr>
          <w:p w14:paraId="5C03DEEA" w14:textId="77777777" w:rsidR="003915D6" w:rsidRPr="00F92E46" w:rsidRDefault="003915D6" w:rsidP="00707EAC">
            <w:pPr>
              <w:pStyle w:val="NormalWeb"/>
              <w:spacing w:line="276" w:lineRule="auto"/>
              <w:rPr>
                <w:rFonts w:ascii="Arial" w:hAnsi="Arial" w:cs="Arial"/>
              </w:rPr>
            </w:pPr>
            <w:r w:rsidRPr="00F92E46">
              <w:rPr>
                <w:rStyle w:val="contentpasted1"/>
                <w:rFonts w:ascii="Arial" w:hAnsi="Arial" w:cs="Arial"/>
                <w:b/>
                <w:bCs/>
              </w:rPr>
              <w:t>REFERENCIA: </w:t>
            </w:r>
          </w:p>
        </w:tc>
        <w:tc>
          <w:tcPr>
            <w:tcW w:w="5981" w:type="dxa"/>
            <w:vAlign w:val="center"/>
            <w:hideMark/>
          </w:tcPr>
          <w:p w14:paraId="1B8B9F63" w14:textId="20004977" w:rsidR="003915D6" w:rsidRPr="00F92E46" w:rsidRDefault="0001552C" w:rsidP="00707EAC">
            <w:pPr>
              <w:pStyle w:val="NormalWeb"/>
              <w:spacing w:line="276" w:lineRule="auto"/>
              <w:rPr>
                <w:rFonts w:ascii="Arial" w:hAnsi="Arial" w:cs="Arial"/>
              </w:rPr>
            </w:pPr>
            <w:r w:rsidRPr="0001552C">
              <w:rPr>
                <w:rStyle w:val="xcontentpasted0"/>
                <w:rFonts w:ascii="Arial" w:hAnsi="Arial" w:cs="Arial"/>
                <w:bdr w:val="none" w:sz="0" w:space="0" w:color="auto" w:frame="1"/>
              </w:rPr>
              <w:t>ACCIÓN DE PROTECCIÓN AL CONSUMIDOR</w:t>
            </w:r>
          </w:p>
        </w:tc>
      </w:tr>
      <w:tr w:rsidR="003630CC" w:rsidRPr="00F92E46" w14:paraId="2BBD7B2E" w14:textId="77777777" w:rsidTr="007E6F36">
        <w:trPr>
          <w:trHeight w:val="697"/>
        </w:trPr>
        <w:tc>
          <w:tcPr>
            <w:tcW w:w="2842" w:type="dxa"/>
            <w:vAlign w:val="center"/>
          </w:tcPr>
          <w:p w14:paraId="45ED1DD3" w14:textId="3F0F38D6" w:rsidR="003915D6" w:rsidRPr="00F92E46" w:rsidRDefault="0084055A" w:rsidP="00707EAC">
            <w:pPr>
              <w:pStyle w:val="NormalWeb"/>
              <w:spacing w:line="276" w:lineRule="auto"/>
              <w:rPr>
                <w:rStyle w:val="contentpasted1"/>
                <w:rFonts w:ascii="Arial" w:hAnsi="Arial" w:cs="Arial"/>
                <w:b/>
                <w:bCs/>
              </w:rPr>
            </w:pPr>
            <w:r w:rsidRPr="00F92E46">
              <w:rPr>
                <w:rStyle w:val="contentpasted1"/>
                <w:rFonts w:ascii="Arial" w:hAnsi="Arial" w:cs="Arial"/>
                <w:b/>
                <w:bCs/>
              </w:rPr>
              <w:t>RADICADO</w:t>
            </w:r>
            <w:r w:rsidR="003915D6" w:rsidRPr="00F92E46">
              <w:rPr>
                <w:rStyle w:val="contentpasted1"/>
                <w:rFonts w:ascii="Arial" w:hAnsi="Arial" w:cs="Arial"/>
                <w:b/>
                <w:bCs/>
              </w:rPr>
              <w:t>:</w:t>
            </w:r>
          </w:p>
        </w:tc>
        <w:tc>
          <w:tcPr>
            <w:tcW w:w="5981" w:type="dxa"/>
            <w:vAlign w:val="center"/>
          </w:tcPr>
          <w:p w14:paraId="349DFB46" w14:textId="3E3553C5" w:rsidR="00407AB5" w:rsidRPr="00F92E46" w:rsidRDefault="0001552C" w:rsidP="00707EAC">
            <w:pPr>
              <w:pStyle w:val="NormalWeb"/>
              <w:spacing w:line="276" w:lineRule="auto"/>
              <w:rPr>
                <w:rStyle w:val="contentpasted1"/>
                <w:rFonts w:ascii="Arial" w:hAnsi="Arial" w:cs="Arial"/>
              </w:rPr>
            </w:pPr>
            <w:r w:rsidRPr="0001552C">
              <w:rPr>
                <w:rFonts w:ascii="Arial" w:hAnsi="Arial" w:cs="Arial"/>
              </w:rPr>
              <w:t>2024066256</w:t>
            </w:r>
          </w:p>
        </w:tc>
      </w:tr>
      <w:tr w:rsidR="003630CC" w:rsidRPr="00F92E46" w14:paraId="408764F0" w14:textId="77777777" w:rsidTr="007E6F36">
        <w:trPr>
          <w:trHeight w:val="697"/>
        </w:trPr>
        <w:tc>
          <w:tcPr>
            <w:tcW w:w="2842" w:type="dxa"/>
            <w:vAlign w:val="center"/>
            <w:hideMark/>
          </w:tcPr>
          <w:p w14:paraId="1F2B69E1" w14:textId="21564302" w:rsidR="003915D6" w:rsidRPr="00F92E46" w:rsidRDefault="003915D6" w:rsidP="00707EAC">
            <w:pPr>
              <w:pStyle w:val="NormalWeb"/>
              <w:spacing w:line="276" w:lineRule="auto"/>
              <w:rPr>
                <w:rFonts w:ascii="Arial" w:hAnsi="Arial" w:cs="Arial"/>
              </w:rPr>
            </w:pPr>
            <w:r w:rsidRPr="00F92E46">
              <w:rPr>
                <w:rStyle w:val="contentpasted1"/>
                <w:rFonts w:ascii="Arial" w:hAnsi="Arial" w:cs="Arial"/>
                <w:b/>
                <w:bCs/>
              </w:rPr>
              <w:t>DEMANDANTE: </w:t>
            </w:r>
          </w:p>
        </w:tc>
        <w:tc>
          <w:tcPr>
            <w:tcW w:w="5981" w:type="dxa"/>
            <w:vAlign w:val="center"/>
            <w:hideMark/>
          </w:tcPr>
          <w:p w14:paraId="5F89B23B" w14:textId="4B5D4B00" w:rsidR="003915D6" w:rsidRPr="00F92E46" w:rsidRDefault="0001552C" w:rsidP="00707EAC">
            <w:pPr>
              <w:pStyle w:val="NormalWeb"/>
              <w:spacing w:line="276" w:lineRule="auto"/>
              <w:rPr>
                <w:rFonts w:ascii="Arial" w:hAnsi="Arial" w:cs="Arial"/>
              </w:rPr>
            </w:pPr>
            <w:r w:rsidRPr="0001552C">
              <w:rPr>
                <w:rFonts w:ascii="Arial" w:hAnsi="Arial" w:cs="Arial"/>
              </w:rPr>
              <w:t>DANIEL LLANOS DURAN</w:t>
            </w:r>
          </w:p>
        </w:tc>
      </w:tr>
      <w:tr w:rsidR="003630CC" w:rsidRPr="00F92E46" w14:paraId="1A4D0FE6" w14:textId="77777777" w:rsidTr="007E6F36">
        <w:trPr>
          <w:trHeight w:val="697"/>
        </w:trPr>
        <w:tc>
          <w:tcPr>
            <w:tcW w:w="2842" w:type="dxa"/>
            <w:vAlign w:val="center"/>
            <w:hideMark/>
          </w:tcPr>
          <w:p w14:paraId="25382D6C" w14:textId="0F36BB8A" w:rsidR="003915D6" w:rsidRPr="00F92E46" w:rsidRDefault="003915D6" w:rsidP="00707EAC">
            <w:pPr>
              <w:pStyle w:val="NormalWeb"/>
              <w:spacing w:line="276" w:lineRule="auto"/>
              <w:rPr>
                <w:rFonts w:ascii="Arial" w:hAnsi="Arial" w:cs="Arial"/>
              </w:rPr>
            </w:pPr>
            <w:r w:rsidRPr="00F92E46">
              <w:rPr>
                <w:rStyle w:val="contentpasted1"/>
                <w:rFonts w:ascii="Arial" w:hAnsi="Arial" w:cs="Arial"/>
                <w:b/>
                <w:bCs/>
              </w:rPr>
              <w:t>DEMANDADO: </w:t>
            </w:r>
          </w:p>
        </w:tc>
        <w:tc>
          <w:tcPr>
            <w:tcW w:w="5981" w:type="dxa"/>
            <w:vAlign w:val="center"/>
            <w:hideMark/>
          </w:tcPr>
          <w:p w14:paraId="4CD1739C" w14:textId="04B1F384" w:rsidR="003915D6" w:rsidRPr="00F92E46" w:rsidRDefault="0001552C" w:rsidP="00707EAC">
            <w:pPr>
              <w:pStyle w:val="NormalWeb"/>
              <w:spacing w:line="276" w:lineRule="auto"/>
              <w:rPr>
                <w:rFonts w:ascii="Arial" w:hAnsi="Arial" w:cs="Arial"/>
              </w:rPr>
            </w:pPr>
            <w:r w:rsidRPr="0001552C">
              <w:rPr>
                <w:rStyle w:val="contentpasted4"/>
                <w:rFonts w:ascii="Arial" w:hAnsi="Arial" w:cs="Arial"/>
                <w:shd w:val="clear" w:color="auto" w:fill="FFFFFF"/>
              </w:rPr>
              <w:t>BBVA SEGUROS COLOMBIA S.A.</w:t>
            </w:r>
          </w:p>
        </w:tc>
      </w:tr>
      <w:tr w:rsidR="003630CC" w:rsidRPr="00F92E46" w14:paraId="5F11C217" w14:textId="77777777" w:rsidTr="007E6F36">
        <w:trPr>
          <w:trHeight w:val="697"/>
        </w:trPr>
        <w:tc>
          <w:tcPr>
            <w:tcW w:w="2842" w:type="dxa"/>
            <w:vAlign w:val="center"/>
          </w:tcPr>
          <w:p w14:paraId="1967B76F" w14:textId="5041D298" w:rsidR="003915D6" w:rsidRPr="00F92E46" w:rsidRDefault="00F1563B" w:rsidP="00707EAC">
            <w:pPr>
              <w:pStyle w:val="NormalWeb"/>
              <w:spacing w:line="276" w:lineRule="auto"/>
              <w:rPr>
                <w:rStyle w:val="contentpasted1"/>
                <w:rFonts w:ascii="Arial" w:hAnsi="Arial" w:cs="Arial"/>
                <w:b/>
                <w:bCs/>
              </w:rPr>
            </w:pPr>
            <w:r w:rsidRPr="00F92E46">
              <w:rPr>
                <w:rStyle w:val="contentpasted1"/>
                <w:rFonts w:ascii="Arial" w:hAnsi="Arial" w:cs="Arial"/>
                <w:b/>
                <w:bCs/>
              </w:rPr>
              <w:t>CASE</w:t>
            </w:r>
            <w:r w:rsidR="003915D6" w:rsidRPr="00F92E46">
              <w:rPr>
                <w:rStyle w:val="contentpasted1"/>
                <w:rFonts w:ascii="Arial" w:hAnsi="Arial" w:cs="Arial"/>
                <w:b/>
                <w:bCs/>
              </w:rPr>
              <w:t>:</w:t>
            </w:r>
          </w:p>
        </w:tc>
        <w:tc>
          <w:tcPr>
            <w:tcW w:w="5981" w:type="dxa"/>
            <w:vAlign w:val="center"/>
          </w:tcPr>
          <w:p w14:paraId="3AF4DEBD" w14:textId="6F37D0F5" w:rsidR="003915D6" w:rsidRPr="00F92E46" w:rsidRDefault="0001552C" w:rsidP="00707EAC">
            <w:pPr>
              <w:pStyle w:val="NormalWeb"/>
              <w:spacing w:line="276" w:lineRule="auto"/>
              <w:rPr>
                <w:rStyle w:val="contentpasted4"/>
                <w:rFonts w:ascii="Arial" w:hAnsi="Arial" w:cs="Arial"/>
                <w:shd w:val="clear" w:color="auto" w:fill="FFFFFF"/>
              </w:rPr>
            </w:pPr>
            <w:r w:rsidRPr="0001552C">
              <w:rPr>
                <w:rStyle w:val="contentpasted4"/>
                <w:rFonts w:ascii="Arial" w:hAnsi="Arial" w:cs="Arial"/>
                <w:shd w:val="clear" w:color="auto" w:fill="FFFFFF"/>
              </w:rPr>
              <w:t>22802</w:t>
            </w:r>
          </w:p>
        </w:tc>
      </w:tr>
      <w:tr w:rsidR="003630CC" w:rsidRPr="00F92E46" w14:paraId="015834EC" w14:textId="77777777" w:rsidTr="007E6F36">
        <w:trPr>
          <w:trHeight w:val="697"/>
        </w:trPr>
        <w:tc>
          <w:tcPr>
            <w:tcW w:w="2842" w:type="dxa"/>
            <w:vAlign w:val="center"/>
          </w:tcPr>
          <w:p w14:paraId="4DFA6B63" w14:textId="476F5DD1" w:rsidR="00451F57" w:rsidRPr="00F92E46" w:rsidRDefault="00451F57" w:rsidP="00707EAC">
            <w:pPr>
              <w:pStyle w:val="NormalWeb"/>
              <w:spacing w:line="276" w:lineRule="auto"/>
              <w:rPr>
                <w:rStyle w:val="contentpasted1"/>
                <w:rFonts w:ascii="Arial" w:hAnsi="Arial" w:cs="Arial"/>
                <w:b/>
                <w:bCs/>
              </w:rPr>
            </w:pPr>
            <w:r w:rsidRPr="00F92E46">
              <w:rPr>
                <w:rStyle w:val="contentpasted1"/>
                <w:rFonts w:ascii="Arial" w:hAnsi="Arial" w:cs="Arial"/>
                <w:b/>
                <w:bCs/>
              </w:rPr>
              <w:t>TIPO DE VINCULACION:</w:t>
            </w:r>
          </w:p>
        </w:tc>
        <w:tc>
          <w:tcPr>
            <w:tcW w:w="5981" w:type="dxa"/>
            <w:vAlign w:val="center"/>
          </w:tcPr>
          <w:p w14:paraId="1AF698FF" w14:textId="06E32E6A" w:rsidR="00451F57" w:rsidRPr="00F92E46" w:rsidRDefault="0001552C" w:rsidP="00707EAC">
            <w:pPr>
              <w:pStyle w:val="NormalWeb"/>
              <w:spacing w:line="276" w:lineRule="auto"/>
              <w:rPr>
                <w:rStyle w:val="contentpasted4"/>
                <w:rFonts w:ascii="Arial" w:hAnsi="Arial" w:cs="Arial"/>
                <w:shd w:val="clear" w:color="auto" w:fill="FFFFFF"/>
              </w:rPr>
            </w:pPr>
            <w:r>
              <w:rPr>
                <w:rStyle w:val="contentpasted4"/>
                <w:rFonts w:ascii="Arial" w:hAnsi="Arial" w:cs="Arial"/>
                <w:shd w:val="clear" w:color="auto" w:fill="FFFFFF"/>
              </w:rPr>
              <w:t>ACCIÓN</w:t>
            </w:r>
            <w:r w:rsidR="007E6F36" w:rsidRPr="00F92E46">
              <w:rPr>
                <w:rStyle w:val="contentpasted4"/>
                <w:rFonts w:ascii="Arial" w:hAnsi="Arial" w:cs="Arial"/>
                <w:shd w:val="clear" w:color="auto" w:fill="FFFFFF"/>
              </w:rPr>
              <w:t xml:space="preserve"> DIRECTA</w:t>
            </w:r>
          </w:p>
        </w:tc>
      </w:tr>
    </w:tbl>
    <w:p w14:paraId="3A8E3924" w14:textId="77777777" w:rsidR="003915D6" w:rsidRPr="00F92E46" w:rsidRDefault="003915D6" w:rsidP="00707EAC">
      <w:pPr>
        <w:pStyle w:val="xmsonormal"/>
        <w:shd w:val="clear" w:color="auto" w:fill="FFFFFF"/>
        <w:spacing w:line="276" w:lineRule="auto"/>
        <w:jc w:val="center"/>
        <w:rPr>
          <w:rFonts w:ascii="Arial" w:hAnsi="Arial" w:cs="Arial"/>
          <w:b/>
          <w:bCs/>
          <w:sz w:val="22"/>
          <w:szCs w:val="22"/>
          <w:u w:val="single"/>
        </w:rPr>
      </w:pPr>
      <w:r w:rsidRPr="00F92E46">
        <w:rPr>
          <w:rFonts w:ascii="Arial" w:hAnsi="Arial" w:cs="Arial"/>
          <w:b/>
          <w:bCs/>
          <w:sz w:val="22"/>
          <w:szCs w:val="22"/>
          <w:u w:val="single"/>
        </w:rPr>
        <w:t>HECHOS</w:t>
      </w:r>
    </w:p>
    <w:p w14:paraId="009F0176" w14:textId="5A7CEBF3" w:rsidR="00F92E46" w:rsidRPr="0001552C" w:rsidRDefault="00F92E46" w:rsidP="0064797F">
      <w:pPr>
        <w:numPr>
          <w:ilvl w:val="0"/>
          <w:numId w:val="19"/>
        </w:numPr>
        <w:shd w:val="clear" w:color="auto" w:fill="FFFFFF"/>
        <w:ind w:left="426" w:hanging="426"/>
        <w:jc w:val="both"/>
        <w:rPr>
          <w:rFonts w:ascii="Arial" w:eastAsia="Times New Roman" w:hAnsi="Arial" w:cs="Arial"/>
          <w:color w:val="000000"/>
        </w:rPr>
      </w:pPr>
      <w:r w:rsidRPr="0001552C">
        <w:rPr>
          <w:rFonts w:ascii="Arial" w:eastAsia="Times New Roman" w:hAnsi="Arial" w:cs="Arial"/>
          <w:color w:val="000000"/>
          <w:bdr w:val="none" w:sz="0" w:space="0" w:color="auto" w:frame="1"/>
        </w:rPr>
        <w:t>El señor </w:t>
      </w:r>
      <w:r w:rsidR="0001552C" w:rsidRPr="0001552C">
        <w:rPr>
          <w:rFonts w:ascii="Arial" w:eastAsia="Times New Roman" w:hAnsi="Arial" w:cs="Arial"/>
          <w:color w:val="000000"/>
          <w:bdr w:val="none" w:sz="0" w:space="0" w:color="auto" w:frame="1"/>
        </w:rPr>
        <w:t xml:space="preserve">Daniel Llanos Duran </w:t>
      </w:r>
      <w:r w:rsidRPr="0001552C">
        <w:rPr>
          <w:rFonts w:ascii="Arial" w:eastAsia="Times New Roman" w:hAnsi="Arial" w:cs="Arial"/>
          <w:color w:val="000000"/>
          <w:bdr w:val="none" w:sz="0" w:space="0" w:color="auto" w:frame="1"/>
        </w:rPr>
        <w:t xml:space="preserve">adquirió </w:t>
      </w:r>
      <w:r w:rsidR="0001552C" w:rsidRPr="002C2D64">
        <w:rPr>
          <w:rFonts w:ascii="Arial" w:eastAsia="Arial" w:hAnsi="Arial" w:cs="Arial"/>
        </w:rPr>
        <w:t>Póliza de Seguro Hurto Tarjetas Segura RED No. 00130858054891516911</w:t>
      </w:r>
      <w:r w:rsidR="0001552C">
        <w:rPr>
          <w:rFonts w:ascii="Arial" w:eastAsia="Arial" w:hAnsi="Arial" w:cs="Arial"/>
        </w:rPr>
        <w:t xml:space="preserve"> el 20 de noviembre de 2023.</w:t>
      </w:r>
    </w:p>
    <w:p w14:paraId="15FCF797" w14:textId="77777777" w:rsidR="0001552C" w:rsidRPr="0001552C" w:rsidRDefault="0001552C" w:rsidP="0001552C">
      <w:pPr>
        <w:shd w:val="clear" w:color="auto" w:fill="FFFFFF"/>
        <w:jc w:val="both"/>
        <w:rPr>
          <w:rFonts w:ascii="Arial" w:eastAsia="Times New Roman" w:hAnsi="Arial" w:cs="Arial"/>
          <w:color w:val="000000"/>
        </w:rPr>
      </w:pPr>
    </w:p>
    <w:p w14:paraId="5E92A126" w14:textId="77777777" w:rsidR="00F92E46" w:rsidRPr="00F92E46" w:rsidRDefault="00F92E46" w:rsidP="00F92E46">
      <w:pPr>
        <w:shd w:val="clear" w:color="auto" w:fill="FFFFFF"/>
        <w:jc w:val="both"/>
        <w:rPr>
          <w:rFonts w:ascii="Arial" w:eastAsia="Times New Roman" w:hAnsi="Arial" w:cs="Arial"/>
          <w:color w:val="000000"/>
        </w:rPr>
      </w:pPr>
    </w:p>
    <w:p w14:paraId="6103C06B" w14:textId="07E4D041" w:rsidR="0064797F" w:rsidRPr="0064797F" w:rsidRDefault="0001552C" w:rsidP="0064797F">
      <w:pPr>
        <w:numPr>
          <w:ilvl w:val="0"/>
          <w:numId w:val="19"/>
        </w:numPr>
        <w:shd w:val="clear" w:color="auto" w:fill="FFFFFF"/>
        <w:tabs>
          <w:tab w:val="clear" w:pos="720"/>
          <w:tab w:val="num" w:pos="426"/>
        </w:tabs>
        <w:ind w:left="426" w:hanging="426"/>
        <w:jc w:val="both"/>
        <w:rPr>
          <w:rFonts w:ascii="Arial" w:eastAsia="Times New Roman" w:hAnsi="Arial" w:cs="Arial"/>
          <w:color w:val="000000"/>
        </w:rPr>
      </w:pPr>
      <w:r>
        <w:rPr>
          <w:rFonts w:ascii="Arial" w:eastAsia="Times New Roman" w:hAnsi="Arial" w:cs="Arial"/>
          <w:color w:val="000000"/>
          <w:bdr w:val="none" w:sz="0" w:space="0" w:color="auto" w:frame="1"/>
        </w:rPr>
        <w:t xml:space="preserve">Afirma el demandante que la Póliza de Seguro adquirida </w:t>
      </w:r>
      <w:r>
        <w:rPr>
          <w:rFonts w:ascii="Arial" w:hAnsi="Arial" w:cs="Arial"/>
        </w:rPr>
        <w:t xml:space="preserve">amparada de $4.000.000 MCTE en total para 2 eventos máximo en el año y que cuenta con un límite agregado anual de </w:t>
      </w:r>
      <w:r w:rsidR="00DB59B8">
        <w:rPr>
          <w:rFonts w:ascii="Arial" w:hAnsi="Arial" w:cs="Arial"/>
        </w:rPr>
        <w:t>$</w:t>
      </w:r>
      <w:r>
        <w:rPr>
          <w:rFonts w:ascii="Arial" w:hAnsi="Arial" w:cs="Arial"/>
        </w:rPr>
        <w:t>6.400.000 que como dice la compañía en los canales de publicidad web y físicos, “</w:t>
      </w:r>
      <w:r w:rsidRPr="0043448F">
        <w:rPr>
          <w:rFonts w:ascii="Arial" w:hAnsi="Arial" w:cs="Arial"/>
        </w:rPr>
        <w:t>Corresponde a la responsabilidad máxima que asumirá la aseguradora como monto total indemnizable por todos los eventos amparados y coberturas durante la vigencia del segur</w:t>
      </w:r>
      <w:r>
        <w:rPr>
          <w:rFonts w:ascii="Arial" w:hAnsi="Arial" w:cs="Arial"/>
        </w:rPr>
        <w:t>o</w:t>
      </w:r>
      <w:r w:rsidR="0064797F">
        <w:rPr>
          <w:rFonts w:ascii="Arial" w:hAnsi="Arial" w:cs="Arial"/>
        </w:rPr>
        <w:t>”.</w:t>
      </w:r>
    </w:p>
    <w:p w14:paraId="4BEDB734" w14:textId="77777777" w:rsidR="0064797F" w:rsidRDefault="0064797F" w:rsidP="0064797F">
      <w:pPr>
        <w:shd w:val="clear" w:color="auto" w:fill="FFFFFF"/>
        <w:ind w:left="426"/>
        <w:jc w:val="both"/>
        <w:rPr>
          <w:rFonts w:ascii="Arial" w:eastAsia="Times New Roman" w:hAnsi="Arial" w:cs="Arial"/>
          <w:color w:val="000000"/>
        </w:rPr>
      </w:pPr>
    </w:p>
    <w:p w14:paraId="49AAC03A" w14:textId="19BF6394" w:rsidR="0064797F" w:rsidRPr="0064797F" w:rsidRDefault="0064797F" w:rsidP="0064797F">
      <w:pPr>
        <w:numPr>
          <w:ilvl w:val="0"/>
          <w:numId w:val="19"/>
        </w:numPr>
        <w:shd w:val="clear" w:color="auto" w:fill="FFFFFF"/>
        <w:tabs>
          <w:tab w:val="clear" w:pos="720"/>
          <w:tab w:val="num" w:pos="426"/>
        </w:tabs>
        <w:ind w:left="426" w:hanging="426"/>
        <w:jc w:val="both"/>
        <w:rPr>
          <w:rFonts w:ascii="Arial" w:eastAsia="Times New Roman" w:hAnsi="Arial" w:cs="Arial"/>
          <w:color w:val="000000"/>
        </w:rPr>
      </w:pPr>
      <w:r>
        <w:rPr>
          <w:rFonts w:ascii="Arial" w:eastAsia="Times New Roman" w:hAnsi="Arial" w:cs="Arial"/>
          <w:color w:val="000000"/>
        </w:rPr>
        <w:t>Que con ocasión a un primer evento por hurto</w:t>
      </w:r>
      <w:r w:rsidR="004F0A2E">
        <w:rPr>
          <w:rFonts w:ascii="Arial" w:eastAsia="Times New Roman" w:hAnsi="Arial" w:cs="Arial"/>
          <w:color w:val="000000"/>
        </w:rPr>
        <w:t xml:space="preserve"> de dinero retirado de cajero automático</w:t>
      </w:r>
      <w:r>
        <w:rPr>
          <w:rFonts w:ascii="Arial" w:eastAsia="Times New Roman" w:hAnsi="Arial" w:cs="Arial"/>
          <w:color w:val="000000"/>
        </w:rPr>
        <w:t xml:space="preserve"> la compañía reconoció la suma de $3.780.000 y por un segundo evento por hurto del dinero retirado por valor de $3.100.000, la aseguradora solo reconoció la suma de $220.000. Sumando entre esos dos eventos la suma de $4.000.000. </w:t>
      </w:r>
    </w:p>
    <w:p w14:paraId="2F92E01D" w14:textId="77777777" w:rsidR="002069A2" w:rsidRPr="00F92E46" w:rsidRDefault="002069A2" w:rsidP="00F92E46">
      <w:pPr>
        <w:spacing w:line="276" w:lineRule="auto"/>
        <w:rPr>
          <w:rFonts w:ascii="Arial" w:eastAsia="Times New Roman" w:hAnsi="Arial" w:cs="Arial"/>
        </w:rPr>
      </w:pPr>
    </w:p>
    <w:p w14:paraId="643C63CA" w14:textId="77777777" w:rsidR="002069A2" w:rsidRDefault="002069A2" w:rsidP="00F92E46">
      <w:pPr>
        <w:pStyle w:val="Sinespaciado"/>
        <w:spacing w:line="276" w:lineRule="auto"/>
        <w:jc w:val="center"/>
        <w:rPr>
          <w:rStyle w:val="contentpasted1"/>
          <w:rFonts w:ascii="Arial" w:hAnsi="Arial" w:cs="Arial"/>
          <w:b/>
          <w:bCs/>
          <w:u w:val="single"/>
          <w:bdr w:val="none" w:sz="0" w:space="0" w:color="auto" w:frame="1"/>
          <w:shd w:val="clear" w:color="auto" w:fill="FFFFFF"/>
        </w:rPr>
      </w:pPr>
      <w:r w:rsidRPr="00F92E46">
        <w:rPr>
          <w:rStyle w:val="contentpasted1"/>
          <w:rFonts w:ascii="Arial" w:hAnsi="Arial" w:cs="Arial"/>
          <w:b/>
          <w:bCs/>
          <w:u w:val="single"/>
          <w:bdr w:val="none" w:sz="0" w:space="0" w:color="auto" w:frame="1"/>
          <w:shd w:val="clear" w:color="auto" w:fill="FFFFFF"/>
        </w:rPr>
        <w:t>PRETENSIONES</w:t>
      </w:r>
    </w:p>
    <w:p w14:paraId="088E65A4" w14:textId="77777777" w:rsidR="004F0A2E" w:rsidRPr="00F92E46" w:rsidRDefault="004F0A2E" w:rsidP="00F92E46">
      <w:pPr>
        <w:pStyle w:val="Sinespaciado"/>
        <w:spacing w:line="276" w:lineRule="auto"/>
        <w:jc w:val="center"/>
        <w:rPr>
          <w:rFonts w:ascii="Arial" w:hAnsi="Arial" w:cs="Arial"/>
          <w:u w:val="single"/>
        </w:rPr>
      </w:pPr>
    </w:p>
    <w:p w14:paraId="1DB7C43B" w14:textId="1DAD1984" w:rsidR="00CA4C43" w:rsidRPr="006F46E0" w:rsidRDefault="006F46E0" w:rsidP="006F46E0">
      <w:pPr>
        <w:pStyle w:val="Prrafodelista"/>
        <w:numPr>
          <w:ilvl w:val="0"/>
          <w:numId w:val="20"/>
        </w:numPr>
        <w:shd w:val="clear" w:color="auto" w:fill="FFFFFF"/>
        <w:spacing w:line="276" w:lineRule="auto"/>
        <w:ind w:left="426" w:hanging="426"/>
        <w:jc w:val="both"/>
        <w:rPr>
          <w:rFonts w:ascii="Arial" w:hAnsi="Arial" w:cs="Arial"/>
        </w:rPr>
      </w:pPr>
      <w:r w:rsidRPr="006F46E0">
        <w:rPr>
          <w:rFonts w:ascii="Arial" w:hAnsi="Arial" w:cs="Arial"/>
          <w:color w:val="000000"/>
        </w:rPr>
        <w:t xml:space="preserve">Que se obligue a BBVA seguros al pago </w:t>
      </w:r>
      <w:r w:rsidR="0099220E" w:rsidRPr="006F46E0">
        <w:rPr>
          <w:rFonts w:ascii="Arial" w:hAnsi="Arial" w:cs="Arial"/>
          <w:color w:val="000000"/>
        </w:rPr>
        <w:t xml:space="preserve">de </w:t>
      </w:r>
      <w:r w:rsidR="0099220E">
        <w:rPr>
          <w:rFonts w:ascii="Arial" w:hAnsi="Arial" w:cs="Arial"/>
          <w:color w:val="000000"/>
        </w:rPr>
        <w:t>$</w:t>
      </w:r>
      <w:r w:rsidRPr="006F46E0">
        <w:rPr>
          <w:rFonts w:ascii="Arial" w:hAnsi="Arial" w:cs="Arial"/>
          <w:color w:val="000000"/>
        </w:rPr>
        <w:t>2.880.000</w:t>
      </w:r>
      <w:r>
        <w:rPr>
          <w:rFonts w:ascii="Arial" w:hAnsi="Arial" w:cs="Arial"/>
          <w:color w:val="000000"/>
        </w:rPr>
        <w:t xml:space="preserve">, esto es, </w:t>
      </w:r>
      <w:r w:rsidRPr="006F46E0">
        <w:rPr>
          <w:rFonts w:ascii="Arial" w:hAnsi="Arial" w:cs="Arial"/>
          <w:color w:val="000000"/>
        </w:rPr>
        <w:t xml:space="preserve">la totalidad del faltante teniendo en cuenta que tienen estipulado </w:t>
      </w:r>
      <w:r w:rsidRPr="006F46E0">
        <w:rPr>
          <w:rFonts w:ascii="Arial" w:hAnsi="Arial" w:cs="Arial"/>
          <w:b/>
          <w:bCs/>
          <w:color w:val="000000"/>
        </w:rPr>
        <w:t>un límite agregado anual</w:t>
      </w:r>
      <w:r w:rsidRPr="006F46E0">
        <w:rPr>
          <w:rFonts w:ascii="Arial" w:hAnsi="Arial" w:cs="Arial"/>
          <w:color w:val="000000"/>
        </w:rPr>
        <w:t xml:space="preserve"> para el segundo evento</w:t>
      </w:r>
      <w:r>
        <w:rPr>
          <w:rFonts w:ascii="Arial" w:hAnsi="Arial" w:cs="Arial"/>
          <w:color w:val="000000"/>
        </w:rPr>
        <w:t>.</w:t>
      </w:r>
    </w:p>
    <w:p w14:paraId="2599DB5B" w14:textId="77777777" w:rsidR="00CA4C43" w:rsidRPr="00CA4C43" w:rsidRDefault="00CA4C43" w:rsidP="00CA4C43">
      <w:pPr>
        <w:shd w:val="clear" w:color="auto" w:fill="FFFFFF"/>
        <w:tabs>
          <w:tab w:val="num" w:pos="360"/>
        </w:tabs>
        <w:spacing w:line="276" w:lineRule="auto"/>
        <w:jc w:val="both"/>
        <w:rPr>
          <w:rFonts w:ascii="Arial" w:hAnsi="Arial" w:cs="Arial"/>
        </w:rPr>
      </w:pPr>
    </w:p>
    <w:p w14:paraId="35C94C78" w14:textId="77777777" w:rsidR="003915D6" w:rsidRPr="00F92E46" w:rsidRDefault="003915D6" w:rsidP="00707EAC">
      <w:pPr>
        <w:pStyle w:val="xmsonormal"/>
        <w:shd w:val="clear" w:color="auto" w:fill="FFFFFF"/>
        <w:spacing w:before="0" w:beforeAutospacing="0" w:after="0" w:afterAutospacing="0" w:line="276" w:lineRule="auto"/>
        <w:jc w:val="center"/>
        <w:rPr>
          <w:rFonts w:ascii="Arial" w:hAnsi="Arial" w:cs="Arial"/>
          <w:sz w:val="22"/>
          <w:szCs w:val="22"/>
          <w:u w:val="single"/>
        </w:rPr>
      </w:pPr>
      <w:r w:rsidRPr="00F92E46">
        <w:rPr>
          <w:rStyle w:val="xcontentpasted0"/>
          <w:rFonts w:ascii="Arial" w:hAnsi="Arial" w:cs="Arial"/>
          <w:b/>
          <w:bCs/>
          <w:sz w:val="22"/>
          <w:szCs w:val="22"/>
          <w:u w:val="single"/>
          <w:bdr w:val="none" w:sz="0" w:space="0" w:color="auto" w:frame="1"/>
        </w:rPr>
        <w:t>CALIFICACIÓN DE LA CONTINGENCIA</w:t>
      </w:r>
    </w:p>
    <w:p w14:paraId="06875F3B" w14:textId="77777777" w:rsidR="003915D6" w:rsidRPr="00F92E46" w:rsidRDefault="003915D6" w:rsidP="00707EAC">
      <w:pPr>
        <w:pStyle w:val="xmsonormal"/>
        <w:shd w:val="clear" w:color="auto" w:fill="FFFFFF"/>
        <w:spacing w:before="0" w:beforeAutospacing="0" w:after="0" w:afterAutospacing="0" w:line="276" w:lineRule="auto"/>
        <w:rPr>
          <w:rFonts w:ascii="Arial" w:hAnsi="Arial" w:cs="Arial"/>
          <w:sz w:val="22"/>
          <w:szCs w:val="22"/>
        </w:rPr>
      </w:pPr>
      <w:r w:rsidRPr="00F92E46">
        <w:rPr>
          <w:rFonts w:ascii="Arial" w:hAnsi="Arial" w:cs="Arial"/>
          <w:sz w:val="22"/>
          <w:szCs w:val="22"/>
        </w:rPr>
        <w:t> </w:t>
      </w:r>
    </w:p>
    <w:p w14:paraId="10631338" w14:textId="3CF497F1" w:rsidR="003B1532" w:rsidRDefault="003915D6" w:rsidP="00707EAC">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rPr>
      </w:pPr>
      <w:r w:rsidRPr="00F92E46">
        <w:rPr>
          <w:rStyle w:val="xcontentpasted0"/>
          <w:rFonts w:ascii="Arial" w:hAnsi="Arial" w:cs="Arial"/>
          <w:sz w:val="22"/>
          <w:szCs w:val="22"/>
          <w:bdr w:val="none" w:sz="0" w:space="0" w:color="auto" w:frame="1"/>
        </w:rPr>
        <w:t xml:space="preserve">La contingencia se califica como </w:t>
      </w:r>
      <w:r w:rsidR="003B1532">
        <w:rPr>
          <w:rStyle w:val="xcontentpasted0"/>
          <w:rFonts w:ascii="Arial" w:hAnsi="Arial" w:cs="Arial"/>
          <w:sz w:val="22"/>
          <w:szCs w:val="22"/>
          <w:bdr w:val="none" w:sz="0" w:space="0" w:color="auto" w:frame="1"/>
        </w:rPr>
        <w:t>EVENTUAL</w:t>
      </w:r>
      <w:r w:rsidR="00AE58A2" w:rsidRPr="00F92E46">
        <w:rPr>
          <w:rStyle w:val="xcontentpasted0"/>
          <w:rFonts w:ascii="Arial" w:hAnsi="Arial" w:cs="Arial"/>
          <w:sz w:val="22"/>
          <w:szCs w:val="22"/>
          <w:bdr w:val="none" w:sz="0" w:space="0" w:color="auto" w:frame="1"/>
        </w:rPr>
        <w:t xml:space="preserve"> </w:t>
      </w:r>
      <w:r w:rsidRPr="00F92E46">
        <w:rPr>
          <w:rStyle w:val="xcontentpasted0"/>
          <w:rFonts w:ascii="Arial" w:hAnsi="Arial" w:cs="Arial"/>
          <w:sz w:val="22"/>
          <w:szCs w:val="22"/>
          <w:bdr w:val="none" w:sz="0" w:space="0" w:color="auto" w:frame="1"/>
        </w:rPr>
        <w:t xml:space="preserve">toda vez </w:t>
      </w:r>
      <w:r w:rsidR="00C254F8" w:rsidRPr="00F92E46">
        <w:rPr>
          <w:rStyle w:val="xcontentpasted0"/>
          <w:rFonts w:ascii="Arial" w:hAnsi="Arial" w:cs="Arial"/>
          <w:sz w:val="22"/>
          <w:szCs w:val="22"/>
          <w:bdr w:val="none" w:sz="0" w:space="0" w:color="auto" w:frame="1"/>
        </w:rPr>
        <w:t>que,</w:t>
      </w:r>
      <w:r w:rsidR="006402AC" w:rsidRPr="00F92E46">
        <w:rPr>
          <w:rStyle w:val="xcontentpasted0"/>
          <w:rFonts w:ascii="Arial" w:hAnsi="Arial" w:cs="Arial"/>
          <w:sz w:val="22"/>
          <w:szCs w:val="22"/>
          <w:bdr w:val="none" w:sz="0" w:space="0" w:color="auto" w:frame="1"/>
        </w:rPr>
        <w:t xml:space="preserve"> </w:t>
      </w:r>
      <w:r w:rsidR="003B1532">
        <w:rPr>
          <w:rStyle w:val="xcontentpasted0"/>
          <w:rFonts w:ascii="Arial" w:hAnsi="Arial" w:cs="Arial"/>
          <w:sz w:val="22"/>
          <w:szCs w:val="22"/>
          <w:bdr w:val="none" w:sz="0" w:space="0" w:color="auto" w:frame="1"/>
        </w:rPr>
        <w:t xml:space="preserve">existe ambigüedad en la redacción de la carátula de la Póliza frente al límite de valor asegurado. </w:t>
      </w:r>
    </w:p>
    <w:p w14:paraId="4DFAEF41" w14:textId="77777777" w:rsidR="008102F5" w:rsidRPr="00F92E46" w:rsidRDefault="008102F5" w:rsidP="00707EAC">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rPr>
      </w:pPr>
    </w:p>
    <w:p w14:paraId="07A64763" w14:textId="5519142B" w:rsidR="00B66E1F" w:rsidRPr="00F92E46" w:rsidRDefault="00606CD2" w:rsidP="008102F5">
      <w:pPr>
        <w:pStyle w:val="xmsonormal"/>
        <w:shd w:val="clear" w:color="auto" w:fill="FFFFFF"/>
        <w:spacing w:before="0" w:beforeAutospacing="0" w:after="0" w:afterAutospacing="0" w:line="276" w:lineRule="auto"/>
        <w:jc w:val="both"/>
        <w:rPr>
          <w:rFonts w:ascii="Arial" w:hAnsi="Arial" w:cs="Arial"/>
          <w:sz w:val="22"/>
          <w:szCs w:val="22"/>
        </w:rPr>
      </w:pPr>
      <w:r w:rsidRPr="00F92E46">
        <w:rPr>
          <w:rStyle w:val="xcontentpasted0"/>
          <w:rFonts w:ascii="Arial" w:hAnsi="Arial" w:cs="Arial"/>
          <w:sz w:val="22"/>
          <w:szCs w:val="22"/>
          <w:bdr w:val="none" w:sz="0" w:space="0" w:color="auto" w:frame="1"/>
        </w:rPr>
        <w:t xml:space="preserve">Lo primero que debe </w:t>
      </w:r>
      <w:r w:rsidR="00237D1A" w:rsidRPr="00F92E46">
        <w:rPr>
          <w:rStyle w:val="xcontentpasted0"/>
          <w:rFonts w:ascii="Arial" w:hAnsi="Arial" w:cs="Arial"/>
          <w:sz w:val="22"/>
          <w:szCs w:val="22"/>
          <w:bdr w:val="none" w:sz="0" w:space="0" w:color="auto" w:frame="1"/>
        </w:rPr>
        <w:t>tomarse</w:t>
      </w:r>
      <w:r w:rsidRPr="00F92E46">
        <w:rPr>
          <w:rStyle w:val="xcontentpasted0"/>
          <w:rFonts w:ascii="Arial" w:hAnsi="Arial" w:cs="Arial"/>
          <w:sz w:val="22"/>
          <w:szCs w:val="22"/>
          <w:bdr w:val="none" w:sz="0" w:space="0" w:color="auto" w:frame="1"/>
        </w:rPr>
        <w:t xml:space="preserve"> en </w:t>
      </w:r>
      <w:r w:rsidR="00237D1A" w:rsidRPr="00F92E46">
        <w:rPr>
          <w:rStyle w:val="xcontentpasted0"/>
          <w:rFonts w:ascii="Arial" w:hAnsi="Arial" w:cs="Arial"/>
          <w:sz w:val="22"/>
          <w:szCs w:val="22"/>
          <w:bdr w:val="none" w:sz="0" w:space="0" w:color="auto" w:frame="1"/>
        </w:rPr>
        <w:t>consideración,</w:t>
      </w:r>
      <w:r w:rsidRPr="00F92E46">
        <w:rPr>
          <w:rStyle w:val="xcontentpasted0"/>
          <w:rFonts w:ascii="Arial" w:hAnsi="Arial" w:cs="Arial"/>
          <w:sz w:val="22"/>
          <w:szCs w:val="22"/>
          <w:bdr w:val="none" w:sz="0" w:space="0" w:color="auto" w:frame="1"/>
        </w:rPr>
        <w:t xml:space="preserve"> es que la </w:t>
      </w:r>
      <w:r w:rsidR="007C3611" w:rsidRPr="002C2D64">
        <w:rPr>
          <w:rFonts w:ascii="Arial" w:eastAsia="Arial" w:hAnsi="Arial" w:cs="Arial"/>
          <w:sz w:val="22"/>
          <w:szCs w:val="22"/>
        </w:rPr>
        <w:t>Póliza de Seguro Hurto Tarjetas Segura RED No. 00130858054891516911</w:t>
      </w:r>
      <w:r w:rsidR="007928DA">
        <w:rPr>
          <w:rFonts w:ascii="Arial" w:eastAsia="Times New Roman" w:hAnsi="Arial" w:cs="Arial"/>
          <w:color w:val="000000"/>
          <w:sz w:val="22"/>
          <w:szCs w:val="22"/>
          <w:bdr w:val="none" w:sz="0" w:space="0" w:color="auto" w:frame="1"/>
        </w:rPr>
        <w:t xml:space="preserve"> </w:t>
      </w:r>
      <w:r w:rsidRPr="00F92E46">
        <w:rPr>
          <w:rStyle w:val="xcontentpasted0"/>
          <w:rFonts w:ascii="Arial" w:hAnsi="Arial" w:cs="Arial"/>
          <w:sz w:val="22"/>
          <w:szCs w:val="22"/>
          <w:bdr w:val="none" w:sz="0" w:space="0" w:color="auto" w:frame="1"/>
        </w:rPr>
        <w:t xml:space="preserve">cuyo asegurado </w:t>
      </w:r>
      <w:r w:rsidR="00827457">
        <w:rPr>
          <w:rStyle w:val="xcontentpasted0"/>
          <w:rFonts w:ascii="Arial" w:hAnsi="Arial" w:cs="Arial"/>
          <w:sz w:val="22"/>
          <w:szCs w:val="22"/>
          <w:bdr w:val="none" w:sz="0" w:space="0" w:color="auto" w:frame="1"/>
        </w:rPr>
        <w:t>es</w:t>
      </w:r>
      <w:r w:rsidRPr="00F92E46">
        <w:rPr>
          <w:rStyle w:val="xcontentpasted0"/>
          <w:rFonts w:ascii="Arial" w:hAnsi="Arial" w:cs="Arial"/>
          <w:sz w:val="22"/>
          <w:szCs w:val="22"/>
          <w:bdr w:val="none" w:sz="0" w:space="0" w:color="auto" w:frame="1"/>
        </w:rPr>
        <w:t xml:space="preserve"> el señor </w:t>
      </w:r>
      <w:r w:rsidR="007C3611">
        <w:rPr>
          <w:rFonts w:ascii="Arial" w:eastAsia="Times New Roman" w:hAnsi="Arial" w:cs="Arial"/>
          <w:color w:val="000000"/>
          <w:sz w:val="22"/>
          <w:szCs w:val="22"/>
          <w:bdr w:val="none" w:sz="0" w:space="0" w:color="auto" w:frame="1"/>
        </w:rPr>
        <w:t>Daniel Llanos Duran</w:t>
      </w:r>
      <w:r w:rsidR="00237D1A" w:rsidRPr="00F92E46">
        <w:rPr>
          <w:rStyle w:val="xcontentpasted0"/>
          <w:rFonts w:ascii="Arial" w:hAnsi="Arial" w:cs="Arial"/>
          <w:sz w:val="22"/>
          <w:szCs w:val="22"/>
          <w:bdr w:val="none" w:sz="0" w:space="0" w:color="auto" w:frame="1"/>
        </w:rPr>
        <w:t xml:space="preserve">, presta cobertura material </w:t>
      </w:r>
      <w:r w:rsidR="00B66E1F" w:rsidRPr="00F92E46">
        <w:rPr>
          <w:rStyle w:val="xcontentpasted0"/>
          <w:rFonts w:ascii="Arial" w:hAnsi="Arial" w:cs="Arial"/>
          <w:sz w:val="22"/>
          <w:szCs w:val="22"/>
          <w:bdr w:val="none" w:sz="0" w:space="0" w:color="auto" w:frame="1"/>
        </w:rPr>
        <w:t xml:space="preserve">y </w:t>
      </w:r>
      <w:r w:rsidR="00237D1A" w:rsidRPr="00F92E46">
        <w:rPr>
          <w:rStyle w:val="xcontentpasted0"/>
          <w:rFonts w:ascii="Arial" w:hAnsi="Arial" w:cs="Arial"/>
          <w:sz w:val="22"/>
          <w:szCs w:val="22"/>
          <w:bdr w:val="none" w:sz="0" w:space="0" w:color="auto" w:frame="1"/>
        </w:rPr>
        <w:t xml:space="preserve">temporal para el hecho </w:t>
      </w:r>
      <w:r w:rsidR="00B66E1F" w:rsidRPr="00F92E46">
        <w:rPr>
          <w:rStyle w:val="xcontentpasted0"/>
          <w:rFonts w:ascii="Arial" w:hAnsi="Arial" w:cs="Arial"/>
          <w:sz w:val="22"/>
          <w:szCs w:val="22"/>
          <w:bdr w:val="none" w:sz="0" w:space="0" w:color="auto" w:frame="1"/>
        </w:rPr>
        <w:t>que da origen a</w:t>
      </w:r>
      <w:r w:rsidR="00237D1A" w:rsidRPr="00F92E46">
        <w:rPr>
          <w:rStyle w:val="xcontentpasted0"/>
          <w:rFonts w:ascii="Arial" w:hAnsi="Arial" w:cs="Arial"/>
          <w:sz w:val="22"/>
          <w:szCs w:val="22"/>
          <w:bdr w:val="none" w:sz="0" w:space="0" w:color="auto" w:frame="1"/>
        </w:rPr>
        <w:t xml:space="preserve"> este litigio. Frente a la cobertura material, debe señalarse </w:t>
      </w:r>
      <w:r w:rsidR="00237D1A" w:rsidRPr="00F92E46">
        <w:rPr>
          <w:rStyle w:val="xcontentpasted0"/>
          <w:rFonts w:ascii="Arial" w:hAnsi="Arial" w:cs="Arial"/>
          <w:sz w:val="22"/>
          <w:szCs w:val="22"/>
          <w:bdr w:val="none" w:sz="0" w:space="0" w:color="auto" w:frame="1"/>
          <w:shd w:val="clear" w:color="auto" w:fill="FFFFFF"/>
        </w:rPr>
        <w:t xml:space="preserve">que la póliza cuenta con un amparo de </w:t>
      </w:r>
      <w:r w:rsidR="007C3611" w:rsidRPr="002C2D64">
        <w:rPr>
          <w:rFonts w:ascii="Arial" w:hAnsi="Arial" w:cs="Arial"/>
          <w:i/>
          <w:iCs/>
          <w:sz w:val="22"/>
          <w:szCs w:val="22"/>
        </w:rPr>
        <w:t>Sustracción de Dineros Retirados en Cajeros Automáticos</w:t>
      </w:r>
      <w:r w:rsidR="00237D1A" w:rsidRPr="00F92E46">
        <w:rPr>
          <w:rStyle w:val="xcontentpasted0"/>
          <w:rFonts w:ascii="Arial" w:hAnsi="Arial" w:cs="Arial"/>
          <w:i/>
          <w:iCs/>
          <w:sz w:val="22"/>
          <w:szCs w:val="22"/>
          <w:bdr w:val="none" w:sz="0" w:space="0" w:color="auto" w:frame="1"/>
          <w:shd w:val="clear" w:color="auto" w:fill="FFFFFF"/>
        </w:rPr>
        <w:t xml:space="preserve">, </w:t>
      </w:r>
      <w:r w:rsidR="00B66E1F" w:rsidRPr="00F92E46">
        <w:rPr>
          <w:rStyle w:val="xcontentpasted0"/>
          <w:rFonts w:ascii="Arial" w:hAnsi="Arial" w:cs="Arial"/>
          <w:sz w:val="22"/>
          <w:szCs w:val="22"/>
          <w:bdr w:val="none" w:sz="0" w:space="0" w:color="auto" w:frame="1"/>
          <w:shd w:val="clear" w:color="auto" w:fill="FFFFFF"/>
        </w:rPr>
        <w:t xml:space="preserve">el cual </w:t>
      </w:r>
      <w:r w:rsidR="007C3611">
        <w:rPr>
          <w:rStyle w:val="xcontentpasted0"/>
          <w:rFonts w:ascii="Arial" w:hAnsi="Arial" w:cs="Arial"/>
          <w:sz w:val="22"/>
          <w:szCs w:val="22"/>
          <w:bdr w:val="none" w:sz="0" w:space="0" w:color="auto" w:frame="1"/>
          <w:shd w:val="clear" w:color="auto" w:fill="FFFFFF"/>
        </w:rPr>
        <w:t>incluso ya fue afectado</w:t>
      </w:r>
      <w:r w:rsidR="00237D1A" w:rsidRPr="00F92E46">
        <w:rPr>
          <w:rStyle w:val="xcontentpasted0"/>
          <w:rFonts w:ascii="Arial" w:hAnsi="Arial" w:cs="Arial"/>
          <w:sz w:val="22"/>
          <w:szCs w:val="22"/>
          <w:bdr w:val="none" w:sz="0" w:space="0" w:color="auto" w:frame="1"/>
          <w:shd w:val="clear" w:color="auto" w:fill="FFFFFF"/>
        </w:rPr>
        <w:t xml:space="preserve">. </w:t>
      </w:r>
      <w:r w:rsidR="00B66E1F" w:rsidRPr="00F92E46">
        <w:rPr>
          <w:rStyle w:val="xcontentpasted0"/>
          <w:rFonts w:ascii="Arial" w:hAnsi="Arial" w:cs="Arial"/>
          <w:sz w:val="22"/>
          <w:szCs w:val="22"/>
          <w:bdr w:val="none" w:sz="0" w:space="0" w:color="auto" w:frame="1"/>
          <w:shd w:val="clear" w:color="auto" w:fill="FFFFFF"/>
        </w:rPr>
        <w:t>F</w:t>
      </w:r>
      <w:r w:rsidR="00237D1A" w:rsidRPr="00F92E46">
        <w:rPr>
          <w:rStyle w:val="xcontentpasted0"/>
          <w:rFonts w:ascii="Arial" w:hAnsi="Arial" w:cs="Arial"/>
          <w:sz w:val="22"/>
          <w:szCs w:val="22"/>
          <w:bdr w:val="none" w:sz="0" w:space="0" w:color="auto" w:frame="1"/>
          <w:shd w:val="clear" w:color="auto" w:fill="FFFFFF"/>
        </w:rPr>
        <w:t>rente a la cobertura temporal debe advertirse</w:t>
      </w:r>
      <w:r w:rsidR="008102F5" w:rsidRPr="00F92E46">
        <w:rPr>
          <w:rStyle w:val="xcontentpasted0"/>
          <w:rFonts w:ascii="Arial" w:hAnsi="Arial" w:cs="Arial"/>
          <w:sz w:val="22"/>
          <w:szCs w:val="22"/>
          <w:bdr w:val="none" w:sz="0" w:space="0" w:color="auto" w:frame="1"/>
          <w:shd w:val="clear" w:color="auto" w:fill="FFFFFF"/>
        </w:rPr>
        <w:t xml:space="preserve"> que la</w:t>
      </w:r>
      <w:r w:rsidR="008102F5" w:rsidRPr="00F92E46">
        <w:rPr>
          <w:rFonts w:ascii="Arial" w:hAnsi="Arial" w:cs="Arial"/>
          <w:sz w:val="22"/>
          <w:szCs w:val="22"/>
        </w:rPr>
        <w:t xml:space="preserve"> póliza </w:t>
      </w:r>
      <w:r w:rsidR="007928DA">
        <w:rPr>
          <w:rFonts w:ascii="Arial" w:hAnsi="Arial" w:cs="Arial"/>
          <w:sz w:val="22"/>
          <w:szCs w:val="22"/>
        </w:rPr>
        <w:t xml:space="preserve">fue formalizada el </w:t>
      </w:r>
      <w:r w:rsidR="007C3611">
        <w:rPr>
          <w:rFonts w:ascii="Arial" w:hAnsi="Arial" w:cs="Arial"/>
          <w:sz w:val="22"/>
          <w:szCs w:val="22"/>
        </w:rPr>
        <w:t>20 de noviembre de 2023</w:t>
      </w:r>
      <w:r w:rsidR="007928DA">
        <w:rPr>
          <w:rFonts w:ascii="Arial" w:hAnsi="Arial" w:cs="Arial"/>
          <w:sz w:val="22"/>
          <w:szCs w:val="22"/>
        </w:rPr>
        <w:t xml:space="preserve"> y se encuentra vigente a la fecha</w:t>
      </w:r>
      <w:r w:rsidR="005E7F62">
        <w:rPr>
          <w:rFonts w:ascii="Arial" w:hAnsi="Arial" w:cs="Arial"/>
          <w:sz w:val="22"/>
          <w:szCs w:val="22"/>
        </w:rPr>
        <w:t xml:space="preserve">. Teniendo en cuenta </w:t>
      </w:r>
      <w:r w:rsidR="008102F5" w:rsidRPr="00F92E46">
        <w:rPr>
          <w:rFonts w:ascii="Arial" w:hAnsi="Arial" w:cs="Arial"/>
          <w:sz w:val="22"/>
          <w:szCs w:val="22"/>
        </w:rPr>
        <w:t xml:space="preserve">que, </w:t>
      </w:r>
      <w:r w:rsidR="007C3611">
        <w:rPr>
          <w:rFonts w:ascii="Arial" w:hAnsi="Arial" w:cs="Arial"/>
          <w:sz w:val="22"/>
          <w:szCs w:val="22"/>
        </w:rPr>
        <w:t>el primer evento por hurto ocurrido con posterioridad al retiro de dinero por cajero automático acaeció el 12 diciembre de 2023 (corroborado con denuncia penal) y el segundo evento por la misma modalidad de hurto para el 25 de abril de 2024</w:t>
      </w:r>
      <w:r w:rsidR="00A86483">
        <w:rPr>
          <w:rFonts w:ascii="Arial" w:hAnsi="Arial" w:cs="Arial"/>
          <w:sz w:val="22"/>
          <w:szCs w:val="22"/>
        </w:rPr>
        <w:t>, del cual, si bien no se tiene soporte de denuncia, fue reconocido por la aseguradora</w:t>
      </w:r>
      <w:r w:rsidR="005E7F62">
        <w:rPr>
          <w:rFonts w:ascii="Arial" w:hAnsi="Arial" w:cs="Arial"/>
          <w:sz w:val="22"/>
          <w:szCs w:val="22"/>
        </w:rPr>
        <w:t xml:space="preserve">, </w:t>
      </w:r>
      <w:r w:rsidR="00B66E1F" w:rsidRPr="00F92E46">
        <w:rPr>
          <w:rFonts w:ascii="Arial" w:hAnsi="Arial" w:cs="Arial"/>
          <w:sz w:val="22"/>
          <w:szCs w:val="22"/>
        </w:rPr>
        <w:t xml:space="preserve">el riesgo asegurado ocurrió dentro de la vigencia del seguro. </w:t>
      </w:r>
      <w:r w:rsidR="008102F5" w:rsidRPr="00F92E46">
        <w:rPr>
          <w:rFonts w:ascii="Arial" w:hAnsi="Arial" w:cs="Arial"/>
          <w:sz w:val="22"/>
          <w:szCs w:val="22"/>
        </w:rPr>
        <w:t xml:space="preserve"> </w:t>
      </w:r>
    </w:p>
    <w:p w14:paraId="72A154BC" w14:textId="3AF1F6A7" w:rsidR="002D7792" w:rsidRDefault="005A6203" w:rsidP="00542691">
      <w:pPr>
        <w:pStyle w:val="xmsonormal"/>
        <w:shd w:val="clear" w:color="auto" w:fill="FFFFFF"/>
        <w:spacing w:line="276" w:lineRule="auto"/>
        <w:jc w:val="both"/>
        <w:rPr>
          <w:rFonts w:ascii="Arial" w:hAnsi="Arial" w:cs="Arial"/>
          <w:sz w:val="22"/>
          <w:szCs w:val="22"/>
        </w:rPr>
      </w:pPr>
      <w:r>
        <w:rPr>
          <w:rFonts w:ascii="Arial" w:hAnsi="Arial" w:cs="Arial"/>
          <w:sz w:val="22"/>
          <w:szCs w:val="22"/>
        </w:rPr>
        <w:t xml:space="preserve">Por otro lado, respecto a la obligación de la compañía aseguradora, </w:t>
      </w:r>
      <w:r w:rsidR="00827457">
        <w:rPr>
          <w:rFonts w:ascii="Arial" w:hAnsi="Arial" w:cs="Arial"/>
          <w:sz w:val="22"/>
          <w:szCs w:val="22"/>
        </w:rPr>
        <w:t>debe advertirse</w:t>
      </w:r>
      <w:r>
        <w:rPr>
          <w:rFonts w:ascii="Arial" w:hAnsi="Arial" w:cs="Arial"/>
          <w:sz w:val="22"/>
          <w:szCs w:val="22"/>
        </w:rPr>
        <w:t xml:space="preserve"> qu</w:t>
      </w:r>
      <w:r w:rsidR="008942F9">
        <w:rPr>
          <w:rFonts w:ascii="Arial" w:hAnsi="Arial" w:cs="Arial"/>
          <w:sz w:val="22"/>
          <w:szCs w:val="22"/>
        </w:rPr>
        <w:t xml:space="preserve">e el señor Daniel Llanos Duran ya afectó en su totalidad, en primer y segundo evento, el valor límite asegurado respecto del </w:t>
      </w:r>
      <w:r w:rsidR="008942F9" w:rsidRPr="00F92E46">
        <w:rPr>
          <w:rStyle w:val="xcontentpasted0"/>
          <w:rFonts w:ascii="Arial" w:hAnsi="Arial" w:cs="Arial"/>
          <w:sz w:val="22"/>
          <w:szCs w:val="22"/>
          <w:bdr w:val="none" w:sz="0" w:space="0" w:color="auto" w:frame="1"/>
          <w:shd w:val="clear" w:color="auto" w:fill="FFFFFF"/>
        </w:rPr>
        <w:t xml:space="preserve">amparo de </w:t>
      </w:r>
      <w:r w:rsidR="008942F9">
        <w:rPr>
          <w:rStyle w:val="xcontentpasted0"/>
          <w:rFonts w:ascii="Arial" w:hAnsi="Arial" w:cs="Arial"/>
          <w:sz w:val="22"/>
          <w:szCs w:val="22"/>
          <w:bdr w:val="none" w:sz="0" w:space="0" w:color="auto" w:frame="1"/>
          <w:shd w:val="clear" w:color="auto" w:fill="FFFFFF"/>
        </w:rPr>
        <w:t>“</w:t>
      </w:r>
      <w:r w:rsidR="008942F9" w:rsidRPr="002C2D64">
        <w:rPr>
          <w:rFonts w:ascii="Arial" w:hAnsi="Arial" w:cs="Arial"/>
          <w:i/>
          <w:iCs/>
          <w:sz w:val="22"/>
          <w:szCs w:val="22"/>
        </w:rPr>
        <w:t>Sustracción de Dineros Retirados en Cajeros Automáticos</w:t>
      </w:r>
      <w:r w:rsidR="008942F9">
        <w:rPr>
          <w:rFonts w:ascii="Arial" w:hAnsi="Arial" w:cs="Arial"/>
          <w:sz w:val="22"/>
          <w:szCs w:val="22"/>
        </w:rPr>
        <w:t xml:space="preserve">” de la </w:t>
      </w:r>
      <w:r w:rsidR="008942F9" w:rsidRPr="002C2D64">
        <w:rPr>
          <w:rFonts w:ascii="Arial" w:eastAsia="Arial" w:hAnsi="Arial" w:cs="Arial"/>
          <w:sz w:val="22"/>
          <w:szCs w:val="22"/>
        </w:rPr>
        <w:t>Póliza de Seguro Hurto Tarjetas Segura RED No. 00130858054891516911</w:t>
      </w:r>
      <w:r w:rsidR="00DB0DFF">
        <w:rPr>
          <w:rFonts w:ascii="Arial" w:eastAsia="Arial" w:hAnsi="Arial" w:cs="Arial"/>
          <w:sz w:val="22"/>
          <w:szCs w:val="22"/>
        </w:rPr>
        <w:t xml:space="preserve">. </w:t>
      </w:r>
      <w:r w:rsidR="00C76CA9">
        <w:rPr>
          <w:rFonts w:ascii="Arial" w:eastAsia="Arial" w:hAnsi="Arial" w:cs="Arial"/>
          <w:sz w:val="22"/>
          <w:szCs w:val="22"/>
        </w:rPr>
        <w:t>Conforme a ello, la</w:t>
      </w:r>
      <w:r w:rsidR="00DB0DFF">
        <w:rPr>
          <w:rFonts w:ascii="Arial" w:eastAsia="Arial" w:hAnsi="Arial" w:cs="Arial"/>
          <w:sz w:val="22"/>
          <w:szCs w:val="22"/>
        </w:rPr>
        <w:t xml:space="preserve"> compañía no tendría qué </w:t>
      </w:r>
      <w:r w:rsidR="00827457">
        <w:rPr>
          <w:rFonts w:ascii="Arial" w:eastAsia="Arial" w:hAnsi="Arial" w:cs="Arial"/>
          <w:sz w:val="22"/>
          <w:szCs w:val="22"/>
        </w:rPr>
        <w:t>reconocer un mayor valor al ya reconocido por este último evento del 25 de abril de 2024</w:t>
      </w:r>
      <w:r w:rsidR="00C76CA9">
        <w:rPr>
          <w:rFonts w:ascii="Arial" w:eastAsia="Arial" w:hAnsi="Arial" w:cs="Arial"/>
          <w:sz w:val="22"/>
          <w:szCs w:val="22"/>
        </w:rPr>
        <w:t xml:space="preserve">. </w:t>
      </w:r>
      <w:r w:rsidR="00356AF5">
        <w:rPr>
          <w:rFonts w:ascii="Arial" w:eastAsia="Arial" w:hAnsi="Arial" w:cs="Arial"/>
          <w:sz w:val="22"/>
          <w:szCs w:val="22"/>
        </w:rPr>
        <w:t xml:space="preserve">Al respecto debe tenerse en cuenta que la primera afectación del amparo de </w:t>
      </w:r>
      <w:r w:rsidR="00356AF5">
        <w:rPr>
          <w:rStyle w:val="xcontentpasted0"/>
          <w:rFonts w:ascii="Arial" w:hAnsi="Arial" w:cs="Arial"/>
          <w:sz w:val="22"/>
          <w:szCs w:val="22"/>
          <w:bdr w:val="none" w:sz="0" w:space="0" w:color="auto" w:frame="1"/>
          <w:shd w:val="clear" w:color="auto" w:fill="FFFFFF"/>
        </w:rPr>
        <w:t>“</w:t>
      </w:r>
      <w:r w:rsidR="00356AF5" w:rsidRPr="002C2D64">
        <w:rPr>
          <w:rFonts w:ascii="Arial" w:hAnsi="Arial" w:cs="Arial"/>
          <w:i/>
          <w:iCs/>
          <w:sz w:val="22"/>
          <w:szCs w:val="22"/>
        </w:rPr>
        <w:t>Sustracción de Dineros Retirados en Cajeros Automáticos</w:t>
      </w:r>
      <w:r w:rsidR="00356AF5">
        <w:rPr>
          <w:rFonts w:ascii="Arial" w:hAnsi="Arial" w:cs="Arial"/>
          <w:sz w:val="22"/>
          <w:szCs w:val="22"/>
        </w:rPr>
        <w:t xml:space="preserve">” por un evento de hurto, se presentó el 12 de diciembre de 2023, evento frente al cual la aseguradora reconoció la suma de $3.780.000 (valor reclamado por el demandante como hurtado), al cual se le aplicó un deducible de un 5% según lo establecido en la Póliza, realizando un pago final $3.580.000 el día 8 de febrero de 2024. Posteriormente se presentó un segundo evento de hurto, el 25 de abril de 2024 frente al cual el demandante nuevamente presentó reclamación por el amparo de </w:t>
      </w:r>
      <w:r w:rsidR="00356AF5">
        <w:rPr>
          <w:rStyle w:val="xcontentpasted0"/>
          <w:rFonts w:ascii="Arial" w:hAnsi="Arial" w:cs="Arial"/>
          <w:sz w:val="22"/>
          <w:szCs w:val="22"/>
          <w:bdr w:val="none" w:sz="0" w:space="0" w:color="auto" w:frame="1"/>
          <w:shd w:val="clear" w:color="auto" w:fill="FFFFFF"/>
        </w:rPr>
        <w:t>“</w:t>
      </w:r>
      <w:r w:rsidR="00356AF5" w:rsidRPr="002C2D64">
        <w:rPr>
          <w:rFonts w:ascii="Arial" w:hAnsi="Arial" w:cs="Arial"/>
          <w:i/>
          <w:iCs/>
          <w:sz w:val="22"/>
          <w:szCs w:val="22"/>
        </w:rPr>
        <w:t>Sustracción de Dineros Retirados en Cajeros Automáticos</w:t>
      </w:r>
      <w:r w:rsidR="00356AF5">
        <w:rPr>
          <w:rFonts w:ascii="Arial" w:hAnsi="Arial" w:cs="Arial"/>
          <w:sz w:val="22"/>
          <w:szCs w:val="22"/>
        </w:rPr>
        <w:t>” en el cual se le reconoció por parte de la aseguradora la suma de $220.000 (saldo del valor asegurado) al que también se le aplicó el deducible del 5%, resultando en un pago de $20.000 agotándose la suma asegurada por este amparo.</w:t>
      </w:r>
      <w:r w:rsidR="003B1532">
        <w:rPr>
          <w:rFonts w:ascii="Arial" w:hAnsi="Arial" w:cs="Arial"/>
          <w:sz w:val="22"/>
          <w:szCs w:val="22"/>
        </w:rPr>
        <w:t xml:space="preserve"> </w:t>
      </w:r>
    </w:p>
    <w:p w14:paraId="48E0841A" w14:textId="0C23289A" w:rsidR="003B1532" w:rsidRPr="00F92E46" w:rsidRDefault="003B1532" w:rsidP="00542691">
      <w:pPr>
        <w:pStyle w:val="xmsonormal"/>
        <w:shd w:val="clear" w:color="auto" w:fill="FFFFFF"/>
        <w:spacing w:line="276" w:lineRule="auto"/>
        <w:jc w:val="both"/>
        <w:rPr>
          <w:rFonts w:ascii="Arial" w:hAnsi="Arial" w:cs="Arial"/>
          <w:sz w:val="22"/>
          <w:szCs w:val="22"/>
        </w:rPr>
      </w:pPr>
      <w:r>
        <w:rPr>
          <w:rFonts w:ascii="Arial" w:hAnsi="Arial" w:cs="Arial"/>
          <w:sz w:val="22"/>
          <w:szCs w:val="22"/>
        </w:rPr>
        <w:t xml:space="preserve">Sin perjuicio de todo lo expuesto, la contingencia de califica como eventual, dado que existe una ambigüedad en el texto literal de la Póliza específicamente en el apartado denominado “Por el segundo evento” en donde se menciona que para la cobertura de uso indebido de la tarjeta se tiene como límite máximo de la indemnización “hasta el excedente del 100% del valor asegurado de la cobertura afectada, máximo hasta el límite agregado anual”. Como se observa, la expresión “excedente” puede </w:t>
      </w:r>
      <w:r w:rsidR="00EB7D39">
        <w:rPr>
          <w:rFonts w:ascii="Arial" w:hAnsi="Arial" w:cs="Arial"/>
          <w:sz w:val="22"/>
          <w:szCs w:val="22"/>
        </w:rPr>
        <w:t xml:space="preserve">ser </w:t>
      </w:r>
      <w:r>
        <w:rPr>
          <w:rFonts w:ascii="Arial" w:hAnsi="Arial" w:cs="Arial"/>
          <w:sz w:val="22"/>
          <w:szCs w:val="22"/>
        </w:rPr>
        <w:t>entendida como “l</w:t>
      </w:r>
      <w:r w:rsidRPr="003B1532">
        <w:rPr>
          <w:rFonts w:ascii="Arial" w:hAnsi="Arial" w:cs="Arial"/>
          <w:i/>
          <w:iCs/>
          <w:sz w:val="22"/>
          <w:szCs w:val="22"/>
        </w:rPr>
        <w:t>o que excede de</w:t>
      </w:r>
      <w:r>
        <w:rPr>
          <w:rFonts w:ascii="Arial" w:hAnsi="Arial" w:cs="Arial"/>
          <w:sz w:val="22"/>
          <w:szCs w:val="22"/>
        </w:rPr>
        <w:t xml:space="preserve">” o como </w:t>
      </w:r>
      <w:r w:rsidRPr="003B1532">
        <w:rPr>
          <w:rFonts w:ascii="Arial" w:hAnsi="Arial" w:cs="Arial"/>
          <w:i/>
          <w:iCs/>
          <w:sz w:val="22"/>
          <w:szCs w:val="22"/>
        </w:rPr>
        <w:t>“el remanente de”</w:t>
      </w:r>
      <w:r>
        <w:rPr>
          <w:rFonts w:ascii="Arial" w:hAnsi="Arial" w:cs="Arial"/>
          <w:i/>
          <w:iCs/>
          <w:sz w:val="22"/>
          <w:szCs w:val="22"/>
        </w:rPr>
        <w:t xml:space="preserve">, </w:t>
      </w:r>
      <w:r>
        <w:rPr>
          <w:rFonts w:ascii="Arial" w:hAnsi="Arial" w:cs="Arial"/>
          <w:sz w:val="22"/>
          <w:szCs w:val="22"/>
        </w:rPr>
        <w:t xml:space="preserve">esto quiere decir, que la Delegatura podría interpretar la expresión mencionada como un exceso del 100% del valor asegurado para la cobertura del </w:t>
      </w:r>
      <w:r>
        <w:rPr>
          <w:rFonts w:ascii="Arial" w:hAnsi="Arial" w:cs="Arial"/>
          <w:sz w:val="22"/>
          <w:szCs w:val="22"/>
        </w:rPr>
        <w:lastRenderedPageBreak/>
        <w:t xml:space="preserve">segundo evento. Por lo </w:t>
      </w:r>
      <w:r w:rsidR="008115DA">
        <w:rPr>
          <w:rFonts w:ascii="Arial" w:hAnsi="Arial" w:cs="Arial"/>
          <w:sz w:val="22"/>
          <w:szCs w:val="22"/>
        </w:rPr>
        <w:t>tanto,</w:t>
      </w:r>
      <w:r>
        <w:rPr>
          <w:rFonts w:ascii="Arial" w:hAnsi="Arial" w:cs="Arial"/>
          <w:sz w:val="22"/>
          <w:szCs w:val="22"/>
        </w:rPr>
        <w:t xml:space="preserve"> dependerá del criterio del delegado adoptar una u otra postura frente al límite del valor asegurado. </w:t>
      </w:r>
    </w:p>
    <w:p w14:paraId="2EAF3985" w14:textId="77777777" w:rsidR="002D7792" w:rsidRPr="00F92E46" w:rsidRDefault="002D7792" w:rsidP="002D7792">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shd w:val="clear" w:color="auto" w:fill="FFFFFF"/>
        </w:rPr>
      </w:pPr>
      <w:r w:rsidRPr="00F92E46">
        <w:rPr>
          <w:rStyle w:val="xcontentpasted0"/>
          <w:rFonts w:ascii="Arial" w:hAnsi="Arial" w:cs="Arial"/>
          <w:sz w:val="22"/>
          <w:szCs w:val="22"/>
          <w:bdr w:val="none" w:sz="0" w:space="0" w:color="auto" w:frame="1"/>
          <w:shd w:val="clear" w:color="auto" w:fill="FFFFFF"/>
        </w:rPr>
        <w:t>Lo anterior sin perjuicio del carácter contingente del proceso.</w:t>
      </w:r>
    </w:p>
    <w:p w14:paraId="3708EDE8" w14:textId="77777777" w:rsidR="002D7792" w:rsidRPr="00F92E46" w:rsidRDefault="002D7792" w:rsidP="008102F5">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shd w:val="clear" w:color="auto" w:fill="FFFFFF"/>
        </w:rPr>
      </w:pPr>
    </w:p>
    <w:p w14:paraId="45D84036" w14:textId="74369E99" w:rsidR="003915D6" w:rsidRPr="00F92E46" w:rsidRDefault="003915D6" w:rsidP="00707EAC">
      <w:pPr>
        <w:pStyle w:val="xmsonormal"/>
        <w:shd w:val="clear" w:color="auto" w:fill="FFFFFF"/>
        <w:spacing w:before="0" w:beforeAutospacing="0" w:after="0" w:afterAutospacing="0" w:line="276" w:lineRule="auto"/>
        <w:jc w:val="both"/>
        <w:rPr>
          <w:rFonts w:ascii="Arial" w:hAnsi="Arial" w:cs="Arial"/>
          <w:sz w:val="22"/>
          <w:szCs w:val="22"/>
          <w:bdr w:val="none" w:sz="0" w:space="0" w:color="auto" w:frame="1"/>
        </w:rPr>
      </w:pPr>
    </w:p>
    <w:p w14:paraId="142438E1" w14:textId="77777777" w:rsidR="003915D6" w:rsidRPr="00F92E46" w:rsidRDefault="003915D6" w:rsidP="00707EAC">
      <w:pPr>
        <w:pStyle w:val="xmsonormal"/>
        <w:shd w:val="clear" w:color="auto" w:fill="FFFFFF"/>
        <w:spacing w:before="0" w:beforeAutospacing="0" w:after="0" w:afterAutospacing="0" w:line="276" w:lineRule="auto"/>
        <w:jc w:val="center"/>
        <w:rPr>
          <w:rFonts w:ascii="Arial" w:hAnsi="Arial" w:cs="Arial"/>
          <w:sz w:val="22"/>
          <w:szCs w:val="22"/>
          <w:u w:val="single"/>
        </w:rPr>
      </w:pPr>
      <w:r w:rsidRPr="00F92E46">
        <w:rPr>
          <w:rStyle w:val="xcontentpasted0"/>
          <w:rFonts w:ascii="Arial" w:hAnsi="Arial" w:cs="Arial"/>
          <w:b/>
          <w:bCs/>
          <w:sz w:val="22"/>
          <w:szCs w:val="22"/>
          <w:u w:val="single"/>
          <w:bdr w:val="none" w:sz="0" w:space="0" w:color="auto" w:frame="1"/>
        </w:rPr>
        <w:t>LIQUIDACIÓN OBJETIVA DE LAS PRETENSIONES</w:t>
      </w:r>
    </w:p>
    <w:p w14:paraId="4CA6BA5F" w14:textId="77777777" w:rsidR="003915D6" w:rsidRPr="00F92E46" w:rsidRDefault="003915D6" w:rsidP="00707EAC">
      <w:pPr>
        <w:pStyle w:val="xmsonormal"/>
        <w:shd w:val="clear" w:color="auto" w:fill="FFFFFF"/>
        <w:spacing w:before="0" w:beforeAutospacing="0" w:after="0" w:afterAutospacing="0" w:line="276" w:lineRule="auto"/>
        <w:jc w:val="both"/>
        <w:rPr>
          <w:rFonts w:ascii="Arial" w:hAnsi="Arial" w:cs="Arial"/>
          <w:sz w:val="22"/>
          <w:szCs w:val="22"/>
        </w:rPr>
      </w:pPr>
      <w:r w:rsidRPr="00F92E46">
        <w:rPr>
          <w:rFonts w:ascii="Arial" w:hAnsi="Arial" w:cs="Arial"/>
          <w:b/>
          <w:bCs/>
          <w:sz w:val="22"/>
          <w:szCs w:val="22"/>
          <w:bdr w:val="none" w:sz="0" w:space="0" w:color="auto" w:frame="1"/>
        </w:rPr>
        <w:t> </w:t>
      </w:r>
    </w:p>
    <w:p w14:paraId="6B55B544" w14:textId="4C03FEC9" w:rsidR="00010F94" w:rsidRPr="00F92E46" w:rsidRDefault="005724D5" w:rsidP="00707EAC">
      <w:pPr>
        <w:pStyle w:val="xmsonormal"/>
        <w:shd w:val="clear" w:color="auto" w:fill="FFFFFF"/>
        <w:spacing w:before="0" w:beforeAutospacing="0" w:after="0" w:afterAutospacing="0" w:line="276" w:lineRule="auto"/>
        <w:jc w:val="both"/>
        <w:rPr>
          <w:rStyle w:val="xcontentpasted0"/>
          <w:rFonts w:ascii="Arial" w:hAnsi="Arial" w:cs="Arial"/>
          <w:sz w:val="22"/>
          <w:szCs w:val="22"/>
        </w:rPr>
      </w:pPr>
      <w:r w:rsidRPr="00F92E46">
        <w:rPr>
          <w:rStyle w:val="xcontentpasted0"/>
          <w:rFonts w:ascii="Arial" w:hAnsi="Arial" w:cs="Arial"/>
          <w:sz w:val="22"/>
          <w:szCs w:val="22"/>
        </w:rPr>
        <w:t>L</w:t>
      </w:r>
      <w:r w:rsidR="003915D6" w:rsidRPr="00F92E46">
        <w:rPr>
          <w:rStyle w:val="xcontentpasted0"/>
          <w:rFonts w:ascii="Arial" w:hAnsi="Arial" w:cs="Arial"/>
          <w:sz w:val="22"/>
          <w:szCs w:val="22"/>
        </w:rPr>
        <w:t xml:space="preserve">a liquidación objetiva de las pretensiones </w:t>
      </w:r>
      <w:r w:rsidRPr="00F92E46">
        <w:rPr>
          <w:rStyle w:val="xcontentpasted0"/>
          <w:rFonts w:ascii="Arial" w:hAnsi="Arial" w:cs="Arial"/>
          <w:sz w:val="22"/>
          <w:szCs w:val="22"/>
        </w:rPr>
        <w:t>se estima en la</w:t>
      </w:r>
      <w:r w:rsidR="003915D6" w:rsidRPr="00F92E46">
        <w:rPr>
          <w:rStyle w:val="xcontentpasted0"/>
          <w:rFonts w:ascii="Arial" w:hAnsi="Arial" w:cs="Arial"/>
          <w:sz w:val="22"/>
          <w:szCs w:val="22"/>
        </w:rPr>
        <w:t xml:space="preserve"> suma </w:t>
      </w:r>
      <w:r w:rsidR="003915D6" w:rsidRPr="009558C8">
        <w:rPr>
          <w:rStyle w:val="xcontentpasted0"/>
          <w:rFonts w:ascii="Arial" w:hAnsi="Arial" w:cs="Arial"/>
          <w:sz w:val="22"/>
          <w:szCs w:val="22"/>
        </w:rPr>
        <w:t>de </w:t>
      </w:r>
      <w:r w:rsidRPr="009558C8">
        <w:rPr>
          <w:rStyle w:val="xcontentpasted0"/>
          <w:rFonts w:ascii="Arial" w:hAnsi="Arial" w:cs="Arial"/>
          <w:b/>
          <w:bCs/>
          <w:sz w:val="22"/>
          <w:szCs w:val="22"/>
          <w:u w:val="single"/>
        </w:rPr>
        <w:t>$</w:t>
      </w:r>
      <w:r w:rsidR="009558C8" w:rsidRPr="009558C8">
        <w:rPr>
          <w:rStyle w:val="xcontentpasted0"/>
          <w:rFonts w:ascii="Arial" w:hAnsi="Arial" w:cs="Arial"/>
          <w:b/>
          <w:bCs/>
          <w:sz w:val="22"/>
          <w:szCs w:val="22"/>
          <w:u w:val="single"/>
        </w:rPr>
        <w:t>1.030.474.</w:t>
      </w:r>
      <w:r w:rsidR="003915D6" w:rsidRPr="00F92E46">
        <w:rPr>
          <w:rStyle w:val="xcontentpasted0"/>
          <w:rFonts w:ascii="Arial" w:hAnsi="Arial" w:cs="Arial"/>
          <w:sz w:val="22"/>
          <w:szCs w:val="22"/>
        </w:rPr>
        <w:t xml:space="preserve">, lo anterior teniendo </w:t>
      </w:r>
      <w:r w:rsidR="007E6A0D" w:rsidRPr="00F92E46">
        <w:rPr>
          <w:rStyle w:val="xcontentpasted0"/>
          <w:rFonts w:ascii="Arial" w:hAnsi="Arial" w:cs="Arial"/>
          <w:sz w:val="22"/>
          <w:szCs w:val="22"/>
        </w:rPr>
        <w:t>en cuenta</w:t>
      </w:r>
      <w:r w:rsidR="009616F7" w:rsidRPr="00F92E46">
        <w:rPr>
          <w:rStyle w:val="xcontentpasted0"/>
          <w:rFonts w:ascii="Arial" w:hAnsi="Arial" w:cs="Arial"/>
          <w:sz w:val="22"/>
          <w:szCs w:val="22"/>
        </w:rPr>
        <w:t xml:space="preserve"> lo</w:t>
      </w:r>
      <w:r w:rsidR="007E6A0D" w:rsidRPr="00F92E46">
        <w:rPr>
          <w:rStyle w:val="xcontentpasted0"/>
          <w:rFonts w:ascii="Arial" w:hAnsi="Arial" w:cs="Arial"/>
          <w:sz w:val="22"/>
          <w:szCs w:val="22"/>
        </w:rPr>
        <w:t xml:space="preserve"> </w:t>
      </w:r>
      <w:r w:rsidR="00010F94" w:rsidRPr="00F92E46">
        <w:rPr>
          <w:rStyle w:val="xcontentpasted0"/>
          <w:rFonts w:ascii="Arial" w:hAnsi="Arial" w:cs="Arial"/>
          <w:sz w:val="22"/>
          <w:szCs w:val="22"/>
        </w:rPr>
        <w:t>siguiente:</w:t>
      </w:r>
    </w:p>
    <w:p w14:paraId="6428E41E" w14:textId="14C5DE5B" w:rsidR="002628F9" w:rsidRDefault="002628F9" w:rsidP="002628F9">
      <w:pPr>
        <w:spacing w:before="100" w:beforeAutospacing="1" w:after="100" w:afterAutospacing="1" w:line="276" w:lineRule="auto"/>
        <w:jc w:val="both"/>
        <w:rPr>
          <w:rFonts w:ascii="Arial" w:hAnsi="Arial" w:cs="Arial"/>
        </w:rPr>
      </w:pPr>
      <w:r>
        <w:rPr>
          <w:rStyle w:val="xcontentpasted0"/>
          <w:rFonts w:ascii="Arial" w:hAnsi="Arial" w:cs="Arial"/>
          <w:b/>
          <w:bCs/>
        </w:rPr>
        <w:t xml:space="preserve">1. </w:t>
      </w:r>
      <w:r w:rsidRPr="00F771AA">
        <w:rPr>
          <w:rStyle w:val="xcontentpasted0"/>
          <w:rFonts w:ascii="Arial" w:hAnsi="Arial" w:cs="Arial"/>
          <w:b/>
          <w:bCs/>
        </w:rPr>
        <w:t>Valor asegurado:</w:t>
      </w:r>
      <w:r w:rsidRPr="00F771AA">
        <w:rPr>
          <w:rStyle w:val="xcontentpasted0"/>
          <w:rFonts w:ascii="Arial" w:hAnsi="Arial" w:cs="Arial"/>
        </w:rPr>
        <w:t xml:space="preserve"> </w:t>
      </w:r>
      <w:r w:rsidR="008115DA">
        <w:rPr>
          <w:rStyle w:val="xcontentpasted0"/>
          <w:rFonts w:ascii="Arial" w:hAnsi="Arial" w:cs="Arial"/>
        </w:rPr>
        <w:t xml:space="preserve">El valor asegurado para el amparo de </w:t>
      </w:r>
      <w:r w:rsidR="008115DA">
        <w:rPr>
          <w:rStyle w:val="xcontentpasted0"/>
          <w:rFonts w:ascii="Arial" w:hAnsi="Arial" w:cs="Arial"/>
          <w:bdr w:val="none" w:sz="0" w:space="0" w:color="auto" w:frame="1"/>
          <w:shd w:val="clear" w:color="auto" w:fill="FFFFFF"/>
        </w:rPr>
        <w:t>“</w:t>
      </w:r>
      <w:r w:rsidR="008115DA" w:rsidRPr="002C2D64">
        <w:rPr>
          <w:rFonts w:ascii="Arial" w:hAnsi="Arial" w:cs="Arial"/>
          <w:i/>
          <w:iCs/>
        </w:rPr>
        <w:t>Sustracción de Dineros Retirados en Cajeros Automáticos</w:t>
      </w:r>
      <w:r w:rsidR="008115DA">
        <w:rPr>
          <w:rFonts w:ascii="Arial" w:hAnsi="Arial" w:cs="Arial"/>
        </w:rPr>
        <w:t>” es la suma de $4.000.000. No obstante, teniendo en cuenta que la Póliza establece que para el segundo evento se tendrá como valor límite de indemnización “hasta el excedente del 100% del valor asegurado de la cobertura afectada, máximo hasta el límite agregado anual”; se reconocerá el faltante de $2.880.000, del evento de hurto del 28 de abril de 2024 por valor de $3.100.000 dado que hasta el momento solo se han reconocido $220.000.</w:t>
      </w:r>
    </w:p>
    <w:p w14:paraId="76520FCE" w14:textId="16729D25" w:rsidR="008115DA" w:rsidRPr="00EB7D39" w:rsidRDefault="008115DA" w:rsidP="002628F9">
      <w:pPr>
        <w:spacing w:before="100" w:beforeAutospacing="1" w:after="100" w:afterAutospacing="1" w:line="276" w:lineRule="auto"/>
        <w:jc w:val="both"/>
        <w:rPr>
          <w:rStyle w:val="xcontentpasted0"/>
          <w:rFonts w:ascii="Arial" w:hAnsi="Arial" w:cs="Arial"/>
        </w:rPr>
      </w:pPr>
      <w:r>
        <w:rPr>
          <w:rStyle w:val="xcontentpasted0"/>
          <w:rFonts w:ascii="Arial" w:hAnsi="Arial" w:cs="Arial"/>
          <w:b/>
          <w:bCs/>
        </w:rPr>
        <w:t xml:space="preserve">2. Deducible: </w:t>
      </w:r>
      <w:r w:rsidR="00EB7D39" w:rsidRPr="00EB7D39">
        <w:rPr>
          <w:rStyle w:val="xcontentpasted0"/>
          <w:rFonts w:ascii="Arial" w:hAnsi="Arial" w:cs="Arial"/>
        </w:rPr>
        <w:t xml:space="preserve">Teniendo en cuenta que </w:t>
      </w:r>
      <w:r w:rsidR="00EB7D39">
        <w:rPr>
          <w:rStyle w:val="xcontentpasted0"/>
          <w:rFonts w:ascii="Arial" w:hAnsi="Arial" w:cs="Arial"/>
        </w:rPr>
        <w:t>el deducible pactado</w:t>
      </w:r>
      <w:r w:rsidR="00354B0C">
        <w:rPr>
          <w:rStyle w:val="xcontentpasted0"/>
          <w:rFonts w:ascii="Arial" w:hAnsi="Arial" w:cs="Arial"/>
        </w:rPr>
        <w:t xml:space="preserve"> es de</w:t>
      </w:r>
      <w:r w:rsidR="00EB7D39">
        <w:rPr>
          <w:rStyle w:val="xcontentpasted0"/>
          <w:rFonts w:ascii="Arial" w:hAnsi="Arial" w:cs="Arial"/>
        </w:rPr>
        <w:t>l 5% del límite asegurado de la cobertura afectada</w:t>
      </w:r>
      <w:r w:rsidR="00354B0C">
        <w:rPr>
          <w:rStyle w:val="xcontentpasted0"/>
          <w:rFonts w:ascii="Arial" w:hAnsi="Arial" w:cs="Arial"/>
        </w:rPr>
        <w:t xml:space="preserve"> del </w:t>
      </w:r>
      <w:r w:rsidR="00EB7D39">
        <w:rPr>
          <w:rStyle w:val="xcontentpasted0"/>
          <w:rFonts w:ascii="Arial" w:hAnsi="Arial" w:cs="Arial"/>
        </w:rPr>
        <w:t xml:space="preserve">100% del valor asegurado de la cobertura afectada </w:t>
      </w:r>
      <w:r w:rsidR="00EB7D39">
        <w:rPr>
          <w:rStyle w:val="xcontentpasted0"/>
          <w:rFonts w:ascii="Arial" w:hAnsi="Arial" w:cs="Arial"/>
          <w:bdr w:val="none" w:sz="0" w:space="0" w:color="auto" w:frame="1"/>
          <w:shd w:val="clear" w:color="auto" w:fill="FFFFFF"/>
        </w:rPr>
        <w:t>“</w:t>
      </w:r>
      <w:r w:rsidR="00EB7D39" w:rsidRPr="002C2D64">
        <w:rPr>
          <w:rFonts w:ascii="Arial" w:hAnsi="Arial" w:cs="Arial"/>
          <w:i/>
          <w:iCs/>
        </w:rPr>
        <w:t>Sustracción de Dineros Retirados en Cajeros Automáticos</w:t>
      </w:r>
      <w:r w:rsidR="00EB7D39">
        <w:rPr>
          <w:rFonts w:ascii="Arial" w:hAnsi="Arial" w:cs="Arial"/>
        </w:rPr>
        <w:t>”</w:t>
      </w:r>
      <w:r w:rsidR="00354B0C">
        <w:rPr>
          <w:rFonts w:ascii="Arial" w:hAnsi="Arial" w:cs="Arial"/>
        </w:rPr>
        <w:t>,</w:t>
      </w:r>
      <w:r w:rsidR="00354B0C">
        <w:rPr>
          <w:rStyle w:val="xcontentpasted0"/>
          <w:rFonts w:ascii="Arial" w:hAnsi="Arial" w:cs="Arial"/>
        </w:rPr>
        <w:t xml:space="preserve"> </w:t>
      </w:r>
      <w:r w:rsidR="00354B0C">
        <w:rPr>
          <w:rStyle w:val="xcontentpasted0"/>
          <w:rFonts w:ascii="Arial" w:hAnsi="Arial" w:cs="Arial"/>
        </w:rPr>
        <w:t xml:space="preserve">se le restaran </w:t>
      </w:r>
      <w:r w:rsidR="00354B0C">
        <w:rPr>
          <w:rStyle w:val="xcontentpasted0"/>
          <w:rFonts w:ascii="Arial" w:hAnsi="Arial" w:cs="Arial"/>
        </w:rPr>
        <w:t>$200.000</w:t>
      </w:r>
      <w:r w:rsidR="00354B0C">
        <w:rPr>
          <w:rFonts w:ascii="Arial" w:hAnsi="Arial" w:cs="Arial"/>
        </w:rPr>
        <w:t>. Quedando una suma de $2.680.000.</w:t>
      </w:r>
    </w:p>
    <w:p w14:paraId="26EBB565" w14:textId="518B7D6E" w:rsidR="002628F9" w:rsidRDefault="008115DA" w:rsidP="002628F9">
      <w:pPr>
        <w:spacing w:before="100" w:beforeAutospacing="1" w:after="100" w:afterAutospacing="1" w:line="276" w:lineRule="auto"/>
        <w:jc w:val="both"/>
        <w:rPr>
          <w:rStyle w:val="xcontentpasted0"/>
          <w:rFonts w:ascii="Arial" w:hAnsi="Arial" w:cs="Arial"/>
        </w:rPr>
      </w:pPr>
      <w:r>
        <w:rPr>
          <w:rStyle w:val="xcontentpasted0"/>
          <w:rFonts w:ascii="Arial" w:hAnsi="Arial" w:cs="Arial"/>
          <w:b/>
          <w:bCs/>
        </w:rPr>
        <w:t>3</w:t>
      </w:r>
      <w:r w:rsidR="002628F9" w:rsidRPr="00F771AA">
        <w:rPr>
          <w:rStyle w:val="xcontentpasted0"/>
          <w:rFonts w:ascii="Arial" w:hAnsi="Arial" w:cs="Arial"/>
          <w:b/>
          <w:bCs/>
        </w:rPr>
        <w:t>. Intereses moratorios</w:t>
      </w:r>
      <w:r w:rsidR="002628F9" w:rsidRPr="00F771AA">
        <w:rPr>
          <w:rStyle w:val="xcontentpasted0"/>
          <w:rFonts w:ascii="Arial" w:hAnsi="Arial" w:cs="Arial"/>
        </w:rPr>
        <w:t xml:space="preserve">: Se tendrá en cuenta la suma de </w:t>
      </w:r>
      <w:r w:rsidR="002628F9" w:rsidRPr="006B050C">
        <w:rPr>
          <w:rStyle w:val="xcontentpasted0"/>
          <w:rFonts w:ascii="Arial" w:hAnsi="Arial" w:cs="Arial"/>
        </w:rPr>
        <w:t>$</w:t>
      </w:r>
      <w:r w:rsidR="00354B0C">
        <w:rPr>
          <w:rStyle w:val="xcontentpasted0"/>
          <w:rFonts w:ascii="Arial" w:hAnsi="Arial" w:cs="Arial"/>
        </w:rPr>
        <w:t>105.067</w:t>
      </w:r>
      <w:r w:rsidR="002628F9">
        <w:rPr>
          <w:rStyle w:val="xcontentpasted0"/>
          <w:rFonts w:ascii="Arial" w:hAnsi="Arial" w:cs="Arial"/>
        </w:rPr>
        <w:t xml:space="preserve"> </w:t>
      </w:r>
      <w:r w:rsidR="002628F9" w:rsidRPr="00F771AA">
        <w:rPr>
          <w:rStyle w:val="xcontentpasted0"/>
          <w:rFonts w:ascii="Arial" w:hAnsi="Arial" w:cs="Arial"/>
        </w:rPr>
        <w:t xml:space="preserve">por concepto de intereses moratorios, calculados desde el </w:t>
      </w:r>
      <w:r w:rsidR="002628F9">
        <w:rPr>
          <w:rStyle w:val="xcontentpasted0"/>
          <w:rFonts w:ascii="Arial" w:hAnsi="Arial" w:cs="Arial"/>
        </w:rPr>
        <w:t>27 de mayo de 2024</w:t>
      </w:r>
      <w:r w:rsidR="002628F9" w:rsidRPr="00F771AA">
        <w:rPr>
          <w:rStyle w:val="xcontentpasted0"/>
          <w:rFonts w:ascii="Arial" w:hAnsi="Arial" w:cs="Arial"/>
        </w:rPr>
        <w:t xml:space="preserve"> </w:t>
      </w:r>
      <w:r w:rsidR="00B53730" w:rsidRPr="00F771AA">
        <w:rPr>
          <w:rStyle w:val="xcontentpasted0"/>
          <w:rFonts w:ascii="Arial" w:hAnsi="Arial" w:cs="Arial"/>
        </w:rPr>
        <w:t>(</w:t>
      </w:r>
      <w:r w:rsidR="00B53730">
        <w:rPr>
          <w:rStyle w:val="xcontentpasted0"/>
          <w:rFonts w:ascii="Arial" w:hAnsi="Arial" w:cs="Arial"/>
        </w:rPr>
        <w:t xml:space="preserve">fecha de la respuesta emitida por BBVA de cara a la reclamación, que puede entenderse como </w:t>
      </w:r>
      <w:r w:rsidR="002628F9" w:rsidRPr="00F771AA">
        <w:rPr>
          <w:rStyle w:val="xcontentpasted0"/>
          <w:rFonts w:ascii="Arial" w:hAnsi="Arial" w:cs="Arial"/>
        </w:rPr>
        <w:t xml:space="preserve">un mes después a la fecha de la reclamación en los términos del artículo 1080) hasta el </w:t>
      </w:r>
      <w:r w:rsidR="00B53730">
        <w:rPr>
          <w:rStyle w:val="xcontentpasted0"/>
          <w:rFonts w:ascii="Arial" w:hAnsi="Arial" w:cs="Arial"/>
        </w:rPr>
        <w:t>1</w:t>
      </w:r>
      <w:r w:rsidR="00354B0C">
        <w:rPr>
          <w:rStyle w:val="xcontentpasted0"/>
          <w:rFonts w:ascii="Arial" w:hAnsi="Arial" w:cs="Arial"/>
        </w:rPr>
        <w:t>5</w:t>
      </w:r>
      <w:r w:rsidR="002628F9" w:rsidRPr="00F771AA">
        <w:rPr>
          <w:rStyle w:val="xcontentpasted0"/>
          <w:rFonts w:ascii="Arial" w:hAnsi="Arial" w:cs="Arial"/>
        </w:rPr>
        <w:t xml:space="preserve"> de ju</w:t>
      </w:r>
      <w:r w:rsidR="00B53730">
        <w:rPr>
          <w:rStyle w:val="xcontentpasted0"/>
          <w:rFonts w:ascii="Arial" w:hAnsi="Arial" w:cs="Arial"/>
        </w:rPr>
        <w:t>l</w:t>
      </w:r>
      <w:r w:rsidR="002628F9" w:rsidRPr="00F771AA">
        <w:rPr>
          <w:rStyle w:val="xcontentpasted0"/>
          <w:rFonts w:ascii="Arial" w:hAnsi="Arial" w:cs="Arial"/>
        </w:rPr>
        <w:t>io de 2024</w:t>
      </w:r>
      <w:r w:rsidR="00B53730">
        <w:rPr>
          <w:rStyle w:val="xcontentpasted0"/>
          <w:rFonts w:ascii="Arial" w:hAnsi="Arial" w:cs="Arial"/>
        </w:rPr>
        <w:t>.</w:t>
      </w:r>
      <w:r w:rsidR="002628F9" w:rsidRPr="00F771AA">
        <w:rPr>
          <w:rStyle w:val="xcontentpasted0"/>
          <w:rFonts w:ascii="Arial" w:hAnsi="Arial" w:cs="Arial"/>
        </w:rPr>
        <w:t xml:space="preserve"> fecha de la presentación de esta liquidación. </w:t>
      </w:r>
    </w:p>
    <w:p w14:paraId="15DB0E04" w14:textId="2DB6B642" w:rsidR="00F801C9" w:rsidRPr="00F801C9" w:rsidRDefault="00F801C9" w:rsidP="002628F9">
      <w:pPr>
        <w:spacing w:before="100" w:beforeAutospacing="1" w:after="100" w:afterAutospacing="1" w:line="276" w:lineRule="auto"/>
        <w:jc w:val="both"/>
        <w:rPr>
          <w:rFonts w:ascii="Arial" w:hAnsi="Arial" w:cs="Arial"/>
          <w:b/>
          <w:bCs/>
        </w:rPr>
      </w:pPr>
      <w:r w:rsidRPr="00F801C9">
        <w:rPr>
          <w:rStyle w:val="xcontentpasted0"/>
          <w:rFonts w:ascii="Arial" w:hAnsi="Arial" w:cs="Arial"/>
          <w:b/>
          <w:bCs/>
        </w:rPr>
        <w:t xml:space="preserve">4. Coaseguro: </w:t>
      </w:r>
      <w:r w:rsidR="008F0BB0" w:rsidRPr="008F0BB0">
        <w:rPr>
          <w:rStyle w:val="xcontentpasted0"/>
          <w:rFonts w:ascii="Arial" w:hAnsi="Arial" w:cs="Arial"/>
        </w:rPr>
        <w:t xml:space="preserve">Teniendo en cuenta la participación de </w:t>
      </w:r>
      <w:r w:rsidR="009558C8">
        <w:rPr>
          <w:rStyle w:val="xcontentpasted0"/>
          <w:rFonts w:ascii="Arial" w:hAnsi="Arial" w:cs="Arial"/>
        </w:rPr>
        <w:t>BBVA Seguros</w:t>
      </w:r>
      <w:r w:rsidR="008F0BB0" w:rsidRPr="008F0BB0">
        <w:rPr>
          <w:rStyle w:val="xcontentpasted0"/>
          <w:rFonts w:ascii="Arial" w:hAnsi="Arial" w:cs="Arial"/>
        </w:rPr>
        <w:t xml:space="preserve"> en el coaseguro, que es igual a</w:t>
      </w:r>
      <w:r w:rsidR="006B2316">
        <w:rPr>
          <w:rStyle w:val="xcontentpasted0"/>
          <w:rFonts w:ascii="Arial" w:hAnsi="Arial" w:cs="Arial"/>
        </w:rPr>
        <w:t>l</w:t>
      </w:r>
      <w:r w:rsidR="008F0BB0" w:rsidRPr="008F0BB0">
        <w:rPr>
          <w:rStyle w:val="xcontentpasted0"/>
          <w:rFonts w:ascii="Arial" w:hAnsi="Arial" w:cs="Arial"/>
        </w:rPr>
        <w:t xml:space="preserve"> </w:t>
      </w:r>
      <w:r w:rsidR="009558C8">
        <w:rPr>
          <w:rStyle w:val="xcontentpasted0"/>
          <w:rFonts w:ascii="Arial" w:hAnsi="Arial" w:cs="Arial"/>
        </w:rPr>
        <w:t>37</w:t>
      </w:r>
      <w:r w:rsidR="008F0BB0" w:rsidRPr="008F0BB0">
        <w:rPr>
          <w:rStyle w:val="xcontentpasted0"/>
          <w:rFonts w:ascii="Arial" w:hAnsi="Arial" w:cs="Arial"/>
        </w:rPr>
        <w:t xml:space="preserve">%, el valor que le correspondería asciende a </w:t>
      </w:r>
      <w:r w:rsidR="006B2316">
        <w:rPr>
          <w:rStyle w:val="xcontentpasted0"/>
          <w:rFonts w:ascii="Arial" w:hAnsi="Arial" w:cs="Arial"/>
        </w:rPr>
        <w:t xml:space="preserve">la suma de </w:t>
      </w:r>
      <w:r w:rsidR="009558C8">
        <w:rPr>
          <w:rStyle w:val="xcontentpasted0"/>
          <w:rFonts w:ascii="Arial" w:hAnsi="Arial" w:cs="Arial"/>
        </w:rPr>
        <w:t>$1.030.474.</w:t>
      </w:r>
    </w:p>
    <w:p w14:paraId="310E978A" w14:textId="7A280DF6" w:rsidR="003915D6" w:rsidRPr="00F92E46" w:rsidRDefault="003915D6" w:rsidP="00707EAC">
      <w:pPr>
        <w:pStyle w:val="xmsonormal"/>
        <w:shd w:val="clear" w:color="auto" w:fill="FFFFFF"/>
        <w:spacing w:before="0" w:beforeAutospacing="0" w:after="0" w:afterAutospacing="0" w:line="276" w:lineRule="auto"/>
        <w:rPr>
          <w:rFonts w:ascii="Arial" w:hAnsi="Arial" w:cs="Arial"/>
          <w:sz w:val="22"/>
          <w:szCs w:val="22"/>
        </w:rPr>
      </w:pPr>
      <w:r w:rsidRPr="00F92E46">
        <w:rPr>
          <w:rFonts w:ascii="Arial" w:hAnsi="Arial" w:cs="Arial"/>
          <w:sz w:val="22"/>
          <w:szCs w:val="22"/>
        </w:rPr>
        <w:t> </w:t>
      </w:r>
      <w:r w:rsidRPr="00F92E46">
        <w:rPr>
          <w:rStyle w:val="xcontentpasted0"/>
          <w:rFonts w:ascii="Arial" w:hAnsi="Arial" w:cs="Arial"/>
          <w:sz w:val="22"/>
          <w:szCs w:val="22"/>
          <w:bdr w:val="none" w:sz="0" w:space="0" w:color="auto" w:frame="1"/>
        </w:rPr>
        <w:t>Adjunto los siguientes documentos:  </w:t>
      </w:r>
    </w:p>
    <w:p w14:paraId="17D869A5" w14:textId="77777777" w:rsidR="003915D6" w:rsidRPr="00F92E46" w:rsidRDefault="003915D6" w:rsidP="00707EAC">
      <w:pPr>
        <w:pStyle w:val="xmsonormal"/>
        <w:shd w:val="clear" w:color="auto" w:fill="FFFFFF"/>
        <w:spacing w:before="0" w:beforeAutospacing="0" w:after="0" w:afterAutospacing="0" w:line="276" w:lineRule="auto"/>
        <w:jc w:val="both"/>
        <w:rPr>
          <w:rFonts w:ascii="Arial" w:hAnsi="Arial" w:cs="Arial"/>
          <w:sz w:val="22"/>
          <w:szCs w:val="22"/>
        </w:rPr>
      </w:pPr>
      <w:r w:rsidRPr="00F92E46">
        <w:rPr>
          <w:rStyle w:val="xcontentpasted0"/>
          <w:rFonts w:ascii="Arial" w:hAnsi="Arial" w:cs="Arial"/>
          <w:sz w:val="22"/>
          <w:szCs w:val="22"/>
          <w:bdr w:val="none" w:sz="0" w:space="0" w:color="auto" w:frame="1"/>
        </w:rPr>
        <w:t>  </w:t>
      </w:r>
    </w:p>
    <w:p w14:paraId="22D42BF9" w14:textId="6A2682AE" w:rsidR="00873046" w:rsidRPr="00F92E46" w:rsidRDefault="003915D6" w:rsidP="00707EAC">
      <w:pPr>
        <w:pStyle w:val="xmsonormal"/>
        <w:numPr>
          <w:ilvl w:val="0"/>
          <w:numId w:val="11"/>
        </w:numPr>
        <w:shd w:val="clear" w:color="auto" w:fill="FFFFFF"/>
        <w:spacing w:before="0" w:beforeAutospacing="0" w:after="0" w:afterAutospacing="0" w:line="276" w:lineRule="auto"/>
        <w:rPr>
          <w:rStyle w:val="xcontentpasted0"/>
          <w:rFonts w:ascii="Arial" w:hAnsi="Arial" w:cs="Arial"/>
          <w:sz w:val="22"/>
          <w:szCs w:val="22"/>
          <w:bdr w:val="none" w:sz="0" w:space="0" w:color="auto" w:frame="1"/>
        </w:rPr>
      </w:pPr>
      <w:r w:rsidRPr="00F92E46">
        <w:rPr>
          <w:rStyle w:val="xcontentpasted0"/>
          <w:rFonts w:ascii="Arial" w:hAnsi="Arial" w:cs="Arial"/>
          <w:sz w:val="22"/>
          <w:szCs w:val="22"/>
          <w:bdr w:val="none" w:sz="0" w:space="0" w:color="auto" w:frame="1"/>
        </w:rPr>
        <w:t>Contestación de la demanda</w:t>
      </w:r>
      <w:r w:rsidR="00873046" w:rsidRPr="00F92E46">
        <w:rPr>
          <w:rStyle w:val="xcontentpasted0"/>
          <w:rFonts w:ascii="Arial" w:hAnsi="Arial" w:cs="Arial"/>
          <w:sz w:val="22"/>
          <w:szCs w:val="22"/>
          <w:bdr w:val="none" w:sz="0" w:space="0" w:color="auto" w:frame="1"/>
        </w:rPr>
        <w:t>.</w:t>
      </w:r>
    </w:p>
    <w:p w14:paraId="08037C72" w14:textId="649FF7C8" w:rsidR="00873046" w:rsidRPr="00F92E46" w:rsidRDefault="00873046" w:rsidP="00707EAC">
      <w:pPr>
        <w:pStyle w:val="xmsonormal"/>
        <w:numPr>
          <w:ilvl w:val="0"/>
          <w:numId w:val="11"/>
        </w:numPr>
        <w:shd w:val="clear" w:color="auto" w:fill="FFFFFF"/>
        <w:spacing w:before="0" w:beforeAutospacing="0" w:after="0" w:afterAutospacing="0" w:line="276" w:lineRule="auto"/>
        <w:rPr>
          <w:rFonts w:ascii="Arial" w:hAnsi="Arial" w:cs="Arial"/>
          <w:sz w:val="22"/>
          <w:szCs w:val="22"/>
          <w:bdr w:val="none" w:sz="0" w:space="0" w:color="auto" w:frame="1"/>
        </w:rPr>
      </w:pPr>
      <w:r w:rsidRPr="00F92E46">
        <w:rPr>
          <w:rStyle w:val="xcontentpasted0"/>
          <w:rFonts w:ascii="Arial" w:hAnsi="Arial" w:cs="Arial"/>
          <w:sz w:val="22"/>
          <w:szCs w:val="22"/>
          <w:bdr w:val="none" w:sz="0" w:space="0" w:color="auto" w:frame="1"/>
        </w:rPr>
        <w:t>Anexos</w:t>
      </w:r>
      <w:r w:rsidR="00583C6B" w:rsidRPr="00F92E46">
        <w:rPr>
          <w:rStyle w:val="xcontentpasted0"/>
          <w:rFonts w:ascii="Arial" w:hAnsi="Arial" w:cs="Arial"/>
          <w:sz w:val="22"/>
          <w:szCs w:val="22"/>
          <w:bdr w:val="none" w:sz="0" w:space="0" w:color="auto" w:frame="1"/>
        </w:rPr>
        <w:t xml:space="preserve"> y pruebas de la contestación</w:t>
      </w:r>
      <w:r w:rsidRPr="00F92E46">
        <w:rPr>
          <w:rStyle w:val="xcontentpasted0"/>
          <w:rFonts w:ascii="Arial" w:hAnsi="Arial" w:cs="Arial"/>
          <w:sz w:val="22"/>
          <w:szCs w:val="22"/>
          <w:bdr w:val="none" w:sz="0" w:space="0" w:color="auto" w:frame="1"/>
        </w:rPr>
        <w:t>.</w:t>
      </w:r>
    </w:p>
    <w:bookmarkEnd w:id="0"/>
    <w:p w14:paraId="6B3B6F37" w14:textId="62AE9113" w:rsidR="00257BEF" w:rsidRPr="00F92E46" w:rsidRDefault="00257BEF" w:rsidP="00707EAC">
      <w:pPr>
        <w:shd w:val="clear" w:color="auto" w:fill="FFFFFF"/>
        <w:spacing w:line="276" w:lineRule="auto"/>
        <w:rPr>
          <w:rFonts w:ascii="Arial" w:eastAsia="Times New Roman" w:hAnsi="Arial" w:cs="Arial"/>
        </w:rPr>
      </w:pPr>
    </w:p>
    <w:sectPr w:rsidR="00257BEF" w:rsidRPr="00F92E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21AE"/>
    <w:multiLevelType w:val="multilevel"/>
    <w:tmpl w:val="5D1C848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 w15:restartNumberingAfterBreak="0">
    <w:nsid w:val="041B30E7"/>
    <w:multiLevelType w:val="hybridMultilevel"/>
    <w:tmpl w:val="F01619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3328B6"/>
    <w:multiLevelType w:val="hybridMultilevel"/>
    <w:tmpl w:val="F31898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C64AD7"/>
    <w:multiLevelType w:val="hybridMultilevel"/>
    <w:tmpl w:val="C52253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EDF24E4"/>
    <w:multiLevelType w:val="hybridMultilevel"/>
    <w:tmpl w:val="7CDA5712"/>
    <w:lvl w:ilvl="0" w:tplc="C116FD72">
      <w:start w:val="1"/>
      <w:numFmt w:val="upperRoman"/>
      <w:lvlText w:val="%1."/>
      <w:lvlJc w:val="left"/>
      <w:pPr>
        <w:ind w:left="1080" w:hanging="720"/>
      </w:pPr>
      <w:rPr>
        <w:rFonts w:hint="default"/>
        <w:b/>
        <w:bCs/>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3A7191D"/>
    <w:multiLevelType w:val="multilevel"/>
    <w:tmpl w:val="CBE84158"/>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3AF50FF"/>
    <w:multiLevelType w:val="multilevel"/>
    <w:tmpl w:val="09FA33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CB4BE7"/>
    <w:multiLevelType w:val="multilevel"/>
    <w:tmpl w:val="2404F46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eastAsia="Times New Roman" w:hAnsi="Symbo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A60F36"/>
    <w:multiLevelType w:val="hybridMultilevel"/>
    <w:tmpl w:val="7E52A8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8100877"/>
    <w:multiLevelType w:val="hybridMultilevel"/>
    <w:tmpl w:val="5B2E4C4C"/>
    <w:lvl w:ilvl="0" w:tplc="67D26B4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3955D99"/>
    <w:multiLevelType w:val="hybridMultilevel"/>
    <w:tmpl w:val="4D02C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5FC5DFD"/>
    <w:multiLevelType w:val="hybridMultilevel"/>
    <w:tmpl w:val="092C291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56246A65"/>
    <w:multiLevelType w:val="multilevel"/>
    <w:tmpl w:val="C12C5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DE4CDB"/>
    <w:multiLevelType w:val="hybridMultilevel"/>
    <w:tmpl w:val="FFFFFFFF"/>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6D8346F"/>
    <w:multiLevelType w:val="hybridMultilevel"/>
    <w:tmpl w:val="D8B059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EF57278"/>
    <w:multiLevelType w:val="multilevel"/>
    <w:tmpl w:val="E62E02B2"/>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087284A"/>
    <w:multiLevelType w:val="hybridMultilevel"/>
    <w:tmpl w:val="82522A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09C60F6"/>
    <w:multiLevelType w:val="hybridMultilevel"/>
    <w:tmpl w:val="78D4E6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16574A0"/>
    <w:multiLevelType w:val="hybridMultilevel"/>
    <w:tmpl w:val="D9DC82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4926724"/>
    <w:multiLevelType w:val="hybridMultilevel"/>
    <w:tmpl w:val="6DC6D84C"/>
    <w:lvl w:ilvl="0" w:tplc="1596791E">
      <w:start w:val="1"/>
      <w:numFmt w:val="decimal"/>
      <w:lvlText w:val="%1."/>
      <w:lvlJc w:val="left"/>
      <w:pPr>
        <w:ind w:left="720" w:hanging="360"/>
      </w:pPr>
      <w:rPr>
        <w:rFonts w:ascii="Arial Narrow" w:hAnsi="Arial Narrow"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8907222"/>
    <w:multiLevelType w:val="hybridMultilevel"/>
    <w:tmpl w:val="761C7FFC"/>
    <w:lvl w:ilvl="0" w:tplc="6DDE4C0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473122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1023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2876712">
    <w:abstractNumId w:val="9"/>
  </w:num>
  <w:num w:numId="4" w16cid:durableId="693266022">
    <w:abstractNumId w:val="4"/>
  </w:num>
  <w:num w:numId="5" w16cid:durableId="875779846">
    <w:abstractNumId w:val="10"/>
  </w:num>
  <w:num w:numId="6" w16cid:durableId="608468662">
    <w:abstractNumId w:val="20"/>
  </w:num>
  <w:num w:numId="7" w16cid:durableId="1400861227">
    <w:abstractNumId w:val="19"/>
  </w:num>
  <w:num w:numId="8" w16cid:durableId="1031223078">
    <w:abstractNumId w:val="14"/>
  </w:num>
  <w:num w:numId="9" w16cid:durableId="2125733531">
    <w:abstractNumId w:val="16"/>
  </w:num>
  <w:num w:numId="10" w16cid:durableId="1849057266">
    <w:abstractNumId w:val="13"/>
  </w:num>
  <w:num w:numId="11" w16cid:durableId="1466853088">
    <w:abstractNumId w:val="17"/>
  </w:num>
  <w:num w:numId="12" w16cid:durableId="1020623689">
    <w:abstractNumId w:val="18"/>
  </w:num>
  <w:num w:numId="13" w16cid:durableId="164054912">
    <w:abstractNumId w:val="1"/>
  </w:num>
  <w:num w:numId="14" w16cid:durableId="244807880">
    <w:abstractNumId w:val="3"/>
  </w:num>
  <w:num w:numId="15" w16cid:durableId="1822505130">
    <w:abstractNumId w:val="12"/>
  </w:num>
  <w:num w:numId="16" w16cid:durableId="619647173">
    <w:abstractNumId w:val="2"/>
  </w:num>
  <w:num w:numId="17" w16cid:durableId="1687755010">
    <w:abstractNumId w:val="6"/>
  </w:num>
  <w:num w:numId="18" w16cid:durableId="711343175">
    <w:abstractNumId w:val="8"/>
  </w:num>
  <w:num w:numId="19" w16cid:durableId="207381959">
    <w:abstractNumId w:val="7"/>
  </w:num>
  <w:num w:numId="20" w16cid:durableId="772170589">
    <w:abstractNumId w:val="0"/>
  </w:num>
  <w:num w:numId="21" w16cid:durableId="13087035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BEF"/>
    <w:rsid w:val="00000744"/>
    <w:rsid w:val="00010F94"/>
    <w:rsid w:val="0001552C"/>
    <w:rsid w:val="0002290E"/>
    <w:rsid w:val="000311ED"/>
    <w:rsid w:val="00050318"/>
    <w:rsid w:val="000514C0"/>
    <w:rsid w:val="000600BF"/>
    <w:rsid w:val="00064C0C"/>
    <w:rsid w:val="0009430D"/>
    <w:rsid w:val="000A3A75"/>
    <w:rsid w:val="000B7EBE"/>
    <w:rsid w:val="00104E37"/>
    <w:rsid w:val="00105C1C"/>
    <w:rsid w:val="001148AD"/>
    <w:rsid w:val="00124511"/>
    <w:rsid w:val="00133EAC"/>
    <w:rsid w:val="00154DBC"/>
    <w:rsid w:val="00194DDF"/>
    <w:rsid w:val="001A1A2A"/>
    <w:rsid w:val="001C38DB"/>
    <w:rsid w:val="001C71DC"/>
    <w:rsid w:val="001E0E2E"/>
    <w:rsid w:val="001E58D8"/>
    <w:rsid w:val="00200380"/>
    <w:rsid w:val="002069A2"/>
    <w:rsid w:val="0021425C"/>
    <w:rsid w:val="00237D1A"/>
    <w:rsid w:val="002463B8"/>
    <w:rsid w:val="0025747E"/>
    <w:rsid w:val="00257BEF"/>
    <w:rsid w:val="002628F9"/>
    <w:rsid w:val="00271DBA"/>
    <w:rsid w:val="00287020"/>
    <w:rsid w:val="00293F18"/>
    <w:rsid w:val="002A0FFF"/>
    <w:rsid w:val="002B3F06"/>
    <w:rsid w:val="002C2910"/>
    <w:rsid w:val="002D2053"/>
    <w:rsid w:val="002D7792"/>
    <w:rsid w:val="00315732"/>
    <w:rsid w:val="003435FF"/>
    <w:rsid w:val="003442C8"/>
    <w:rsid w:val="00354B0C"/>
    <w:rsid w:val="00356AF5"/>
    <w:rsid w:val="003630CC"/>
    <w:rsid w:val="00364AF9"/>
    <w:rsid w:val="003810DD"/>
    <w:rsid w:val="003819C9"/>
    <w:rsid w:val="00385B17"/>
    <w:rsid w:val="00387D6D"/>
    <w:rsid w:val="003915D6"/>
    <w:rsid w:val="003B1532"/>
    <w:rsid w:val="003E55E8"/>
    <w:rsid w:val="003E5A21"/>
    <w:rsid w:val="003F40F0"/>
    <w:rsid w:val="00401646"/>
    <w:rsid w:val="004027B8"/>
    <w:rsid w:val="00407AB5"/>
    <w:rsid w:val="00414D02"/>
    <w:rsid w:val="00451F57"/>
    <w:rsid w:val="004631E1"/>
    <w:rsid w:val="00494E0D"/>
    <w:rsid w:val="004D0D08"/>
    <w:rsid w:val="004D52C5"/>
    <w:rsid w:val="004F0241"/>
    <w:rsid w:val="004F0A2E"/>
    <w:rsid w:val="004F19EF"/>
    <w:rsid w:val="004F5126"/>
    <w:rsid w:val="004F527C"/>
    <w:rsid w:val="00542691"/>
    <w:rsid w:val="00560BF6"/>
    <w:rsid w:val="005724D5"/>
    <w:rsid w:val="00583C6B"/>
    <w:rsid w:val="00590B01"/>
    <w:rsid w:val="005A6203"/>
    <w:rsid w:val="005E7F62"/>
    <w:rsid w:val="00604AAF"/>
    <w:rsid w:val="00606CD2"/>
    <w:rsid w:val="006338C9"/>
    <w:rsid w:val="006402AC"/>
    <w:rsid w:val="0064797F"/>
    <w:rsid w:val="006705BA"/>
    <w:rsid w:val="00674D7A"/>
    <w:rsid w:val="006942B1"/>
    <w:rsid w:val="006B2316"/>
    <w:rsid w:val="006C1AD9"/>
    <w:rsid w:val="006D0225"/>
    <w:rsid w:val="006F46E0"/>
    <w:rsid w:val="006F66BC"/>
    <w:rsid w:val="00707EAC"/>
    <w:rsid w:val="00753D4A"/>
    <w:rsid w:val="0078194D"/>
    <w:rsid w:val="007928DA"/>
    <w:rsid w:val="007A2EA1"/>
    <w:rsid w:val="007C3611"/>
    <w:rsid w:val="007C4B9B"/>
    <w:rsid w:val="007D5BEA"/>
    <w:rsid w:val="007E6A0D"/>
    <w:rsid w:val="007E6F36"/>
    <w:rsid w:val="008102F5"/>
    <w:rsid w:val="008115DA"/>
    <w:rsid w:val="008145DA"/>
    <w:rsid w:val="00827457"/>
    <w:rsid w:val="0084055A"/>
    <w:rsid w:val="008440B7"/>
    <w:rsid w:val="0085510D"/>
    <w:rsid w:val="00865F63"/>
    <w:rsid w:val="00873046"/>
    <w:rsid w:val="00877C92"/>
    <w:rsid w:val="008942F9"/>
    <w:rsid w:val="008C41FC"/>
    <w:rsid w:val="008F0BB0"/>
    <w:rsid w:val="008F11C8"/>
    <w:rsid w:val="00900648"/>
    <w:rsid w:val="00943946"/>
    <w:rsid w:val="00954B26"/>
    <w:rsid w:val="009550D2"/>
    <w:rsid w:val="009558C8"/>
    <w:rsid w:val="00961568"/>
    <w:rsid w:val="009616F7"/>
    <w:rsid w:val="00964C10"/>
    <w:rsid w:val="009728E4"/>
    <w:rsid w:val="00981FC5"/>
    <w:rsid w:val="0099220E"/>
    <w:rsid w:val="009D59A9"/>
    <w:rsid w:val="009F1F78"/>
    <w:rsid w:val="00A11BE5"/>
    <w:rsid w:val="00A432F3"/>
    <w:rsid w:val="00A549BD"/>
    <w:rsid w:val="00A65343"/>
    <w:rsid w:val="00A86483"/>
    <w:rsid w:val="00AC0786"/>
    <w:rsid w:val="00AE58A2"/>
    <w:rsid w:val="00AE7A05"/>
    <w:rsid w:val="00B076D6"/>
    <w:rsid w:val="00B32406"/>
    <w:rsid w:val="00B53730"/>
    <w:rsid w:val="00B660E7"/>
    <w:rsid w:val="00B66E1F"/>
    <w:rsid w:val="00B70FBE"/>
    <w:rsid w:val="00B927FB"/>
    <w:rsid w:val="00BE6C43"/>
    <w:rsid w:val="00C040A6"/>
    <w:rsid w:val="00C04804"/>
    <w:rsid w:val="00C127F0"/>
    <w:rsid w:val="00C131BD"/>
    <w:rsid w:val="00C254F8"/>
    <w:rsid w:val="00C4280B"/>
    <w:rsid w:val="00C76CA9"/>
    <w:rsid w:val="00C775EB"/>
    <w:rsid w:val="00C81656"/>
    <w:rsid w:val="00C90116"/>
    <w:rsid w:val="00C97B1F"/>
    <w:rsid w:val="00CA06AC"/>
    <w:rsid w:val="00CA0832"/>
    <w:rsid w:val="00CA4C43"/>
    <w:rsid w:val="00CB5349"/>
    <w:rsid w:val="00CD7DD2"/>
    <w:rsid w:val="00CF0879"/>
    <w:rsid w:val="00D24B1E"/>
    <w:rsid w:val="00D41D9D"/>
    <w:rsid w:val="00D460BA"/>
    <w:rsid w:val="00D46E18"/>
    <w:rsid w:val="00D906FC"/>
    <w:rsid w:val="00D96766"/>
    <w:rsid w:val="00DA37BD"/>
    <w:rsid w:val="00DA6226"/>
    <w:rsid w:val="00DB0DFF"/>
    <w:rsid w:val="00DB59B8"/>
    <w:rsid w:val="00DF2E66"/>
    <w:rsid w:val="00DF7BA3"/>
    <w:rsid w:val="00E07874"/>
    <w:rsid w:val="00E1029E"/>
    <w:rsid w:val="00E116A7"/>
    <w:rsid w:val="00E475C7"/>
    <w:rsid w:val="00EB7D39"/>
    <w:rsid w:val="00F03FB7"/>
    <w:rsid w:val="00F14233"/>
    <w:rsid w:val="00F1563B"/>
    <w:rsid w:val="00F268B9"/>
    <w:rsid w:val="00F26D0B"/>
    <w:rsid w:val="00F3140D"/>
    <w:rsid w:val="00F801C9"/>
    <w:rsid w:val="00F90D20"/>
    <w:rsid w:val="00F92E46"/>
    <w:rsid w:val="00FA6444"/>
    <w:rsid w:val="00FF65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38D4"/>
  <w15:docId w15:val="{104A525F-FC90-41EE-A7C7-E678F5CB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915D6"/>
    <w:pPr>
      <w:spacing w:after="0" w:line="240" w:lineRule="auto"/>
    </w:pPr>
    <w:rPr>
      <w:rFonts w:ascii="Calibri" w:hAnsi="Calibri" w:cs="Calibri"/>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915D6"/>
  </w:style>
  <w:style w:type="character" w:customStyle="1" w:styleId="contentpasted1">
    <w:name w:val="contentpasted1"/>
    <w:basedOn w:val="Fuentedeprrafopredeter"/>
    <w:rsid w:val="003915D6"/>
  </w:style>
  <w:style w:type="character" w:customStyle="1" w:styleId="contentpasted3">
    <w:name w:val="contentpasted3"/>
    <w:basedOn w:val="Fuentedeprrafopredeter"/>
    <w:rsid w:val="003915D6"/>
  </w:style>
  <w:style w:type="character" w:customStyle="1" w:styleId="contentpasted4">
    <w:name w:val="contentpasted4"/>
    <w:basedOn w:val="Fuentedeprrafopredeter"/>
    <w:rsid w:val="003915D6"/>
  </w:style>
  <w:style w:type="paragraph" w:customStyle="1" w:styleId="xmsonormal">
    <w:name w:val="x_msonormal"/>
    <w:basedOn w:val="Normal"/>
    <w:rsid w:val="003915D6"/>
    <w:pPr>
      <w:spacing w:before="100" w:beforeAutospacing="1" w:after="100" w:afterAutospacing="1"/>
    </w:pPr>
    <w:rPr>
      <w:rFonts w:ascii="Times New Roman" w:hAnsi="Times New Roman" w:cs="Times New Roman"/>
      <w:sz w:val="24"/>
      <w:szCs w:val="24"/>
    </w:rPr>
  </w:style>
  <w:style w:type="character" w:customStyle="1" w:styleId="xcontentpasted0">
    <w:name w:val="x_contentpasted0"/>
    <w:basedOn w:val="Fuentedeprrafopredeter"/>
    <w:rsid w:val="003915D6"/>
  </w:style>
  <w:style w:type="table" w:styleId="Tablaconcuadrcula">
    <w:name w:val="Table Grid"/>
    <w:basedOn w:val="Tablanormal"/>
    <w:uiPriority w:val="39"/>
    <w:rsid w:val="00391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915D6"/>
    <w:pPr>
      <w:ind w:left="720"/>
      <w:contextualSpacing/>
    </w:pPr>
  </w:style>
  <w:style w:type="paragraph" w:styleId="Sinespaciado">
    <w:name w:val="No Spacing"/>
    <w:uiPriority w:val="1"/>
    <w:qFormat/>
    <w:rsid w:val="003915D6"/>
    <w:pPr>
      <w:spacing w:after="0" w:line="240" w:lineRule="auto"/>
    </w:pPr>
    <w:rPr>
      <w:rFonts w:ascii="Calibri" w:hAnsi="Calibri" w:cs="Calibri"/>
      <w:lang w:eastAsia="es-CO"/>
    </w:rPr>
  </w:style>
  <w:style w:type="character" w:styleId="Refdecomentario">
    <w:name w:val="annotation reference"/>
    <w:basedOn w:val="Fuentedeprrafopredeter"/>
    <w:uiPriority w:val="99"/>
    <w:semiHidden/>
    <w:unhideWhenUsed/>
    <w:rsid w:val="004F19EF"/>
    <w:rPr>
      <w:sz w:val="16"/>
      <w:szCs w:val="16"/>
    </w:rPr>
  </w:style>
  <w:style w:type="paragraph" w:styleId="Textocomentario">
    <w:name w:val="annotation text"/>
    <w:basedOn w:val="Normal"/>
    <w:link w:val="TextocomentarioCar"/>
    <w:uiPriority w:val="99"/>
    <w:unhideWhenUsed/>
    <w:rsid w:val="004F19EF"/>
    <w:rPr>
      <w:sz w:val="20"/>
      <w:szCs w:val="20"/>
    </w:rPr>
  </w:style>
  <w:style w:type="character" w:customStyle="1" w:styleId="TextocomentarioCar">
    <w:name w:val="Texto comentario Car"/>
    <w:basedOn w:val="Fuentedeprrafopredeter"/>
    <w:link w:val="Textocomentario"/>
    <w:uiPriority w:val="99"/>
    <w:rsid w:val="004F19EF"/>
    <w:rPr>
      <w:rFonts w:ascii="Calibri" w:hAnsi="Calibri" w:cs="Calibri"/>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4F19EF"/>
    <w:rPr>
      <w:b/>
      <w:bCs/>
    </w:rPr>
  </w:style>
  <w:style w:type="character" w:customStyle="1" w:styleId="AsuntodelcomentarioCar">
    <w:name w:val="Asunto del comentario Car"/>
    <w:basedOn w:val="TextocomentarioCar"/>
    <w:link w:val="Asuntodelcomentario"/>
    <w:uiPriority w:val="99"/>
    <w:semiHidden/>
    <w:rsid w:val="004F19EF"/>
    <w:rPr>
      <w:rFonts w:ascii="Calibri" w:hAnsi="Calibri" w:cs="Calibri"/>
      <w:b/>
      <w:bCs/>
      <w:sz w:val="20"/>
      <w:szCs w:val="20"/>
      <w:lang w:eastAsia="es-CO"/>
    </w:rPr>
  </w:style>
  <w:style w:type="character" w:customStyle="1" w:styleId="contentpasted13">
    <w:name w:val="contentpasted13"/>
    <w:basedOn w:val="Fuentedeprrafopredeter"/>
    <w:rsid w:val="00451F57"/>
  </w:style>
  <w:style w:type="character" w:customStyle="1" w:styleId="contentpasted14">
    <w:name w:val="contentpasted14"/>
    <w:basedOn w:val="Fuentedeprrafopredeter"/>
    <w:rsid w:val="00451F57"/>
  </w:style>
  <w:style w:type="character" w:customStyle="1" w:styleId="markppqs7krlk">
    <w:name w:val="markppqs7krlk"/>
    <w:basedOn w:val="Fuentedeprrafopredeter"/>
    <w:rsid w:val="0084055A"/>
  </w:style>
  <w:style w:type="paragraph" w:customStyle="1" w:styleId="Default">
    <w:name w:val="Default"/>
    <w:rsid w:val="004D52C5"/>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B66E1F"/>
    <w:pPr>
      <w:spacing w:after="0" w:line="240" w:lineRule="auto"/>
    </w:pPr>
    <w:rPr>
      <w:rFonts w:ascii="Calibri" w:hAnsi="Calibri" w:cs="Calibri"/>
      <w:lang w:eastAsia="es-CO"/>
    </w:rPr>
  </w:style>
  <w:style w:type="character" w:customStyle="1" w:styleId="mark5igi82qqd">
    <w:name w:val="mark5igi82qqd"/>
    <w:basedOn w:val="Fuentedeprrafopredeter"/>
    <w:rsid w:val="00F92E46"/>
  </w:style>
  <w:style w:type="paragraph" w:styleId="Textodeglobo">
    <w:name w:val="Balloon Text"/>
    <w:basedOn w:val="Normal"/>
    <w:link w:val="TextodegloboCar"/>
    <w:uiPriority w:val="99"/>
    <w:semiHidden/>
    <w:unhideWhenUsed/>
    <w:rsid w:val="006D0225"/>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D0225"/>
    <w:rPr>
      <w:rFonts w:ascii="Times New Roman" w:hAnsi="Times New Roman" w:cs="Times New Roman"/>
      <w:sz w:val="18"/>
      <w:szCs w:val="18"/>
      <w:lang w:eastAsia="es-CO"/>
    </w:rPr>
  </w:style>
  <w:style w:type="character" w:customStyle="1" w:styleId="cf01">
    <w:name w:val="cf01"/>
    <w:basedOn w:val="Fuentedeprrafopredeter"/>
    <w:rsid w:val="00560BF6"/>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64026">
      <w:bodyDiv w:val="1"/>
      <w:marLeft w:val="0"/>
      <w:marRight w:val="0"/>
      <w:marTop w:val="0"/>
      <w:marBottom w:val="0"/>
      <w:divBdr>
        <w:top w:val="none" w:sz="0" w:space="0" w:color="auto"/>
        <w:left w:val="none" w:sz="0" w:space="0" w:color="auto"/>
        <w:bottom w:val="none" w:sz="0" w:space="0" w:color="auto"/>
        <w:right w:val="none" w:sz="0" w:space="0" w:color="auto"/>
      </w:divBdr>
    </w:div>
    <w:div w:id="110632216">
      <w:bodyDiv w:val="1"/>
      <w:marLeft w:val="0"/>
      <w:marRight w:val="0"/>
      <w:marTop w:val="0"/>
      <w:marBottom w:val="0"/>
      <w:divBdr>
        <w:top w:val="none" w:sz="0" w:space="0" w:color="auto"/>
        <w:left w:val="none" w:sz="0" w:space="0" w:color="auto"/>
        <w:bottom w:val="none" w:sz="0" w:space="0" w:color="auto"/>
        <w:right w:val="none" w:sz="0" w:space="0" w:color="auto"/>
      </w:divBdr>
    </w:div>
    <w:div w:id="225259344">
      <w:bodyDiv w:val="1"/>
      <w:marLeft w:val="0"/>
      <w:marRight w:val="0"/>
      <w:marTop w:val="0"/>
      <w:marBottom w:val="0"/>
      <w:divBdr>
        <w:top w:val="none" w:sz="0" w:space="0" w:color="auto"/>
        <w:left w:val="none" w:sz="0" w:space="0" w:color="auto"/>
        <w:bottom w:val="none" w:sz="0" w:space="0" w:color="auto"/>
        <w:right w:val="none" w:sz="0" w:space="0" w:color="auto"/>
      </w:divBdr>
    </w:div>
    <w:div w:id="308176505">
      <w:bodyDiv w:val="1"/>
      <w:marLeft w:val="0"/>
      <w:marRight w:val="0"/>
      <w:marTop w:val="0"/>
      <w:marBottom w:val="0"/>
      <w:divBdr>
        <w:top w:val="none" w:sz="0" w:space="0" w:color="auto"/>
        <w:left w:val="none" w:sz="0" w:space="0" w:color="auto"/>
        <w:bottom w:val="none" w:sz="0" w:space="0" w:color="auto"/>
        <w:right w:val="none" w:sz="0" w:space="0" w:color="auto"/>
      </w:divBdr>
      <w:divsChild>
        <w:div w:id="2067794042">
          <w:marLeft w:val="0"/>
          <w:marRight w:val="0"/>
          <w:marTop w:val="0"/>
          <w:marBottom w:val="0"/>
          <w:divBdr>
            <w:top w:val="none" w:sz="0" w:space="0" w:color="auto"/>
            <w:left w:val="none" w:sz="0" w:space="0" w:color="auto"/>
            <w:bottom w:val="none" w:sz="0" w:space="0" w:color="auto"/>
            <w:right w:val="none" w:sz="0" w:space="0" w:color="auto"/>
          </w:divBdr>
        </w:div>
        <w:div w:id="1116175209">
          <w:marLeft w:val="0"/>
          <w:marRight w:val="0"/>
          <w:marTop w:val="0"/>
          <w:marBottom w:val="0"/>
          <w:divBdr>
            <w:top w:val="none" w:sz="0" w:space="0" w:color="auto"/>
            <w:left w:val="none" w:sz="0" w:space="0" w:color="auto"/>
            <w:bottom w:val="none" w:sz="0" w:space="0" w:color="auto"/>
            <w:right w:val="none" w:sz="0" w:space="0" w:color="auto"/>
          </w:divBdr>
        </w:div>
      </w:divsChild>
    </w:div>
    <w:div w:id="799955755">
      <w:bodyDiv w:val="1"/>
      <w:marLeft w:val="0"/>
      <w:marRight w:val="0"/>
      <w:marTop w:val="0"/>
      <w:marBottom w:val="0"/>
      <w:divBdr>
        <w:top w:val="none" w:sz="0" w:space="0" w:color="auto"/>
        <w:left w:val="none" w:sz="0" w:space="0" w:color="auto"/>
        <w:bottom w:val="none" w:sz="0" w:space="0" w:color="auto"/>
        <w:right w:val="none" w:sz="0" w:space="0" w:color="auto"/>
      </w:divBdr>
    </w:div>
    <w:div w:id="857432669">
      <w:bodyDiv w:val="1"/>
      <w:marLeft w:val="0"/>
      <w:marRight w:val="0"/>
      <w:marTop w:val="0"/>
      <w:marBottom w:val="0"/>
      <w:divBdr>
        <w:top w:val="none" w:sz="0" w:space="0" w:color="auto"/>
        <w:left w:val="none" w:sz="0" w:space="0" w:color="auto"/>
        <w:bottom w:val="none" w:sz="0" w:space="0" w:color="auto"/>
        <w:right w:val="none" w:sz="0" w:space="0" w:color="auto"/>
      </w:divBdr>
      <w:divsChild>
        <w:div w:id="103618131">
          <w:marLeft w:val="0"/>
          <w:marRight w:val="0"/>
          <w:marTop w:val="0"/>
          <w:marBottom w:val="0"/>
          <w:divBdr>
            <w:top w:val="none" w:sz="0" w:space="0" w:color="auto"/>
            <w:left w:val="none" w:sz="0" w:space="0" w:color="auto"/>
            <w:bottom w:val="none" w:sz="0" w:space="0" w:color="auto"/>
            <w:right w:val="none" w:sz="0" w:space="0" w:color="auto"/>
          </w:divBdr>
        </w:div>
        <w:div w:id="2091920953">
          <w:marLeft w:val="0"/>
          <w:marRight w:val="0"/>
          <w:marTop w:val="0"/>
          <w:marBottom w:val="0"/>
          <w:divBdr>
            <w:top w:val="none" w:sz="0" w:space="0" w:color="auto"/>
            <w:left w:val="none" w:sz="0" w:space="0" w:color="auto"/>
            <w:bottom w:val="none" w:sz="0" w:space="0" w:color="auto"/>
            <w:right w:val="none" w:sz="0" w:space="0" w:color="auto"/>
          </w:divBdr>
        </w:div>
        <w:div w:id="1498617820">
          <w:marLeft w:val="0"/>
          <w:marRight w:val="0"/>
          <w:marTop w:val="0"/>
          <w:marBottom w:val="0"/>
          <w:divBdr>
            <w:top w:val="none" w:sz="0" w:space="0" w:color="auto"/>
            <w:left w:val="none" w:sz="0" w:space="0" w:color="auto"/>
            <w:bottom w:val="none" w:sz="0" w:space="0" w:color="auto"/>
            <w:right w:val="none" w:sz="0" w:space="0" w:color="auto"/>
          </w:divBdr>
        </w:div>
        <w:div w:id="1783181557">
          <w:marLeft w:val="0"/>
          <w:marRight w:val="0"/>
          <w:marTop w:val="0"/>
          <w:marBottom w:val="0"/>
          <w:divBdr>
            <w:top w:val="none" w:sz="0" w:space="0" w:color="auto"/>
            <w:left w:val="none" w:sz="0" w:space="0" w:color="auto"/>
            <w:bottom w:val="none" w:sz="0" w:space="0" w:color="auto"/>
            <w:right w:val="none" w:sz="0" w:space="0" w:color="auto"/>
          </w:divBdr>
        </w:div>
      </w:divsChild>
    </w:div>
    <w:div w:id="937248139">
      <w:bodyDiv w:val="1"/>
      <w:marLeft w:val="0"/>
      <w:marRight w:val="0"/>
      <w:marTop w:val="0"/>
      <w:marBottom w:val="0"/>
      <w:divBdr>
        <w:top w:val="none" w:sz="0" w:space="0" w:color="auto"/>
        <w:left w:val="none" w:sz="0" w:space="0" w:color="auto"/>
        <w:bottom w:val="none" w:sz="0" w:space="0" w:color="auto"/>
        <w:right w:val="none" w:sz="0" w:space="0" w:color="auto"/>
      </w:divBdr>
    </w:div>
    <w:div w:id="979310043">
      <w:bodyDiv w:val="1"/>
      <w:marLeft w:val="0"/>
      <w:marRight w:val="0"/>
      <w:marTop w:val="0"/>
      <w:marBottom w:val="0"/>
      <w:divBdr>
        <w:top w:val="none" w:sz="0" w:space="0" w:color="auto"/>
        <w:left w:val="none" w:sz="0" w:space="0" w:color="auto"/>
        <w:bottom w:val="none" w:sz="0" w:space="0" w:color="auto"/>
        <w:right w:val="none" w:sz="0" w:space="0" w:color="auto"/>
      </w:divBdr>
    </w:div>
    <w:div w:id="1095899963">
      <w:bodyDiv w:val="1"/>
      <w:marLeft w:val="0"/>
      <w:marRight w:val="0"/>
      <w:marTop w:val="0"/>
      <w:marBottom w:val="0"/>
      <w:divBdr>
        <w:top w:val="none" w:sz="0" w:space="0" w:color="auto"/>
        <w:left w:val="none" w:sz="0" w:space="0" w:color="auto"/>
        <w:bottom w:val="none" w:sz="0" w:space="0" w:color="auto"/>
        <w:right w:val="none" w:sz="0" w:space="0" w:color="auto"/>
      </w:divBdr>
    </w:div>
    <w:div w:id="1343238850">
      <w:bodyDiv w:val="1"/>
      <w:marLeft w:val="0"/>
      <w:marRight w:val="0"/>
      <w:marTop w:val="0"/>
      <w:marBottom w:val="0"/>
      <w:divBdr>
        <w:top w:val="none" w:sz="0" w:space="0" w:color="auto"/>
        <w:left w:val="none" w:sz="0" w:space="0" w:color="auto"/>
        <w:bottom w:val="none" w:sz="0" w:space="0" w:color="auto"/>
        <w:right w:val="none" w:sz="0" w:space="0" w:color="auto"/>
      </w:divBdr>
    </w:div>
    <w:div w:id="1731151643">
      <w:bodyDiv w:val="1"/>
      <w:marLeft w:val="0"/>
      <w:marRight w:val="0"/>
      <w:marTop w:val="0"/>
      <w:marBottom w:val="0"/>
      <w:divBdr>
        <w:top w:val="none" w:sz="0" w:space="0" w:color="auto"/>
        <w:left w:val="none" w:sz="0" w:space="0" w:color="auto"/>
        <w:bottom w:val="none" w:sz="0" w:space="0" w:color="auto"/>
        <w:right w:val="none" w:sz="0" w:space="0" w:color="auto"/>
      </w:divBdr>
    </w:div>
    <w:div w:id="1804811883">
      <w:bodyDiv w:val="1"/>
      <w:marLeft w:val="0"/>
      <w:marRight w:val="0"/>
      <w:marTop w:val="0"/>
      <w:marBottom w:val="0"/>
      <w:divBdr>
        <w:top w:val="none" w:sz="0" w:space="0" w:color="auto"/>
        <w:left w:val="none" w:sz="0" w:space="0" w:color="auto"/>
        <w:bottom w:val="none" w:sz="0" w:space="0" w:color="auto"/>
        <w:right w:val="none" w:sz="0" w:space="0" w:color="auto"/>
      </w:divBdr>
    </w:div>
    <w:div w:id="1976567977">
      <w:bodyDiv w:val="1"/>
      <w:marLeft w:val="0"/>
      <w:marRight w:val="0"/>
      <w:marTop w:val="0"/>
      <w:marBottom w:val="0"/>
      <w:divBdr>
        <w:top w:val="none" w:sz="0" w:space="0" w:color="auto"/>
        <w:left w:val="none" w:sz="0" w:space="0" w:color="auto"/>
        <w:bottom w:val="none" w:sz="0" w:space="0" w:color="auto"/>
        <w:right w:val="none" w:sz="0" w:space="0" w:color="auto"/>
      </w:divBdr>
    </w:div>
    <w:div w:id="2052681179">
      <w:bodyDiv w:val="1"/>
      <w:marLeft w:val="0"/>
      <w:marRight w:val="0"/>
      <w:marTop w:val="0"/>
      <w:marBottom w:val="0"/>
      <w:divBdr>
        <w:top w:val="none" w:sz="0" w:space="0" w:color="auto"/>
        <w:left w:val="none" w:sz="0" w:space="0" w:color="auto"/>
        <w:bottom w:val="none" w:sz="0" w:space="0" w:color="auto"/>
        <w:right w:val="none" w:sz="0" w:space="0" w:color="auto"/>
      </w:divBdr>
    </w:div>
    <w:div w:id="2067298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27D04-6898-45BE-99F8-4324BBF3C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3</Pages>
  <Words>1030</Words>
  <Characters>5665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Zambrano</dc:creator>
  <cp:keywords/>
  <dc:description/>
  <cp:lastModifiedBy>Ángela María Valencia Arango</cp:lastModifiedBy>
  <cp:revision>17</cp:revision>
  <dcterms:created xsi:type="dcterms:W3CDTF">2024-07-11T14:03:00Z</dcterms:created>
  <dcterms:modified xsi:type="dcterms:W3CDTF">2024-07-16T02:08:00Z</dcterms:modified>
</cp:coreProperties>
</file>