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072D14" w:rsidRDefault="003314A2" w:rsidP="003314A2">
      <w:pPr>
        <w:spacing w:line="360" w:lineRule="auto"/>
        <w:rPr>
          <w:rFonts w:ascii="Century Gothic" w:hAnsi="Century Gothic"/>
          <w:sz w:val="22"/>
          <w:szCs w:val="22"/>
        </w:rPr>
      </w:pPr>
      <w:r w:rsidRPr="00072D14">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072D14"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072D14" w14:paraId="077F9E4D" w14:textId="77777777" w:rsidTr="003827E1">
        <w:trPr>
          <w:trHeight w:val="454"/>
        </w:trPr>
        <w:tc>
          <w:tcPr>
            <w:tcW w:w="4537" w:type="dxa"/>
            <w:vAlign w:val="center"/>
          </w:tcPr>
          <w:p w14:paraId="239BC5A7" w14:textId="7E10D35F" w:rsidR="00F67EF8" w:rsidRPr="00072D14" w:rsidRDefault="00F67EF8" w:rsidP="003B7F1A">
            <w:pPr>
              <w:spacing w:line="360" w:lineRule="auto"/>
              <w:rPr>
                <w:rFonts w:ascii="Century Gothic" w:hAnsi="Century Gothic"/>
                <w:b/>
                <w:bCs/>
                <w:sz w:val="22"/>
                <w:szCs w:val="22"/>
              </w:rPr>
            </w:pPr>
            <w:r w:rsidRPr="00072D14">
              <w:rPr>
                <w:rFonts w:ascii="Century Gothic" w:hAnsi="Century Gothic"/>
                <w:b/>
                <w:bCs/>
                <w:sz w:val="22"/>
                <w:szCs w:val="22"/>
              </w:rPr>
              <w:t>Fecha de presentación</w:t>
            </w:r>
          </w:p>
        </w:tc>
        <w:tc>
          <w:tcPr>
            <w:tcW w:w="5670" w:type="dxa"/>
          </w:tcPr>
          <w:p w14:paraId="29FA6EF6" w14:textId="5E835DFE" w:rsidR="00F67EF8" w:rsidRPr="00072D14" w:rsidRDefault="00A74E8B" w:rsidP="00F67EF8">
            <w:pPr>
              <w:spacing w:line="276" w:lineRule="auto"/>
              <w:jc w:val="both"/>
              <w:rPr>
                <w:rFonts w:ascii="Century Gothic" w:hAnsi="Century Gothic"/>
                <w:sz w:val="22"/>
                <w:szCs w:val="22"/>
              </w:rPr>
            </w:pPr>
            <w:r w:rsidRPr="00072D14">
              <w:rPr>
                <w:rFonts w:ascii="Century Gothic" w:hAnsi="Century Gothic"/>
                <w:sz w:val="22"/>
                <w:szCs w:val="22"/>
              </w:rPr>
              <w:t>23 de enero de 2025</w:t>
            </w:r>
          </w:p>
        </w:tc>
      </w:tr>
      <w:tr w:rsidR="00F67EF8" w:rsidRPr="00072D14" w14:paraId="6959AD48" w14:textId="77777777" w:rsidTr="003827E1">
        <w:trPr>
          <w:trHeight w:val="454"/>
        </w:trPr>
        <w:tc>
          <w:tcPr>
            <w:tcW w:w="4537" w:type="dxa"/>
            <w:vAlign w:val="center"/>
          </w:tcPr>
          <w:p w14:paraId="45E895A9" w14:textId="1E20E681" w:rsidR="00F67EF8" w:rsidRPr="00072D14" w:rsidRDefault="00F67EF8" w:rsidP="003B7F1A">
            <w:pPr>
              <w:spacing w:line="360" w:lineRule="auto"/>
              <w:rPr>
                <w:rFonts w:ascii="Century Gothic" w:hAnsi="Century Gothic"/>
                <w:b/>
                <w:bCs/>
                <w:sz w:val="22"/>
                <w:szCs w:val="22"/>
              </w:rPr>
            </w:pPr>
            <w:r w:rsidRPr="00072D14">
              <w:rPr>
                <w:rFonts w:ascii="Century Gothic" w:hAnsi="Century Gothic"/>
                <w:b/>
                <w:bCs/>
                <w:sz w:val="22"/>
                <w:szCs w:val="22"/>
              </w:rPr>
              <w:t>Tipo de abogado</w:t>
            </w:r>
          </w:p>
        </w:tc>
        <w:tc>
          <w:tcPr>
            <w:tcW w:w="5670" w:type="dxa"/>
          </w:tcPr>
          <w:p w14:paraId="06C25C40" w14:textId="2E34FEA0" w:rsidR="00F67EF8" w:rsidRPr="00072D14" w:rsidRDefault="002B6103" w:rsidP="00F67EF8">
            <w:pPr>
              <w:spacing w:line="276" w:lineRule="auto"/>
              <w:jc w:val="both"/>
              <w:rPr>
                <w:rFonts w:ascii="Century Gothic" w:hAnsi="Century Gothic"/>
                <w:sz w:val="22"/>
                <w:szCs w:val="22"/>
              </w:rPr>
            </w:pPr>
            <w:r>
              <w:rPr>
                <w:rFonts w:ascii="Century Gothic" w:hAnsi="Century Gothic"/>
                <w:sz w:val="22"/>
                <w:szCs w:val="22"/>
              </w:rPr>
              <w:t xml:space="preserve">Externo - </w:t>
            </w:r>
            <w:r w:rsidR="003861E4" w:rsidRPr="00072D14">
              <w:rPr>
                <w:rFonts w:ascii="Century Gothic" w:hAnsi="Century Gothic"/>
                <w:sz w:val="22"/>
                <w:szCs w:val="22"/>
              </w:rPr>
              <w:t xml:space="preserve">Gustavo Alberto Herrera </w:t>
            </w:r>
            <w:r w:rsidR="00727BC0" w:rsidRPr="00072D14">
              <w:rPr>
                <w:rFonts w:ascii="Century Gothic" w:hAnsi="Century Gothic"/>
                <w:sz w:val="22"/>
                <w:szCs w:val="22"/>
              </w:rPr>
              <w:t>Ávila</w:t>
            </w:r>
          </w:p>
        </w:tc>
      </w:tr>
      <w:tr w:rsidR="00F67EF8" w:rsidRPr="00072D14" w14:paraId="2F6DA3B0" w14:textId="77777777" w:rsidTr="003827E1">
        <w:trPr>
          <w:trHeight w:val="454"/>
        </w:trPr>
        <w:tc>
          <w:tcPr>
            <w:tcW w:w="4537" w:type="dxa"/>
            <w:vAlign w:val="center"/>
          </w:tcPr>
          <w:p w14:paraId="30599F8A" w14:textId="674A8832" w:rsidR="00F67EF8" w:rsidRPr="00072D14" w:rsidRDefault="00F67EF8" w:rsidP="003B7F1A">
            <w:pPr>
              <w:spacing w:line="360" w:lineRule="auto"/>
              <w:rPr>
                <w:rFonts w:ascii="Century Gothic" w:hAnsi="Century Gothic"/>
                <w:sz w:val="22"/>
                <w:szCs w:val="22"/>
              </w:rPr>
            </w:pPr>
            <w:r w:rsidRPr="00072D14">
              <w:rPr>
                <w:rFonts w:ascii="Century Gothic" w:hAnsi="Century Gothic"/>
                <w:b/>
                <w:bCs/>
                <w:sz w:val="22"/>
                <w:szCs w:val="22"/>
              </w:rPr>
              <w:t>Aseguradora vinculada al proceso</w:t>
            </w:r>
          </w:p>
        </w:tc>
        <w:tc>
          <w:tcPr>
            <w:tcW w:w="5670" w:type="dxa"/>
          </w:tcPr>
          <w:p w14:paraId="794A38B0" w14:textId="308FAC88" w:rsidR="00F67EF8" w:rsidRPr="00072D14" w:rsidRDefault="00727BC0" w:rsidP="00F67EF8">
            <w:pPr>
              <w:spacing w:line="276" w:lineRule="auto"/>
              <w:jc w:val="both"/>
              <w:rPr>
                <w:rFonts w:ascii="Century Gothic" w:hAnsi="Century Gothic"/>
                <w:sz w:val="22"/>
                <w:szCs w:val="22"/>
              </w:rPr>
            </w:pPr>
            <w:r w:rsidRPr="00072D14">
              <w:rPr>
                <w:rFonts w:ascii="Century Gothic" w:hAnsi="Century Gothic" w:cs="Arial"/>
                <w:sz w:val="22"/>
                <w:szCs w:val="22"/>
              </w:rPr>
              <w:t>La Equidad Seguros Generales S.A. </w:t>
            </w:r>
          </w:p>
        </w:tc>
      </w:tr>
      <w:tr w:rsidR="00F67EF8" w:rsidRPr="00072D14" w14:paraId="490540BB" w14:textId="77777777" w:rsidTr="003827E1">
        <w:trPr>
          <w:trHeight w:val="454"/>
        </w:trPr>
        <w:tc>
          <w:tcPr>
            <w:tcW w:w="4537" w:type="dxa"/>
            <w:vAlign w:val="center"/>
          </w:tcPr>
          <w:p w14:paraId="1C2D5235" w14:textId="2B4007F3"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SGC</w:t>
            </w:r>
          </w:p>
        </w:tc>
        <w:tc>
          <w:tcPr>
            <w:tcW w:w="5670" w:type="dxa"/>
          </w:tcPr>
          <w:p w14:paraId="11B788BC" w14:textId="7669A8B7" w:rsidR="00F67EF8" w:rsidRPr="00072D14" w:rsidRDefault="008B7B98" w:rsidP="00F67EF8">
            <w:pPr>
              <w:spacing w:line="276" w:lineRule="auto"/>
              <w:jc w:val="both"/>
              <w:rPr>
                <w:rFonts w:ascii="Century Gothic" w:hAnsi="Century Gothic"/>
                <w:sz w:val="22"/>
                <w:szCs w:val="22"/>
              </w:rPr>
            </w:pPr>
            <w:r w:rsidRPr="00072D14">
              <w:rPr>
                <w:rFonts w:ascii="Century Gothic" w:hAnsi="Century Gothic"/>
                <w:sz w:val="22"/>
                <w:szCs w:val="22"/>
              </w:rPr>
              <w:t>10393</w:t>
            </w:r>
          </w:p>
        </w:tc>
      </w:tr>
      <w:tr w:rsidR="00F67EF8" w:rsidRPr="00072D14" w14:paraId="1D86DF69" w14:textId="77777777" w:rsidTr="003827E1">
        <w:trPr>
          <w:trHeight w:val="454"/>
        </w:trPr>
        <w:tc>
          <w:tcPr>
            <w:tcW w:w="4537" w:type="dxa"/>
            <w:vAlign w:val="center"/>
          </w:tcPr>
          <w:p w14:paraId="699114C2" w14:textId="0BB9EC2F"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Despacho/Juzgado/ Tribunal</w:t>
            </w:r>
          </w:p>
        </w:tc>
        <w:tc>
          <w:tcPr>
            <w:tcW w:w="5670" w:type="dxa"/>
          </w:tcPr>
          <w:p w14:paraId="7DD6339C" w14:textId="089AC793" w:rsidR="00F67EF8" w:rsidRPr="00072D14" w:rsidRDefault="00D60086" w:rsidP="00F67EF8">
            <w:pPr>
              <w:spacing w:line="276" w:lineRule="auto"/>
              <w:jc w:val="both"/>
              <w:rPr>
                <w:rFonts w:ascii="Century Gothic" w:hAnsi="Century Gothic"/>
                <w:sz w:val="22"/>
                <w:szCs w:val="22"/>
              </w:rPr>
            </w:pPr>
            <w:r w:rsidRPr="00072D14">
              <w:rPr>
                <w:rFonts w:ascii="Century Gothic" w:hAnsi="Century Gothic" w:cs="Arial"/>
                <w:sz w:val="22"/>
                <w:szCs w:val="22"/>
              </w:rPr>
              <w:t>Juzgado Segundo (2°) Administrativo del Circuito de Armenia – Quindío</w:t>
            </w:r>
          </w:p>
        </w:tc>
      </w:tr>
      <w:tr w:rsidR="00F67EF8" w:rsidRPr="00072D14" w14:paraId="54742FD8" w14:textId="77777777" w:rsidTr="003827E1">
        <w:trPr>
          <w:trHeight w:val="454"/>
        </w:trPr>
        <w:tc>
          <w:tcPr>
            <w:tcW w:w="4537" w:type="dxa"/>
            <w:vAlign w:val="center"/>
          </w:tcPr>
          <w:p w14:paraId="5A357CCF" w14:textId="3C7FFC83" w:rsidR="00F67EF8" w:rsidRPr="00072D14" w:rsidRDefault="00992368" w:rsidP="003B7F1A">
            <w:pPr>
              <w:spacing w:line="276" w:lineRule="auto"/>
              <w:rPr>
                <w:rFonts w:ascii="Century Gothic" w:hAnsi="Century Gothic"/>
                <w:b/>
                <w:bCs/>
                <w:sz w:val="22"/>
                <w:szCs w:val="22"/>
              </w:rPr>
            </w:pPr>
            <w:r w:rsidRPr="00072D14">
              <w:rPr>
                <w:rFonts w:ascii="Century Gothic" w:hAnsi="Century Gothic"/>
                <w:b/>
                <w:bCs/>
                <w:sz w:val="22"/>
                <w:szCs w:val="22"/>
              </w:rPr>
              <w:t xml:space="preserve">Ciudad </w:t>
            </w:r>
          </w:p>
        </w:tc>
        <w:tc>
          <w:tcPr>
            <w:tcW w:w="5670" w:type="dxa"/>
          </w:tcPr>
          <w:p w14:paraId="5101FDD8" w14:textId="7CBD53F3" w:rsidR="00F67EF8" w:rsidRPr="00072D14" w:rsidRDefault="00D60086" w:rsidP="00F67EF8">
            <w:pPr>
              <w:spacing w:line="276" w:lineRule="auto"/>
              <w:jc w:val="both"/>
              <w:rPr>
                <w:rFonts w:ascii="Century Gothic" w:hAnsi="Century Gothic"/>
                <w:sz w:val="22"/>
                <w:szCs w:val="22"/>
              </w:rPr>
            </w:pPr>
            <w:r w:rsidRPr="00072D14">
              <w:rPr>
                <w:rFonts w:ascii="Century Gothic" w:hAnsi="Century Gothic"/>
                <w:sz w:val="22"/>
                <w:szCs w:val="22"/>
              </w:rPr>
              <w:t xml:space="preserve">Armenia – Quindío </w:t>
            </w:r>
          </w:p>
        </w:tc>
      </w:tr>
      <w:tr w:rsidR="00992368" w:rsidRPr="00072D14" w14:paraId="3983A9CE" w14:textId="77777777" w:rsidTr="003827E1">
        <w:trPr>
          <w:trHeight w:val="454"/>
        </w:trPr>
        <w:tc>
          <w:tcPr>
            <w:tcW w:w="4537" w:type="dxa"/>
            <w:vAlign w:val="center"/>
          </w:tcPr>
          <w:p w14:paraId="7EC7EF81" w14:textId="3CF9A0A9" w:rsidR="00992368" w:rsidRPr="00072D14" w:rsidRDefault="008E249B" w:rsidP="003B7F1A">
            <w:pPr>
              <w:spacing w:line="276" w:lineRule="auto"/>
              <w:rPr>
                <w:rFonts w:ascii="Century Gothic" w:hAnsi="Century Gothic"/>
                <w:b/>
                <w:bCs/>
                <w:sz w:val="22"/>
                <w:szCs w:val="22"/>
              </w:rPr>
            </w:pPr>
            <w:r w:rsidRPr="00072D14">
              <w:rPr>
                <w:rFonts w:ascii="Century Gothic" w:hAnsi="Century Gothic"/>
                <w:b/>
                <w:bCs/>
                <w:sz w:val="22"/>
                <w:szCs w:val="22"/>
              </w:rPr>
              <w:t>Radicado completo 23 dígitos</w:t>
            </w:r>
          </w:p>
        </w:tc>
        <w:tc>
          <w:tcPr>
            <w:tcW w:w="5670" w:type="dxa"/>
          </w:tcPr>
          <w:p w14:paraId="573C25D1" w14:textId="53364929" w:rsidR="00992368" w:rsidRPr="00072D14" w:rsidRDefault="00806541" w:rsidP="00F67EF8">
            <w:pPr>
              <w:spacing w:line="276" w:lineRule="auto"/>
              <w:jc w:val="both"/>
              <w:rPr>
                <w:rFonts w:ascii="Century Gothic" w:hAnsi="Century Gothic"/>
                <w:sz w:val="22"/>
                <w:szCs w:val="22"/>
              </w:rPr>
            </w:pPr>
            <w:r w:rsidRPr="00072D14">
              <w:rPr>
                <w:rFonts w:ascii="Century Gothic" w:hAnsi="Century Gothic" w:cs="Arial"/>
                <w:sz w:val="22"/>
                <w:szCs w:val="22"/>
              </w:rPr>
              <w:t>63001333300220220057300*</w:t>
            </w:r>
          </w:p>
        </w:tc>
      </w:tr>
      <w:tr w:rsidR="00992368" w:rsidRPr="00072D14" w14:paraId="4A0D8041" w14:textId="77777777" w:rsidTr="003827E1">
        <w:trPr>
          <w:trHeight w:val="454"/>
        </w:trPr>
        <w:tc>
          <w:tcPr>
            <w:tcW w:w="4537" w:type="dxa"/>
            <w:vAlign w:val="center"/>
          </w:tcPr>
          <w:p w14:paraId="6BA2EEB5" w14:textId="7369F36B" w:rsidR="00992368" w:rsidRPr="00072D14" w:rsidRDefault="00B2787D" w:rsidP="003B7F1A">
            <w:pPr>
              <w:spacing w:line="276" w:lineRule="auto"/>
              <w:rPr>
                <w:rFonts w:ascii="Century Gothic" w:hAnsi="Century Gothic"/>
                <w:b/>
                <w:bCs/>
                <w:sz w:val="22"/>
                <w:szCs w:val="22"/>
              </w:rPr>
            </w:pPr>
            <w:r w:rsidRPr="00072D14">
              <w:rPr>
                <w:rFonts w:ascii="Century Gothic" w:hAnsi="Century Gothic"/>
                <w:b/>
                <w:bCs/>
                <w:sz w:val="22"/>
                <w:szCs w:val="22"/>
              </w:rPr>
              <w:t>Fecha de notificación</w:t>
            </w:r>
          </w:p>
        </w:tc>
        <w:tc>
          <w:tcPr>
            <w:tcW w:w="5670" w:type="dxa"/>
          </w:tcPr>
          <w:p w14:paraId="64AC88EB" w14:textId="4AC997DC" w:rsidR="00992368" w:rsidRPr="00072D14" w:rsidRDefault="002B3A7D" w:rsidP="00F67EF8">
            <w:pPr>
              <w:spacing w:line="276" w:lineRule="auto"/>
              <w:jc w:val="both"/>
              <w:rPr>
                <w:rFonts w:ascii="Century Gothic" w:hAnsi="Century Gothic"/>
                <w:sz w:val="22"/>
                <w:szCs w:val="22"/>
              </w:rPr>
            </w:pPr>
            <w:r w:rsidRPr="00072D14">
              <w:rPr>
                <w:rFonts w:ascii="Century Gothic" w:hAnsi="Century Gothic"/>
                <w:sz w:val="22"/>
                <w:szCs w:val="22"/>
              </w:rPr>
              <w:t>12 de diciembre de 2024 (por estados electrónicos)</w:t>
            </w:r>
          </w:p>
        </w:tc>
      </w:tr>
      <w:tr w:rsidR="00992368" w:rsidRPr="00072D14" w14:paraId="028BDD81" w14:textId="77777777" w:rsidTr="003827E1">
        <w:trPr>
          <w:trHeight w:val="454"/>
        </w:trPr>
        <w:tc>
          <w:tcPr>
            <w:tcW w:w="4537" w:type="dxa"/>
            <w:vAlign w:val="center"/>
          </w:tcPr>
          <w:p w14:paraId="74AA3CB7" w14:textId="0154798B" w:rsidR="00992368" w:rsidRPr="00072D14" w:rsidRDefault="00B2787D" w:rsidP="003B7F1A">
            <w:pPr>
              <w:spacing w:line="276" w:lineRule="auto"/>
              <w:rPr>
                <w:rFonts w:ascii="Century Gothic" w:hAnsi="Century Gothic"/>
                <w:b/>
                <w:bCs/>
                <w:sz w:val="22"/>
                <w:szCs w:val="22"/>
              </w:rPr>
            </w:pPr>
            <w:r w:rsidRPr="00072D14">
              <w:rPr>
                <w:rFonts w:ascii="Century Gothic" w:hAnsi="Century Gothic"/>
                <w:b/>
                <w:bCs/>
                <w:sz w:val="22"/>
                <w:szCs w:val="22"/>
              </w:rPr>
              <w:t>Fecha vencimiento del término</w:t>
            </w:r>
          </w:p>
        </w:tc>
        <w:tc>
          <w:tcPr>
            <w:tcW w:w="5670" w:type="dxa"/>
          </w:tcPr>
          <w:p w14:paraId="41E82979" w14:textId="40FAAA1F" w:rsidR="00992368" w:rsidRPr="00072D14" w:rsidRDefault="002B3A7D" w:rsidP="00F67EF8">
            <w:pPr>
              <w:spacing w:line="276" w:lineRule="auto"/>
              <w:jc w:val="both"/>
              <w:rPr>
                <w:rFonts w:ascii="Century Gothic" w:hAnsi="Century Gothic"/>
                <w:sz w:val="22"/>
                <w:szCs w:val="22"/>
              </w:rPr>
            </w:pPr>
            <w:r w:rsidRPr="00072D14">
              <w:rPr>
                <w:rFonts w:ascii="Century Gothic" w:hAnsi="Century Gothic"/>
                <w:sz w:val="22"/>
                <w:szCs w:val="22"/>
              </w:rPr>
              <w:t>27 de enero de 2025</w:t>
            </w:r>
          </w:p>
        </w:tc>
      </w:tr>
    </w:tbl>
    <w:p w14:paraId="619AE562" w14:textId="77777777" w:rsidR="00BA1E5F" w:rsidRPr="00072D14" w:rsidRDefault="00BA1E5F">
      <w:pPr>
        <w:rPr>
          <w:rFonts w:ascii="Century Gothic" w:hAnsi="Century Gothic"/>
        </w:rPr>
      </w:pPr>
    </w:p>
    <w:p w14:paraId="64A76143" w14:textId="77777777" w:rsidR="00BA1E5F" w:rsidRPr="00072D14" w:rsidRDefault="00BA1E5F">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072D14" w14:paraId="55765E90" w14:textId="77777777" w:rsidTr="0095378E">
        <w:tc>
          <w:tcPr>
            <w:tcW w:w="10207" w:type="dxa"/>
            <w:shd w:val="clear" w:color="auto" w:fill="C5E0B3" w:themeFill="accent6" w:themeFillTint="66"/>
            <w:vAlign w:val="center"/>
          </w:tcPr>
          <w:p w14:paraId="7B465D4D" w14:textId="5CAE6B68" w:rsidR="00B2787D" w:rsidRPr="00072D14" w:rsidRDefault="00B2787D" w:rsidP="00B2787D">
            <w:pPr>
              <w:spacing w:line="276" w:lineRule="auto"/>
              <w:jc w:val="center"/>
              <w:rPr>
                <w:rFonts w:ascii="Century Gothic" w:hAnsi="Century Gothic"/>
                <w:sz w:val="22"/>
                <w:szCs w:val="22"/>
              </w:rPr>
            </w:pPr>
            <w:r w:rsidRPr="00072D14">
              <w:rPr>
                <w:rFonts w:ascii="Century Gothic" w:hAnsi="Century Gothic"/>
                <w:b/>
                <w:bCs/>
                <w:sz w:val="22"/>
                <w:szCs w:val="22"/>
              </w:rPr>
              <w:t>Hechos</w:t>
            </w:r>
            <w:r w:rsidR="007C37D7" w:rsidRPr="00072D14">
              <w:rPr>
                <w:rFonts w:ascii="Century Gothic" w:hAnsi="Century Gothic"/>
                <w:b/>
                <w:bCs/>
                <w:sz w:val="22"/>
                <w:szCs w:val="22"/>
              </w:rPr>
              <w:t xml:space="preserve"> </w:t>
            </w:r>
            <w:r w:rsidR="007C37D7" w:rsidRPr="00072D14">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072D14" w14:paraId="59EA92D0" w14:textId="77777777" w:rsidTr="006056E7">
        <w:tc>
          <w:tcPr>
            <w:tcW w:w="10207" w:type="dxa"/>
            <w:vAlign w:val="center"/>
          </w:tcPr>
          <w:p w14:paraId="7D5C850F" w14:textId="77777777" w:rsidR="00B2787D" w:rsidRPr="00072D14" w:rsidRDefault="00B2787D" w:rsidP="007C37D7">
            <w:pPr>
              <w:spacing w:line="276" w:lineRule="auto"/>
              <w:jc w:val="center"/>
              <w:rPr>
                <w:rFonts w:ascii="Century Gothic" w:hAnsi="Century Gothic"/>
                <w:sz w:val="22"/>
                <w:szCs w:val="22"/>
              </w:rPr>
            </w:pPr>
          </w:p>
          <w:p w14:paraId="1A416E76" w14:textId="77777777" w:rsidR="007B1CF1" w:rsidRPr="00072D14" w:rsidRDefault="007B1CF1" w:rsidP="007B1CF1">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De conformidad con los hechos narrados en la demanda se tiene que la señora Viviana Otálvaro inició proceso de gestación estando afiliada a la EPS Sanitas, por lo que el 9 de septiembre de 2020 acudió al servicio de urgencias de la ESE Hospital Departamental Universitario del Quindío San Juan de Dios con 38.6 semanas por un cuadro clínica consistente en un dolor tipo cólico, por lo que el galeno revisa a la paciente encontrando todo normal por lo que le da salida. El 10 de septiembre de 2020 la paciente </w:t>
            </w:r>
            <w:proofErr w:type="spellStart"/>
            <w:r w:rsidRPr="00072D14">
              <w:rPr>
                <w:rFonts w:ascii="Century Gothic" w:hAnsi="Century Gothic" w:cs="Arial"/>
                <w:sz w:val="22"/>
                <w:szCs w:val="22"/>
              </w:rPr>
              <w:t>re-consulta</w:t>
            </w:r>
            <w:proofErr w:type="spellEnd"/>
            <w:r w:rsidRPr="00072D14">
              <w:rPr>
                <w:rFonts w:ascii="Century Gothic" w:hAnsi="Century Gothic" w:cs="Arial"/>
                <w:sz w:val="22"/>
                <w:szCs w:val="22"/>
              </w:rPr>
              <w:t xml:space="preserve"> por presentar dolor tipo contracciones sin embargo el galeno señala que presenta un “falso trabajo de parto con actividad uterina irregular”. El 11 de septiembre de 2020 se consigna embarazo de 39.5 semanas y se omite tacto vaginal y se le da salida a la paciente, pero ésta el mismo día ingresó a urgencias manifestando que presentaba contracciones, por lo que se examina y se indica que presenta un embarazo de 40.2 semanas. El 12 de septiembre de 2020 se inician tactos vaginales en 5cm y se evidencia liquido turbio caliente con actividad uterina irregular con corioamnionitis por lo que se hace necesario iniciar antibiótico, conducción y reforzar actividad uterina, determinando un diagnóstico de infección de la bolsa amniótica o de las membranas. Posterior a ello se da inicio de conducción con oxitocina e inician plan de manejo </w:t>
            </w:r>
            <w:proofErr w:type="spellStart"/>
            <w:r w:rsidRPr="00072D14">
              <w:rPr>
                <w:rFonts w:ascii="Century Gothic" w:hAnsi="Century Gothic" w:cs="Arial"/>
                <w:sz w:val="22"/>
                <w:szCs w:val="22"/>
              </w:rPr>
              <w:t>antibioticovigilancia</w:t>
            </w:r>
            <w:proofErr w:type="spellEnd"/>
            <w:r w:rsidRPr="00072D14">
              <w:rPr>
                <w:rFonts w:ascii="Century Gothic" w:hAnsi="Century Gothic" w:cs="Arial"/>
                <w:sz w:val="22"/>
                <w:szCs w:val="22"/>
              </w:rPr>
              <w:t xml:space="preserve"> y evolución de trabajo de parto. El mismo 12 de septiembre presentó dilatación al 10% por lo que se inició trabajo de parto, pero se reportó un diagnóstico de </w:t>
            </w:r>
            <w:r w:rsidRPr="00072D14">
              <w:rPr>
                <w:rFonts w:ascii="Century Gothic" w:hAnsi="Century Gothic" w:cs="Arial"/>
                <w:sz w:val="22"/>
                <w:szCs w:val="22"/>
              </w:rPr>
              <w:lastRenderedPageBreak/>
              <w:t xml:space="preserve">“trabajo de parto obstruido debido a presentación anormal del feto no especificada” se inicia cesárea y se continua con antibioterapia. </w:t>
            </w:r>
          </w:p>
          <w:p w14:paraId="5B3769BA" w14:textId="77777777" w:rsidR="007B1CF1" w:rsidRPr="00072D14" w:rsidRDefault="007B1CF1" w:rsidP="007B1CF1">
            <w:pPr>
              <w:spacing w:line="312" w:lineRule="auto"/>
              <w:jc w:val="both"/>
              <w:rPr>
                <w:rFonts w:ascii="Century Gothic" w:hAnsi="Century Gothic" w:cs="Arial"/>
                <w:sz w:val="22"/>
                <w:szCs w:val="22"/>
              </w:rPr>
            </w:pPr>
          </w:p>
          <w:p w14:paraId="77DFDBA2" w14:textId="77777777" w:rsidR="007B1CF1" w:rsidRPr="00072D14" w:rsidRDefault="007B1CF1" w:rsidP="007B1CF1">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En la cesárea el cirujano encontró la placenta impregnada de pus y así mismo se presentaron desgarros a nivel vaginal, de arterias por lo que fue necesario llamar al cirujano de urgencias para controlar el sangrado. El recién nacido de nombre Mariana Montilla </w:t>
            </w:r>
            <w:proofErr w:type="spellStart"/>
            <w:r w:rsidRPr="00072D14">
              <w:rPr>
                <w:rFonts w:ascii="Century Gothic" w:hAnsi="Century Gothic" w:cs="Arial"/>
                <w:sz w:val="22"/>
                <w:szCs w:val="22"/>
              </w:rPr>
              <w:t>Otalvaro</w:t>
            </w:r>
            <w:proofErr w:type="spellEnd"/>
            <w:r w:rsidRPr="00072D14">
              <w:rPr>
                <w:rFonts w:ascii="Century Gothic" w:hAnsi="Century Gothic" w:cs="Arial"/>
                <w:sz w:val="22"/>
                <w:szCs w:val="22"/>
              </w:rPr>
              <w:t xml:space="preserve"> el 12 de septiembre de 2020 nace con un diagnóstico de SECUELAS ASFIXIA NEONATAL SEVERA SARNAT 2, ENCEFALOPATIA HIPOXICOISQUEMIA, EPILEPSIA FOCAL SINTOMATICA+ SX DE WEST SINTOMATICO TRASTORNO DE DEGLUCION GASTROSTOMIA, RETRASO GLOBAL DEL DESARROLLO", y meses después fue sometida a una cirugía de colocación de botón de Mickey.</w:t>
            </w:r>
          </w:p>
          <w:p w14:paraId="61F9D89A" w14:textId="77777777" w:rsidR="007B1CF1" w:rsidRPr="00072D14" w:rsidRDefault="007B1CF1" w:rsidP="007B1CF1">
            <w:pPr>
              <w:spacing w:line="312" w:lineRule="auto"/>
              <w:jc w:val="both"/>
              <w:rPr>
                <w:rFonts w:ascii="Century Gothic" w:hAnsi="Century Gothic" w:cs="Arial"/>
                <w:sz w:val="22"/>
                <w:szCs w:val="22"/>
              </w:rPr>
            </w:pPr>
          </w:p>
          <w:p w14:paraId="28DB9564" w14:textId="08C1F6E7" w:rsidR="00B2787D" w:rsidRPr="00072D14" w:rsidRDefault="007B1CF1" w:rsidP="007B1CF1">
            <w:pPr>
              <w:spacing w:line="312" w:lineRule="auto"/>
              <w:jc w:val="both"/>
              <w:rPr>
                <w:rFonts w:ascii="Century Gothic" w:hAnsi="Century Gothic"/>
                <w:sz w:val="22"/>
                <w:szCs w:val="22"/>
              </w:rPr>
            </w:pPr>
            <w:r w:rsidRPr="00072D14">
              <w:rPr>
                <w:rFonts w:ascii="Century Gothic" w:hAnsi="Century Gothic" w:cs="Arial"/>
                <w:sz w:val="22"/>
                <w:szCs w:val="22"/>
              </w:rPr>
              <w:t>Por lo anterior, aduce la parte actora que se presentó una insuficiente valoración de la progresión del trabajo de parto en todas sus fases lo que supuestamente impidió la detección temprana de la posición fetal anormal, lo que produjo la asfixia perinatal, convulsiones, hallazgos posteriores de encefalopatía hipóxico-isquémica, posible alteración visual y motora en la menor. Estas graves secuelas han generado en él y su familia un gran dolor, congoja, depresión y tristeza.</w:t>
            </w:r>
          </w:p>
          <w:p w14:paraId="285181BA" w14:textId="77777777" w:rsidR="00B2787D" w:rsidRPr="00072D14" w:rsidRDefault="00B2787D" w:rsidP="007C37D7">
            <w:pPr>
              <w:spacing w:line="276" w:lineRule="auto"/>
              <w:jc w:val="center"/>
              <w:rPr>
                <w:rFonts w:ascii="Century Gothic" w:hAnsi="Century Gothic"/>
                <w:sz w:val="22"/>
                <w:szCs w:val="22"/>
              </w:rPr>
            </w:pPr>
          </w:p>
        </w:tc>
      </w:tr>
    </w:tbl>
    <w:p w14:paraId="20C76EE3" w14:textId="77777777" w:rsidR="003827E1" w:rsidRPr="00072D14" w:rsidRDefault="003827E1">
      <w:pPr>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072D14" w14:paraId="2BD14B8D" w14:textId="77777777" w:rsidTr="0095378E">
        <w:tc>
          <w:tcPr>
            <w:tcW w:w="10207" w:type="dxa"/>
            <w:gridSpan w:val="2"/>
            <w:shd w:val="clear" w:color="auto" w:fill="C5E0B3" w:themeFill="accent6" w:themeFillTint="66"/>
            <w:vAlign w:val="center"/>
          </w:tcPr>
          <w:p w14:paraId="00111EA5" w14:textId="08575358" w:rsidR="007C37D7" w:rsidRPr="00072D14" w:rsidRDefault="007C37D7" w:rsidP="007C37D7">
            <w:pPr>
              <w:spacing w:line="276" w:lineRule="auto"/>
              <w:jc w:val="center"/>
              <w:rPr>
                <w:rFonts w:ascii="Century Gothic" w:hAnsi="Century Gothic"/>
                <w:sz w:val="22"/>
                <w:szCs w:val="22"/>
              </w:rPr>
            </w:pPr>
            <w:r w:rsidRPr="00072D14">
              <w:rPr>
                <w:rFonts w:ascii="Century Gothic" w:hAnsi="Century Gothic"/>
                <w:b/>
                <w:bCs/>
                <w:sz w:val="22"/>
                <w:szCs w:val="22"/>
              </w:rPr>
              <w:t xml:space="preserve">Pretensiones </w:t>
            </w:r>
            <w:r w:rsidRPr="00072D14">
              <w:rPr>
                <w:rFonts w:ascii="Century Gothic" w:hAnsi="Century Gothic"/>
                <w:sz w:val="22"/>
                <w:szCs w:val="22"/>
              </w:rPr>
              <w:t>(haga un relato o enliste las pretensiones de la demanda/llamamiento en garantía)</w:t>
            </w:r>
          </w:p>
        </w:tc>
      </w:tr>
      <w:tr w:rsidR="007C37D7" w:rsidRPr="00072D14" w14:paraId="2B7256CB" w14:textId="77777777" w:rsidTr="006056E7">
        <w:tc>
          <w:tcPr>
            <w:tcW w:w="10207" w:type="dxa"/>
            <w:gridSpan w:val="2"/>
            <w:vAlign w:val="center"/>
          </w:tcPr>
          <w:p w14:paraId="35698FCB"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b/>
                <w:bCs/>
                <w:sz w:val="22"/>
                <w:szCs w:val="22"/>
              </w:rPr>
              <w:t>Pretensiones</w:t>
            </w:r>
            <w:r w:rsidRPr="00072D14">
              <w:rPr>
                <w:rFonts w:ascii="Century Gothic" w:hAnsi="Century Gothic" w:cs="Arial"/>
                <w:sz w:val="22"/>
                <w:szCs w:val="22"/>
              </w:rPr>
              <w:t>: Que se reconozcan y paguen las siguientes sumas de dinero:</w:t>
            </w:r>
          </w:p>
          <w:p w14:paraId="2DBE3B5C" w14:textId="77777777" w:rsidR="00493C90" w:rsidRPr="00072D14" w:rsidRDefault="00493C90" w:rsidP="00493C90">
            <w:pPr>
              <w:tabs>
                <w:tab w:val="left" w:pos="2130"/>
              </w:tabs>
              <w:spacing w:line="312" w:lineRule="auto"/>
              <w:jc w:val="both"/>
              <w:rPr>
                <w:rFonts w:ascii="Century Gothic" w:hAnsi="Century Gothic" w:cs="Arial"/>
                <w:sz w:val="22"/>
                <w:szCs w:val="22"/>
              </w:rPr>
            </w:pPr>
            <w:r w:rsidRPr="00072D14">
              <w:rPr>
                <w:rFonts w:ascii="Century Gothic" w:hAnsi="Century Gothic" w:cs="Arial"/>
                <w:sz w:val="22"/>
                <w:szCs w:val="22"/>
              </w:rPr>
              <w:tab/>
            </w:r>
          </w:p>
          <w:p w14:paraId="75F7FF60" w14:textId="77777777" w:rsidR="00493C90" w:rsidRPr="00072D14" w:rsidRDefault="00493C90" w:rsidP="00493C90">
            <w:pPr>
              <w:spacing w:line="312" w:lineRule="auto"/>
              <w:jc w:val="both"/>
              <w:rPr>
                <w:rFonts w:ascii="Century Gothic" w:hAnsi="Century Gothic" w:cs="Arial"/>
                <w:b/>
                <w:bCs/>
                <w:sz w:val="22"/>
                <w:szCs w:val="22"/>
                <w:u w:val="single"/>
              </w:rPr>
            </w:pPr>
            <w:r w:rsidRPr="00072D14">
              <w:rPr>
                <w:rFonts w:ascii="Century Gothic" w:hAnsi="Century Gothic" w:cs="Arial"/>
                <w:b/>
                <w:bCs/>
                <w:sz w:val="22"/>
                <w:szCs w:val="22"/>
                <w:u w:val="single"/>
              </w:rPr>
              <w:t>Perjuicios morales: 600SMLMV</w:t>
            </w:r>
          </w:p>
          <w:p w14:paraId="460D069A"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Mariana Montilla Otálvaro: 100SMLMV</w:t>
            </w:r>
          </w:p>
          <w:p w14:paraId="7CC31E2E"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Viviana Otálvaro: 100SMLMV</w:t>
            </w:r>
          </w:p>
          <w:p w14:paraId="6469BB8D"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David Alejandro Montilla Orjuela: 100SMLMV </w:t>
            </w:r>
          </w:p>
          <w:p w14:paraId="474CFF57"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David Arturo Montilla Agredo: 100SMLMV </w:t>
            </w:r>
          </w:p>
          <w:p w14:paraId="6FEC94C1"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Martha Cecilia Orjuela Calderón: 100SMLMV </w:t>
            </w:r>
          </w:p>
          <w:p w14:paraId="62139C62"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 xml:space="preserve">Blanca Nelly Otálvaro: 100SMLMV </w:t>
            </w:r>
          </w:p>
          <w:p w14:paraId="25634793" w14:textId="77777777" w:rsidR="00493C90" w:rsidRPr="00072D14" w:rsidRDefault="00493C90" w:rsidP="00493C90">
            <w:pPr>
              <w:spacing w:line="312" w:lineRule="auto"/>
              <w:jc w:val="both"/>
              <w:rPr>
                <w:rFonts w:ascii="Century Gothic" w:hAnsi="Century Gothic" w:cs="Arial"/>
                <w:sz w:val="22"/>
                <w:szCs w:val="22"/>
              </w:rPr>
            </w:pPr>
          </w:p>
          <w:p w14:paraId="6CBDA26C" w14:textId="77777777" w:rsidR="00493C90" w:rsidRPr="00072D14" w:rsidRDefault="00493C90" w:rsidP="00493C90">
            <w:pPr>
              <w:spacing w:line="312" w:lineRule="auto"/>
              <w:jc w:val="both"/>
              <w:rPr>
                <w:rFonts w:ascii="Century Gothic" w:hAnsi="Century Gothic" w:cs="Arial"/>
                <w:b/>
                <w:bCs/>
                <w:sz w:val="22"/>
                <w:szCs w:val="22"/>
                <w:u w:val="single"/>
              </w:rPr>
            </w:pPr>
            <w:r w:rsidRPr="00072D14">
              <w:rPr>
                <w:rFonts w:ascii="Century Gothic" w:hAnsi="Century Gothic" w:cs="Arial"/>
                <w:b/>
                <w:bCs/>
                <w:sz w:val="22"/>
                <w:szCs w:val="22"/>
                <w:u w:val="single"/>
              </w:rPr>
              <w:t>Daño a la salud:100SMLMV</w:t>
            </w:r>
          </w:p>
          <w:p w14:paraId="420D0923"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Mariana Montilla Otálvaro: 100SMLMV</w:t>
            </w:r>
          </w:p>
          <w:p w14:paraId="09245FF5" w14:textId="77777777" w:rsidR="00493C90" w:rsidRPr="00072D14" w:rsidRDefault="00493C90" w:rsidP="00493C90">
            <w:pPr>
              <w:spacing w:line="312" w:lineRule="auto"/>
              <w:jc w:val="both"/>
              <w:rPr>
                <w:rFonts w:ascii="Century Gothic" w:hAnsi="Century Gothic" w:cs="Arial"/>
                <w:sz w:val="22"/>
                <w:szCs w:val="22"/>
              </w:rPr>
            </w:pPr>
          </w:p>
          <w:p w14:paraId="5381DE1E"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b/>
                <w:bCs/>
                <w:sz w:val="22"/>
                <w:szCs w:val="22"/>
                <w:u w:val="single"/>
              </w:rPr>
              <w:t>Pretensiones Subsidiarias</w:t>
            </w:r>
            <w:r w:rsidRPr="00072D14">
              <w:rPr>
                <w:rFonts w:ascii="Century Gothic" w:hAnsi="Century Gothic" w:cs="Arial"/>
                <w:sz w:val="22"/>
                <w:szCs w:val="22"/>
              </w:rPr>
              <w:t>:</w:t>
            </w:r>
          </w:p>
          <w:p w14:paraId="383313DE" w14:textId="77777777" w:rsidR="00493C90" w:rsidRPr="00072D14" w:rsidRDefault="00493C90" w:rsidP="00493C90">
            <w:pPr>
              <w:spacing w:line="312" w:lineRule="auto"/>
              <w:jc w:val="both"/>
              <w:rPr>
                <w:rFonts w:ascii="Century Gothic" w:hAnsi="Century Gothic" w:cs="Arial"/>
                <w:sz w:val="22"/>
                <w:szCs w:val="22"/>
              </w:rPr>
            </w:pPr>
            <w:r w:rsidRPr="00072D14">
              <w:rPr>
                <w:rFonts w:ascii="Century Gothic" w:hAnsi="Century Gothic" w:cs="Arial"/>
                <w:sz w:val="22"/>
                <w:szCs w:val="22"/>
              </w:rPr>
              <w:t>Pérdida de la oportunidad o chance: Sin cuantificar.</w:t>
            </w:r>
          </w:p>
          <w:p w14:paraId="1A8E05DD" w14:textId="77777777" w:rsidR="00493C90" w:rsidRPr="00072D14" w:rsidRDefault="00493C90" w:rsidP="00493C90">
            <w:pPr>
              <w:spacing w:line="312" w:lineRule="auto"/>
              <w:jc w:val="both"/>
              <w:rPr>
                <w:rFonts w:ascii="Century Gothic" w:hAnsi="Century Gothic" w:cs="Arial"/>
                <w:b/>
                <w:bCs/>
                <w:sz w:val="22"/>
                <w:szCs w:val="22"/>
              </w:rPr>
            </w:pPr>
          </w:p>
          <w:p w14:paraId="0CFD4ACC" w14:textId="46D54C76" w:rsidR="00FD53B3" w:rsidRPr="00072D14" w:rsidRDefault="00493C90" w:rsidP="00B51547">
            <w:pPr>
              <w:spacing w:line="312" w:lineRule="auto"/>
              <w:jc w:val="both"/>
              <w:rPr>
                <w:rFonts w:ascii="Century Gothic" w:hAnsi="Century Gothic"/>
                <w:sz w:val="22"/>
                <w:szCs w:val="22"/>
              </w:rPr>
            </w:pPr>
            <w:r w:rsidRPr="00072D14">
              <w:rPr>
                <w:rFonts w:ascii="Century Gothic" w:hAnsi="Century Gothic" w:cs="Arial"/>
                <w:b/>
                <w:bCs/>
                <w:sz w:val="22"/>
                <w:szCs w:val="22"/>
              </w:rPr>
              <w:t>TOTAL: 700SMLMV = $996.450.000 (Salario 2025).</w:t>
            </w:r>
          </w:p>
          <w:p w14:paraId="77C06868" w14:textId="77777777" w:rsidR="00FD53B3" w:rsidRPr="00072D14" w:rsidRDefault="00FD53B3" w:rsidP="007C37D7">
            <w:pPr>
              <w:spacing w:line="276" w:lineRule="auto"/>
              <w:jc w:val="center"/>
              <w:rPr>
                <w:rFonts w:ascii="Century Gothic" w:hAnsi="Century Gothic"/>
                <w:sz w:val="22"/>
                <w:szCs w:val="22"/>
              </w:rPr>
            </w:pPr>
          </w:p>
        </w:tc>
      </w:tr>
      <w:tr w:rsidR="00992368" w:rsidRPr="00072D14" w14:paraId="50D1C7A7" w14:textId="77777777" w:rsidTr="003827E1">
        <w:trPr>
          <w:trHeight w:val="510"/>
        </w:trPr>
        <w:tc>
          <w:tcPr>
            <w:tcW w:w="4537" w:type="dxa"/>
            <w:vAlign w:val="center"/>
          </w:tcPr>
          <w:p w14:paraId="013247F4" w14:textId="68D4118C" w:rsidR="00992368" w:rsidRPr="00072D14" w:rsidRDefault="001E1616" w:rsidP="003B7F1A">
            <w:pPr>
              <w:spacing w:line="276" w:lineRule="auto"/>
              <w:rPr>
                <w:rFonts w:ascii="Century Gothic" w:hAnsi="Century Gothic"/>
                <w:b/>
                <w:bCs/>
                <w:sz w:val="22"/>
                <w:szCs w:val="22"/>
              </w:rPr>
            </w:pPr>
            <w:r w:rsidRPr="00072D14">
              <w:rPr>
                <w:rFonts w:ascii="Century Gothic" w:hAnsi="Century Gothic"/>
                <w:b/>
                <w:bCs/>
                <w:sz w:val="22"/>
                <w:szCs w:val="22"/>
              </w:rPr>
              <w:lastRenderedPageBreak/>
              <w:t xml:space="preserve">Valor total de las pretensiones </w:t>
            </w:r>
          </w:p>
        </w:tc>
        <w:tc>
          <w:tcPr>
            <w:tcW w:w="5670" w:type="dxa"/>
            <w:vAlign w:val="center"/>
          </w:tcPr>
          <w:p w14:paraId="00FEFA37" w14:textId="2A2386D8" w:rsidR="00992368" w:rsidRPr="00072D14" w:rsidRDefault="001E1616" w:rsidP="003827E1">
            <w:pPr>
              <w:spacing w:line="276" w:lineRule="auto"/>
              <w:rPr>
                <w:rFonts w:ascii="Century Gothic" w:hAnsi="Century Gothic"/>
                <w:sz w:val="22"/>
                <w:szCs w:val="22"/>
              </w:rPr>
            </w:pPr>
            <w:r w:rsidRPr="00072D14">
              <w:rPr>
                <w:rFonts w:ascii="Century Gothic" w:hAnsi="Century Gothic"/>
                <w:sz w:val="22"/>
                <w:szCs w:val="22"/>
              </w:rPr>
              <w:t>$</w:t>
            </w:r>
            <w:r w:rsidR="00D43159" w:rsidRPr="00072D14">
              <w:rPr>
                <w:rFonts w:ascii="Century Gothic" w:hAnsi="Century Gothic"/>
                <w:sz w:val="22"/>
                <w:szCs w:val="22"/>
              </w:rPr>
              <w:t>996.450.000</w:t>
            </w:r>
          </w:p>
        </w:tc>
      </w:tr>
      <w:tr w:rsidR="00992368" w:rsidRPr="00072D14" w14:paraId="668F9413" w14:textId="77777777" w:rsidTr="003827E1">
        <w:trPr>
          <w:trHeight w:val="510"/>
        </w:trPr>
        <w:tc>
          <w:tcPr>
            <w:tcW w:w="4537" w:type="dxa"/>
            <w:vAlign w:val="center"/>
          </w:tcPr>
          <w:p w14:paraId="34E17619" w14:textId="7EF66606" w:rsidR="00992368" w:rsidRPr="00072D14" w:rsidRDefault="00FD53B3" w:rsidP="003B7F1A">
            <w:pPr>
              <w:spacing w:line="276" w:lineRule="auto"/>
              <w:rPr>
                <w:rFonts w:ascii="Century Gothic" w:hAnsi="Century Gothic"/>
                <w:b/>
                <w:bCs/>
                <w:sz w:val="22"/>
                <w:szCs w:val="22"/>
              </w:rPr>
            </w:pPr>
            <w:r w:rsidRPr="00072D14">
              <w:rPr>
                <w:rFonts w:ascii="Century Gothic" w:hAnsi="Century Gothic"/>
                <w:b/>
                <w:bCs/>
                <w:sz w:val="22"/>
                <w:szCs w:val="22"/>
              </w:rPr>
              <w:t>Valor total de las pretensiones objetivadas</w:t>
            </w:r>
          </w:p>
        </w:tc>
        <w:tc>
          <w:tcPr>
            <w:tcW w:w="5670" w:type="dxa"/>
            <w:vAlign w:val="center"/>
          </w:tcPr>
          <w:p w14:paraId="487C6084" w14:textId="4BEEF6D2" w:rsidR="00992368" w:rsidRPr="00072D14" w:rsidRDefault="00FD53B3" w:rsidP="003827E1">
            <w:pPr>
              <w:spacing w:line="276" w:lineRule="auto"/>
              <w:rPr>
                <w:rFonts w:ascii="Century Gothic" w:hAnsi="Century Gothic"/>
                <w:sz w:val="22"/>
                <w:szCs w:val="22"/>
              </w:rPr>
            </w:pPr>
            <w:r w:rsidRPr="00072D14">
              <w:rPr>
                <w:rFonts w:ascii="Century Gothic" w:hAnsi="Century Gothic"/>
                <w:sz w:val="22"/>
                <w:szCs w:val="22"/>
              </w:rPr>
              <w:t>$</w:t>
            </w:r>
            <w:r w:rsidR="005E53FF" w:rsidRPr="00072D14">
              <w:rPr>
                <w:rFonts w:ascii="Century Gothic" w:hAnsi="Century Gothic"/>
                <w:sz w:val="22"/>
                <w:szCs w:val="22"/>
              </w:rPr>
              <w:t>553.280.000</w:t>
            </w:r>
          </w:p>
        </w:tc>
      </w:tr>
    </w:tbl>
    <w:p w14:paraId="146E9C6D" w14:textId="77777777" w:rsidR="0095378E" w:rsidRPr="00072D14" w:rsidRDefault="0095378E">
      <w:pPr>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072D14" w14:paraId="77F9F71B" w14:textId="77777777" w:rsidTr="0095378E">
        <w:trPr>
          <w:trHeight w:val="285"/>
        </w:trPr>
        <w:tc>
          <w:tcPr>
            <w:tcW w:w="10191" w:type="dxa"/>
            <w:shd w:val="clear" w:color="auto" w:fill="C5E0B3" w:themeFill="accent6" w:themeFillTint="66"/>
            <w:vAlign w:val="center"/>
          </w:tcPr>
          <w:p w14:paraId="10E33877" w14:textId="0E982702" w:rsidR="00E802BC" w:rsidRPr="00072D14" w:rsidRDefault="00E802BC" w:rsidP="00E802BC">
            <w:pPr>
              <w:spacing w:line="276" w:lineRule="auto"/>
              <w:jc w:val="center"/>
              <w:rPr>
                <w:rFonts w:ascii="Century Gothic" w:hAnsi="Century Gothic"/>
                <w:sz w:val="22"/>
                <w:szCs w:val="22"/>
              </w:rPr>
            </w:pPr>
            <w:r w:rsidRPr="00072D14">
              <w:rPr>
                <w:rFonts w:ascii="Century Gothic" w:hAnsi="Century Gothic"/>
                <w:b/>
                <w:bCs/>
                <w:sz w:val="22"/>
                <w:szCs w:val="22"/>
              </w:rPr>
              <w:t>Liquidación de las pretensiones objetivadas</w:t>
            </w:r>
          </w:p>
        </w:tc>
      </w:tr>
      <w:tr w:rsidR="00E802BC" w:rsidRPr="00072D14" w14:paraId="33786C43" w14:textId="77777777" w:rsidTr="0095378E">
        <w:trPr>
          <w:trHeight w:val="6406"/>
        </w:trPr>
        <w:tc>
          <w:tcPr>
            <w:tcW w:w="10191" w:type="dxa"/>
            <w:vAlign w:val="center"/>
          </w:tcPr>
          <w:p w14:paraId="0CCA0BEC"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u w:val="single"/>
              </w:rPr>
              <w:t>LIQUIDACIÓN OBJETIVA: </w:t>
            </w:r>
            <w:r w:rsidRPr="00072D14">
              <w:rPr>
                <w:rFonts w:ascii="Century Gothic" w:hAnsi="Century Gothic" w:cs="Arial"/>
                <w:sz w:val="22"/>
                <w:szCs w:val="22"/>
              </w:rPr>
              <w:t>Por el valor total de</w:t>
            </w:r>
            <w:r w:rsidRPr="00072D14">
              <w:rPr>
                <w:rFonts w:ascii="Century Gothic" w:hAnsi="Century Gothic" w:cs="Arial"/>
                <w:b/>
                <w:bCs/>
                <w:sz w:val="22"/>
                <w:szCs w:val="22"/>
              </w:rPr>
              <w:t> </w:t>
            </w:r>
            <w:r w:rsidRPr="00072D14">
              <w:rPr>
                <w:rFonts w:ascii="Century Gothic" w:hAnsi="Century Gothic" w:cs="Arial"/>
                <w:b/>
                <w:bCs/>
                <w:sz w:val="22"/>
                <w:szCs w:val="22"/>
                <w:u w:val="single"/>
              </w:rPr>
              <w:t>$533.280.000</w:t>
            </w:r>
            <w:r w:rsidRPr="00072D14">
              <w:rPr>
                <w:rFonts w:ascii="Century Gothic" w:hAnsi="Century Gothic" w:cs="Arial"/>
                <w:b/>
                <w:bCs/>
                <w:sz w:val="22"/>
                <w:szCs w:val="22"/>
              </w:rPr>
              <w:t>, </w:t>
            </w:r>
            <w:r w:rsidRPr="00072D14">
              <w:rPr>
                <w:rFonts w:ascii="Century Gothic" w:hAnsi="Century Gothic" w:cs="Arial"/>
                <w:sz w:val="22"/>
                <w:szCs w:val="22"/>
              </w:rPr>
              <w:t>al cual se llegó de la siguiente manera:</w:t>
            </w:r>
            <w:r w:rsidRPr="00072D14">
              <w:rPr>
                <w:rFonts w:ascii="Century Gothic" w:hAnsi="Century Gothic" w:cs="Arial"/>
                <w:b/>
                <w:bCs/>
                <w:sz w:val="22"/>
                <w:szCs w:val="22"/>
              </w:rPr>
              <w:t> </w:t>
            </w:r>
          </w:p>
          <w:p w14:paraId="3E381707" w14:textId="77777777" w:rsidR="000755DD" w:rsidRPr="00072D14" w:rsidRDefault="000755DD" w:rsidP="000755DD">
            <w:pPr>
              <w:jc w:val="both"/>
              <w:rPr>
                <w:rFonts w:ascii="Century Gothic" w:hAnsi="Century Gothic" w:cs="Arial"/>
                <w:b/>
                <w:bCs/>
                <w:sz w:val="22"/>
                <w:szCs w:val="22"/>
                <w:u w:val="single"/>
              </w:rPr>
            </w:pPr>
          </w:p>
          <w:p w14:paraId="08D84D86"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rPr>
              <w:t>Daño Moral:</w:t>
            </w:r>
            <w:r w:rsidRPr="00072D14">
              <w:rPr>
                <w:rFonts w:ascii="Century Gothic" w:hAnsi="Century Gothic" w:cs="Arial"/>
                <w:sz w:val="22"/>
                <w:szCs w:val="22"/>
              </w:rPr>
              <w:t> </w:t>
            </w:r>
            <w:r w:rsidRPr="00072D14">
              <w:rPr>
                <w:rFonts w:ascii="Century Gothic" w:hAnsi="Century Gothic" w:cs="Arial"/>
                <w:b/>
                <w:bCs/>
                <w:sz w:val="22"/>
                <w:szCs w:val="22"/>
              </w:rPr>
              <w:t>400SMLMV</w:t>
            </w:r>
            <w:r w:rsidRPr="00072D14">
              <w:rPr>
                <w:rFonts w:ascii="Century Gothic" w:hAnsi="Century Gothic" w:cs="Arial"/>
                <w:sz w:val="22"/>
                <w:szCs w:val="22"/>
              </w:rPr>
              <w:t xml:space="preserve"> es decir $569.400.000 con SMLMV del año 2025. </w:t>
            </w:r>
            <w:r w:rsidRPr="00072D14">
              <w:rPr>
                <w:rFonts w:ascii="Century Gothic" w:hAnsi="Century Gothic" w:cs="Arial"/>
                <w:sz w:val="22"/>
                <w:szCs w:val="22"/>
              </w:rPr>
              <w:br/>
            </w:r>
            <w:r w:rsidRPr="00072D14">
              <w:rPr>
                <w:rFonts w:ascii="Century Gothic" w:hAnsi="Century Gothic" w:cs="Arial"/>
                <w:sz w:val="22"/>
                <w:szCs w:val="22"/>
              </w:rPr>
              <w:br/>
              <w:t xml:space="preserve">Se reconoce este rubro con el mínimo porcentaje de lesión otorgado por el Consejo de Estado en sentencia del 28 de agosto del 2014. rad. no. 66001-23-31-000-2001-00731-01 /26251, toda vez que a la fecha no existe dictamen pericial que determine porcentaje de </w:t>
            </w:r>
            <w:proofErr w:type="spellStart"/>
            <w:r w:rsidRPr="00072D14">
              <w:rPr>
                <w:rFonts w:ascii="Century Gothic" w:hAnsi="Century Gothic" w:cs="Arial"/>
                <w:sz w:val="22"/>
                <w:szCs w:val="22"/>
              </w:rPr>
              <w:t>PCl</w:t>
            </w:r>
            <w:proofErr w:type="spellEnd"/>
            <w:r w:rsidRPr="00072D14">
              <w:rPr>
                <w:rFonts w:ascii="Century Gothic" w:hAnsi="Century Gothic" w:cs="Arial"/>
                <w:sz w:val="22"/>
                <w:szCs w:val="22"/>
              </w:rPr>
              <w:t>, como tampoco dictamen de Medicina Legal que establezca secuelas permanentes o transitorias, teniendo en cuenta el daño cerebral que presenta se clasifica en 40%.</w:t>
            </w:r>
          </w:p>
          <w:p w14:paraId="6D22C952" w14:textId="77777777" w:rsidR="000755DD" w:rsidRPr="00072D14" w:rsidRDefault="000755DD" w:rsidP="000755DD">
            <w:pPr>
              <w:jc w:val="both"/>
              <w:rPr>
                <w:rFonts w:ascii="Century Gothic" w:hAnsi="Century Gothic" w:cs="Arial"/>
                <w:sz w:val="22"/>
                <w:szCs w:val="22"/>
              </w:rPr>
            </w:pPr>
          </w:p>
          <w:p w14:paraId="6A923F1B"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sz w:val="22"/>
                <w:szCs w:val="22"/>
              </w:rPr>
              <w:t>La suma de $569.400.000. se liquida el valor que de acuerdo a la sentencia de unificación del H. consejo de estado se ha reconocido por daño moral en los casos de lesiones personales con porcentaje del 40% al 50%, el cual asciende a 80 SMLMV para la víctima directa y aquellos en el primer grado de consanguinidad (3 demandantes –víctima directa, madre y padre) equivalentes a 240 SMLMV = $341.640.000 (año 2025) y 40 SMLMV para el segundo grado de consanguinidad (4 demandantes – abuelos maternos y paternos) equivalentes a 160SMLMV = $227.760.000 (año 2025)</w:t>
            </w:r>
          </w:p>
          <w:p w14:paraId="078BD371"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sz w:val="22"/>
                <w:szCs w:val="22"/>
              </w:rPr>
              <w:t> </w:t>
            </w:r>
          </w:p>
          <w:p w14:paraId="1A3B475B" w14:textId="77777777" w:rsidR="000755DD" w:rsidRPr="00072D14" w:rsidRDefault="000755DD" w:rsidP="000755DD">
            <w:pPr>
              <w:spacing w:line="312" w:lineRule="auto"/>
              <w:jc w:val="both"/>
              <w:rPr>
                <w:rFonts w:ascii="Century Gothic" w:hAnsi="Century Gothic" w:cs="Arial"/>
                <w:sz w:val="22"/>
                <w:szCs w:val="22"/>
              </w:rPr>
            </w:pPr>
            <w:r w:rsidRPr="00072D14">
              <w:rPr>
                <w:rFonts w:ascii="Century Gothic" w:hAnsi="Century Gothic" w:cs="Arial"/>
                <w:b/>
                <w:bCs/>
                <w:sz w:val="22"/>
                <w:szCs w:val="22"/>
              </w:rPr>
              <w:t>Daño a la salud: $113.880.000. </w:t>
            </w:r>
            <w:r w:rsidRPr="00072D14">
              <w:rPr>
                <w:rFonts w:ascii="Century Gothic" w:hAnsi="Century Gothic" w:cs="Arial"/>
                <w:sz w:val="22"/>
                <w:szCs w:val="22"/>
              </w:rPr>
              <w:t xml:space="preserve">En el dossier si bien no existe ningún dictamen pericial que determine porcentaje de </w:t>
            </w:r>
            <w:proofErr w:type="spellStart"/>
            <w:r w:rsidRPr="00072D14">
              <w:rPr>
                <w:rFonts w:ascii="Century Gothic" w:hAnsi="Century Gothic" w:cs="Arial"/>
                <w:sz w:val="22"/>
                <w:szCs w:val="22"/>
              </w:rPr>
              <w:t>PCl</w:t>
            </w:r>
            <w:proofErr w:type="spellEnd"/>
            <w:r w:rsidRPr="00072D14">
              <w:rPr>
                <w:rFonts w:ascii="Century Gothic" w:hAnsi="Century Gothic" w:cs="Arial"/>
                <w:sz w:val="22"/>
                <w:szCs w:val="22"/>
              </w:rPr>
              <w:t xml:space="preserve">, como tampoco dictamen de Medicina Legal que establezca secuelas permanentes o transitorias de la menor </w:t>
            </w:r>
            <w:r w:rsidRPr="00072D14">
              <w:rPr>
                <w:rFonts w:ascii="Century Gothic" w:hAnsi="Century Gothic" w:cs="Arial"/>
                <w:b/>
                <w:bCs/>
                <w:sz w:val="22"/>
                <w:szCs w:val="22"/>
              </w:rPr>
              <w:t xml:space="preserve">Mariana Montilla Otálvaro, </w:t>
            </w:r>
            <w:r w:rsidRPr="00072D14">
              <w:rPr>
                <w:rFonts w:ascii="Century Gothic" w:hAnsi="Century Gothic" w:cs="Arial"/>
                <w:sz w:val="22"/>
                <w:szCs w:val="22"/>
              </w:rPr>
              <w:t>sin embargo, de acuerdo con el diagnóstico médico dado el 12 de septiembre de 2022 al nacer de: "SECUELAS ASFIXIA NEONATAL SEVERA SARNAT 2, ENCEFALOPATIA HIPOXICOISQUEMIA. EPILEPSIA FOCAL SINTOMATICA+ SX DE WEST SINTOMATICO.</w:t>
            </w:r>
          </w:p>
          <w:p w14:paraId="6F2D3576" w14:textId="77777777" w:rsidR="000755DD" w:rsidRPr="00072D14" w:rsidRDefault="000755DD" w:rsidP="000755DD">
            <w:pPr>
              <w:spacing w:line="312" w:lineRule="auto"/>
              <w:jc w:val="both"/>
              <w:rPr>
                <w:rFonts w:ascii="Century Gothic" w:hAnsi="Century Gothic" w:cs="Arial"/>
                <w:b/>
                <w:bCs/>
                <w:sz w:val="22"/>
                <w:szCs w:val="22"/>
              </w:rPr>
            </w:pPr>
            <w:r w:rsidRPr="00072D14">
              <w:rPr>
                <w:rFonts w:ascii="Century Gothic" w:hAnsi="Century Gothic" w:cs="Arial"/>
                <w:sz w:val="22"/>
                <w:szCs w:val="22"/>
              </w:rPr>
              <w:t>TRASTORNO DE DEGLUCION GASTROSTOMIA, RETRASO GLOBAL DEL DESARROLLO", se tasa en un porcentaje del 40% al 50%, correspondiente a 80 SMLMV para la víctima directa equivalentes a $113.880.000.</w:t>
            </w:r>
          </w:p>
          <w:p w14:paraId="3468F40B" w14:textId="77777777" w:rsidR="000755DD" w:rsidRPr="00072D14" w:rsidRDefault="000755DD" w:rsidP="000755DD">
            <w:pPr>
              <w:jc w:val="both"/>
              <w:rPr>
                <w:rFonts w:ascii="Century Gothic" w:hAnsi="Century Gothic" w:cs="Arial"/>
                <w:sz w:val="22"/>
                <w:szCs w:val="22"/>
              </w:rPr>
            </w:pPr>
          </w:p>
          <w:p w14:paraId="39670D5B"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rPr>
              <w:t>Subsidiaria: Pérdida de la oportunidad</w:t>
            </w:r>
            <w:r w:rsidRPr="00072D14">
              <w:rPr>
                <w:rFonts w:ascii="Century Gothic" w:hAnsi="Century Gothic" w:cs="Arial"/>
                <w:sz w:val="22"/>
                <w:szCs w:val="22"/>
              </w:rPr>
              <w:t xml:space="preserve">: 0. No se reconoce, no se acreditó su causación. </w:t>
            </w:r>
          </w:p>
          <w:p w14:paraId="41784136" w14:textId="77777777" w:rsidR="000755DD" w:rsidRPr="00072D14" w:rsidRDefault="000755DD" w:rsidP="000755DD">
            <w:pPr>
              <w:jc w:val="both"/>
              <w:rPr>
                <w:rFonts w:ascii="Century Gothic" w:hAnsi="Century Gothic" w:cs="Arial"/>
                <w:sz w:val="22"/>
                <w:szCs w:val="22"/>
              </w:rPr>
            </w:pPr>
            <w:r w:rsidRPr="00072D14">
              <w:rPr>
                <w:rFonts w:ascii="Century Gothic" w:hAnsi="Century Gothic" w:cs="Arial"/>
                <w:b/>
                <w:bCs/>
                <w:sz w:val="22"/>
                <w:szCs w:val="22"/>
              </w:rPr>
              <w:t>Deducible:</w:t>
            </w:r>
            <w:r w:rsidRPr="00072D14">
              <w:rPr>
                <w:rFonts w:ascii="Century Gothic" w:hAnsi="Century Gothic" w:cs="Arial"/>
                <w:sz w:val="22"/>
                <w:szCs w:val="22"/>
              </w:rPr>
              <w:t xml:space="preserve"> Se pactó un deducible de 10% del valor de la pérdida min $150.000.000, por lo que se aplican los $150.000.000 por ser mayor. </w:t>
            </w:r>
          </w:p>
          <w:p w14:paraId="3D6A96B3" w14:textId="77777777" w:rsidR="000755DD" w:rsidRPr="00072D14" w:rsidRDefault="000755DD" w:rsidP="000755DD">
            <w:pPr>
              <w:jc w:val="both"/>
              <w:rPr>
                <w:rFonts w:ascii="Century Gothic" w:hAnsi="Century Gothic" w:cs="Arial"/>
                <w:sz w:val="22"/>
                <w:szCs w:val="22"/>
              </w:rPr>
            </w:pPr>
          </w:p>
          <w:p w14:paraId="31FF8AB1" w14:textId="3E5D7084" w:rsidR="00E802BC" w:rsidRPr="00072D14" w:rsidRDefault="000755DD" w:rsidP="0027660F">
            <w:pPr>
              <w:jc w:val="both"/>
              <w:rPr>
                <w:rFonts w:ascii="Century Gothic" w:hAnsi="Century Gothic"/>
                <w:sz w:val="22"/>
                <w:szCs w:val="22"/>
              </w:rPr>
            </w:pPr>
            <w:r w:rsidRPr="00072D14">
              <w:rPr>
                <w:rFonts w:ascii="Century Gothic" w:hAnsi="Century Gothic" w:cs="Arial"/>
                <w:sz w:val="22"/>
                <w:szCs w:val="22"/>
              </w:rPr>
              <w:t>Del total $683.280.000 – $150.000.000 = $533.280.000</w:t>
            </w:r>
          </w:p>
        </w:tc>
      </w:tr>
    </w:tbl>
    <w:p w14:paraId="7273C5A1" w14:textId="77777777" w:rsidR="0095378E" w:rsidRPr="00072D14"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072D14" w14:paraId="05674BEA" w14:textId="77777777" w:rsidTr="0095378E">
        <w:trPr>
          <w:trHeight w:val="321"/>
        </w:trPr>
        <w:tc>
          <w:tcPr>
            <w:tcW w:w="10207" w:type="dxa"/>
            <w:shd w:val="clear" w:color="auto" w:fill="C5E0B3" w:themeFill="accent6" w:themeFillTint="66"/>
            <w:vAlign w:val="center"/>
          </w:tcPr>
          <w:p w14:paraId="2BB97918" w14:textId="52E94393" w:rsidR="003B7F1A" w:rsidRPr="00072D14" w:rsidRDefault="003B7F1A" w:rsidP="003B7F1A">
            <w:pPr>
              <w:spacing w:line="276" w:lineRule="auto"/>
              <w:jc w:val="center"/>
              <w:rPr>
                <w:rFonts w:ascii="Century Gothic" w:hAnsi="Century Gothic"/>
                <w:sz w:val="22"/>
                <w:szCs w:val="22"/>
              </w:rPr>
            </w:pPr>
            <w:r w:rsidRPr="00072D14">
              <w:rPr>
                <w:rFonts w:ascii="Century Gothic" w:hAnsi="Century Gothic"/>
                <w:b/>
                <w:bCs/>
                <w:sz w:val="22"/>
                <w:szCs w:val="22"/>
              </w:rPr>
              <w:t>Excepciones</w:t>
            </w:r>
          </w:p>
        </w:tc>
      </w:tr>
      <w:tr w:rsidR="003B7F1A" w:rsidRPr="00072D14" w14:paraId="4AAD7549" w14:textId="77777777" w:rsidTr="0095378E">
        <w:trPr>
          <w:trHeight w:val="3906"/>
        </w:trPr>
        <w:tc>
          <w:tcPr>
            <w:tcW w:w="10207" w:type="dxa"/>
            <w:vAlign w:val="center"/>
          </w:tcPr>
          <w:p w14:paraId="2BBCE083" w14:textId="77777777" w:rsidR="00E42BDB" w:rsidRPr="00072D14" w:rsidRDefault="00E42BDB" w:rsidP="00E42BDB">
            <w:pPr>
              <w:jc w:val="both"/>
              <w:rPr>
                <w:rFonts w:ascii="Century Gothic" w:hAnsi="Century Gothic" w:cs="Arial"/>
                <w:sz w:val="22"/>
                <w:szCs w:val="22"/>
              </w:rPr>
            </w:pPr>
            <w:r w:rsidRPr="00072D14">
              <w:rPr>
                <w:rFonts w:ascii="Century Gothic" w:hAnsi="Century Gothic" w:cs="Arial"/>
                <w:sz w:val="22"/>
                <w:szCs w:val="22"/>
              </w:rPr>
              <w:t>Frente a la demanda:</w:t>
            </w:r>
          </w:p>
          <w:p w14:paraId="07FDB8E4"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AUSENCIA DEL NEXO CAUSAL ENTRE LAS SUPUESTAS LESIONES DE LA MENOR MARIANA MONTILLA OTÁLVARO Y LA SUPUESTA OMISIÓN DE LAS DEMANDADAS.</w:t>
            </w:r>
          </w:p>
          <w:p w14:paraId="2BAAB841" w14:textId="77777777" w:rsidR="00E42BDB" w:rsidRPr="00072D14" w:rsidRDefault="00E42BDB" w:rsidP="00E42BDB">
            <w:pPr>
              <w:pStyle w:val="Prrafodelista"/>
              <w:numPr>
                <w:ilvl w:val="0"/>
                <w:numId w:val="1"/>
              </w:numPr>
              <w:tabs>
                <w:tab w:val="left" w:pos="426"/>
              </w:tabs>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AUSENCIA DE ELEMENTOS QUE ACREDITEN LA SUPUESTA PÉRDIDA DE LA OPORTUNIDAD QUE SUFRIÓ LA MENOR MARIANA MONTILLA OTÁLVARO. </w:t>
            </w:r>
          </w:p>
          <w:p w14:paraId="4F6B5CA5" w14:textId="77777777" w:rsidR="00E42BDB" w:rsidRPr="00072D14" w:rsidRDefault="00E42BDB" w:rsidP="00E42BDB">
            <w:pPr>
              <w:pStyle w:val="Encabezado"/>
              <w:numPr>
                <w:ilvl w:val="0"/>
                <w:numId w:val="1"/>
              </w:numPr>
              <w:tabs>
                <w:tab w:val="clear" w:pos="4252"/>
                <w:tab w:val="clear" w:pos="8504"/>
                <w:tab w:val="left" w:pos="2268"/>
                <w:tab w:val="center" w:pos="4419"/>
                <w:tab w:val="right" w:pos="8838"/>
              </w:tabs>
              <w:spacing w:line="312" w:lineRule="auto"/>
              <w:ind w:left="284" w:hanging="284"/>
              <w:jc w:val="both"/>
              <w:rPr>
                <w:rFonts w:ascii="Century Gothic" w:hAnsi="Century Gothic" w:cs="Arial"/>
                <w:sz w:val="22"/>
                <w:szCs w:val="22"/>
                <w:lang w:val="es-ES"/>
              </w:rPr>
            </w:pPr>
            <w:r w:rsidRPr="00072D14">
              <w:rPr>
                <w:rFonts w:ascii="Century Gothic" w:hAnsi="Century Gothic" w:cs="Arial"/>
                <w:sz w:val="22"/>
                <w:szCs w:val="22"/>
                <w:lang w:val="es-ES"/>
              </w:rPr>
              <w:t>AUSENCIA DE RESPONSABILIDAD DE LA EPS SANITAS S.A.S.</w:t>
            </w:r>
          </w:p>
          <w:p w14:paraId="64CE0745"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LA OBLIGACIÓN DE LOS MÉDICOS ES DE MEDIOS Y NO DE RESULTADO.</w:t>
            </w:r>
          </w:p>
          <w:p w14:paraId="4EF9E065"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EXCEPCIONES PLANTEADAS POR QUIEN FORMULÓ EL LLAMAMIENTO EN GARANTÍA A MI REPRESENTADA.</w:t>
            </w:r>
          </w:p>
          <w:p w14:paraId="632265F8"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EXCESIVA TASACIÓN </w:t>
            </w:r>
            <w:bookmarkStart w:id="0" w:name="_Hlk139645147"/>
            <w:r w:rsidRPr="00072D14">
              <w:rPr>
                <w:rFonts w:ascii="Century Gothic" w:hAnsi="Century Gothic" w:cs="Arial"/>
                <w:sz w:val="22"/>
                <w:szCs w:val="22"/>
              </w:rPr>
              <w:t>E IMPROCEDENTE RECONOCIMIENTO DE PERJUICIOS INMATERIALES</w:t>
            </w:r>
            <w:bookmarkEnd w:id="0"/>
            <w:r w:rsidRPr="00072D14">
              <w:rPr>
                <w:rFonts w:ascii="Century Gothic" w:hAnsi="Century Gothic" w:cs="Arial"/>
                <w:sz w:val="22"/>
                <w:szCs w:val="22"/>
              </w:rPr>
              <w:t>.</w:t>
            </w:r>
          </w:p>
          <w:p w14:paraId="39AECEC9" w14:textId="77777777" w:rsidR="00E42BDB" w:rsidRPr="00072D14" w:rsidRDefault="00E42BDB" w:rsidP="00E42BDB">
            <w:pPr>
              <w:pStyle w:val="Prrafodelista"/>
              <w:numPr>
                <w:ilvl w:val="0"/>
                <w:numId w:val="1"/>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GENÉRICA O INNOMINADA </w:t>
            </w:r>
          </w:p>
          <w:p w14:paraId="023FB9E2" w14:textId="77777777" w:rsidR="00E42BDB" w:rsidRPr="00072D14" w:rsidRDefault="00E42BDB" w:rsidP="00E42BDB">
            <w:pPr>
              <w:spacing w:line="312" w:lineRule="auto"/>
              <w:jc w:val="both"/>
              <w:rPr>
                <w:rFonts w:ascii="Century Gothic" w:hAnsi="Century Gothic" w:cs="Arial"/>
                <w:sz w:val="22"/>
                <w:szCs w:val="22"/>
              </w:rPr>
            </w:pPr>
          </w:p>
          <w:p w14:paraId="61CAC3CE" w14:textId="77777777" w:rsidR="00E42BDB" w:rsidRPr="00072D14" w:rsidRDefault="00E42BDB" w:rsidP="00E42BDB">
            <w:pPr>
              <w:spacing w:line="312" w:lineRule="auto"/>
              <w:jc w:val="both"/>
              <w:rPr>
                <w:rFonts w:ascii="Century Gothic" w:hAnsi="Century Gothic" w:cs="Arial"/>
                <w:sz w:val="22"/>
                <w:szCs w:val="22"/>
              </w:rPr>
            </w:pPr>
            <w:r w:rsidRPr="00072D14">
              <w:rPr>
                <w:rFonts w:ascii="Century Gothic" w:hAnsi="Century Gothic" w:cs="Arial"/>
                <w:sz w:val="22"/>
                <w:szCs w:val="22"/>
              </w:rPr>
              <w:t>Frente al llamamiento en garantía:</w:t>
            </w:r>
          </w:p>
          <w:p w14:paraId="3AC6923A" w14:textId="77777777" w:rsidR="00E42BDB" w:rsidRPr="00072D14" w:rsidRDefault="00E42BDB" w:rsidP="00E42BDB">
            <w:pPr>
              <w:spacing w:line="312" w:lineRule="auto"/>
              <w:jc w:val="both"/>
              <w:rPr>
                <w:rFonts w:ascii="Century Gothic" w:hAnsi="Century Gothic" w:cs="Arial"/>
                <w:sz w:val="22"/>
                <w:szCs w:val="22"/>
              </w:rPr>
            </w:pPr>
          </w:p>
          <w:p w14:paraId="6EE4841F" w14:textId="77777777" w:rsidR="00E42BDB" w:rsidRPr="00072D14" w:rsidRDefault="00E42BDB" w:rsidP="00E42BDB">
            <w:pPr>
              <w:pStyle w:val="Prrafodelista"/>
              <w:widowControl w:val="0"/>
              <w:numPr>
                <w:ilvl w:val="0"/>
                <w:numId w:val="2"/>
              </w:numPr>
              <w:autoSpaceDE w:val="0"/>
              <w:autoSpaceDN w:val="0"/>
              <w:spacing w:after="0" w:line="312" w:lineRule="auto"/>
              <w:ind w:left="284" w:hanging="284"/>
              <w:rPr>
                <w:rFonts w:ascii="Century Gothic" w:hAnsi="Century Gothic" w:cs="Arial"/>
                <w:sz w:val="22"/>
                <w:szCs w:val="22"/>
              </w:rPr>
            </w:pPr>
            <w:r w:rsidRPr="00072D14">
              <w:rPr>
                <w:rFonts w:ascii="Century Gothic" w:hAnsi="Century Gothic" w:cs="Arial"/>
                <w:sz w:val="22"/>
                <w:szCs w:val="22"/>
              </w:rPr>
              <w:t>SE CONFIGURÓ LA PRESCRIPCIÓN DE LAS ACCIONES ORDINARIAS DERIVADAS DEL CONTRATO DE SEGUROS.</w:t>
            </w:r>
          </w:p>
          <w:p w14:paraId="4FAD9D49"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AUSENCIA DE COBERTURA MATERIAL – E INEXIBILIDAD POR LA NO REALIZACIÓN DEL RIESGO ASEGURADO EN LA PÓLIZA DE SEGURO DE RESPONSABILIDAD CIVIL PROFESIONAL PARA CLÍNICAS Y HOSPITALES No. AA195705. </w:t>
            </w:r>
          </w:p>
          <w:p w14:paraId="5277D575" w14:textId="77777777" w:rsidR="00E42BDB" w:rsidRPr="00072D14" w:rsidRDefault="00E42BDB" w:rsidP="00E42BDB">
            <w:pPr>
              <w:pStyle w:val="Prrafodelista"/>
              <w:numPr>
                <w:ilvl w:val="0"/>
                <w:numId w:val="2"/>
              </w:numPr>
              <w:tabs>
                <w:tab w:val="left" w:pos="567"/>
              </w:tabs>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LAS EXCLUSIONES DE AMPARO CONCERTADAS EN LA PÓLIZA DE SEGURO DE RESPONSABILIDAD CIVIL PROFESIONAL PARA CLÍNICAS Y HOSPITALES No. AA195705. </w:t>
            </w:r>
          </w:p>
          <w:p w14:paraId="5A44BE79" w14:textId="77777777" w:rsidR="00E42BDB" w:rsidRPr="00072D14" w:rsidRDefault="00E42BDB" w:rsidP="00E42BDB">
            <w:pPr>
              <w:pStyle w:val="Prrafodelista"/>
              <w:numPr>
                <w:ilvl w:val="0"/>
                <w:numId w:val="2"/>
              </w:numPr>
              <w:spacing w:after="0" w:line="312" w:lineRule="auto"/>
              <w:ind w:left="284" w:right="115" w:hanging="284"/>
              <w:jc w:val="both"/>
              <w:rPr>
                <w:rFonts w:ascii="Century Gothic" w:hAnsi="Century Gothic" w:cs="Arial"/>
                <w:sz w:val="22"/>
                <w:szCs w:val="22"/>
                <w:lang w:val="es-ES_tradnl" w:eastAsia="es-ES"/>
              </w:rPr>
            </w:pPr>
            <w:r w:rsidRPr="00072D14">
              <w:rPr>
                <w:rFonts w:ascii="Century Gothic" w:hAnsi="Century Gothic" w:cs="Arial"/>
                <w:iCs/>
                <w:sz w:val="22"/>
                <w:szCs w:val="22"/>
              </w:rPr>
              <w:t>C</w:t>
            </w:r>
            <w:r w:rsidRPr="00072D14">
              <w:rPr>
                <w:rFonts w:ascii="Century Gothic" w:hAnsi="Century Gothic" w:cs="Arial"/>
                <w:sz w:val="22"/>
                <w:szCs w:val="22"/>
                <w:lang w:val="es-ES_tradnl" w:eastAsia="es-ES"/>
              </w:rPr>
              <w:t>ARÁCTER MERAMENTE INDEMNIZATORIO QUE REVISTEN LOS CONTRATOS DE SEGURO.</w:t>
            </w:r>
          </w:p>
          <w:p w14:paraId="1A4C010D" w14:textId="77777777" w:rsidR="00E42BDB" w:rsidRPr="00072D14" w:rsidRDefault="00E42BDB" w:rsidP="00E42BDB">
            <w:pPr>
              <w:numPr>
                <w:ilvl w:val="0"/>
                <w:numId w:val="2"/>
              </w:numPr>
              <w:spacing w:line="312" w:lineRule="auto"/>
              <w:ind w:left="284" w:hanging="284"/>
              <w:jc w:val="both"/>
              <w:rPr>
                <w:rFonts w:ascii="Century Gothic" w:hAnsi="Century Gothic" w:cs="Arial"/>
                <w:sz w:val="22"/>
                <w:szCs w:val="22"/>
                <w:lang w:eastAsia="es-CO"/>
              </w:rPr>
            </w:pPr>
            <w:r w:rsidRPr="00072D14">
              <w:rPr>
                <w:rFonts w:ascii="Century Gothic" w:eastAsia="Calibri" w:hAnsi="Century Gothic" w:cs="Arial"/>
                <w:iCs/>
                <w:sz w:val="22"/>
                <w:szCs w:val="22"/>
              </w:rPr>
              <w:t>LÍMITES Y SUBLÍMITES MÁXIMOS DE RESPONSABILIDAD DEL ASEGURADOR</w:t>
            </w:r>
            <w:r w:rsidRPr="00072D14">
              <w:rPr>
                <w:rFonts w:ascii="Century Gothic" w:eastAsia="Calibri" w:hAnsi="Century Gothic" w:cs="Arial"/>
                <w:sz w:val="22"/>
                <w:szCs w:val="22"/>
              </w:rPr>
              <w:t xml:space="preserve"> Y CONDICIONES </w:t>
            </w:r>
            <w:r w:rsidRPr="00072D14">
              <w:rPr>
                <w:rFonts w:ascii="Century Gothic" w:hAnsi="Century Gothic" w:cs="Arial"/>
                <w:sz w:val="22"/>
                <w:szCs w:val="22"/>
              </w:rPr>
              <w:t>PACTADOS EN LA PÓLIZA DE SEGURO DE RESPONSABILIDAD CIVIL PROFESIONAL PARA CLÍNICAS Y HOSPITALES No. AA195705.</w:t>
            </w:r>
          </w:p>
          <w:p w14:paraId="70D10212" w14:textId="77777777" w:rsidR="00E42BDB" w:rsidRPr="00072D14" w:rsidRDefault="00E42BDB" w:rsidP="00E42BDB">
            <w:pPr>
              <w:pStyle w:val="Prrafodelista"/>
              <w:numPr>
                <w:ilvl w:val="0"/>
                <w:numId w:val="2"/>
              </w:numPr>
              <w:autoSpaceDE w:val="0"/>
              <w:autoSpaceDN w:val="0"/>
              <w:adjustRightInd w:val="0"/>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EN LA PÓLIZA DE SEGURO DE RESPONSABILIDAD CIVIL PROFESIONAL PARA CLÍNICAS Y HOSPITALES No. AA195705SE PACTÓ UN DEDUCIBLE.</w:t>
            </w:r>
          </w:p>
          <w:p w14:paraId="1D496F24"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DISPONIBILIDAD DEL VALOR ASEGURADO </w:t>
            </w:r>
          </w:p>
          <w:p w14:paraId="253982A2"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color w:val="000000" w:themeColor="text1"/>
                <w:sz w:val="22"/>
                <w:szCs w:val="22"/>
              </w:rPr>
              <w:t xml:space="preserve">AUSENCIA DE SOLIDARIDAD ENTRE MI MANDANTE Y LA </w:t>
            </w:r>
            <w:r w:rsidRPr="00072D14">
              <w:rPr>
                <w:rFonts w:ascii="Century Gothic" w:hAnsi="Century Gothic" w:cs="Arial"/>
                <w:sz w:val="22"/>
                <w:szCs w:val="22"/>
              </w:rPr>
              <w:t>EPS SANITAS S.A.S.</w:t>
            </w:r>
          </w:p>
          <w:p w14:paraId="2A55506D" w14:textId="77777777" w:rsidR="00E42BDB" w:rsidRPr="00072D14" w:rsidRDefault="00E42BDB" w:rsidP="00E42BDB">
            <w:pPr>
              <w:pStyle w:val="Prrafodelista"/>
              <w:numPr>
                <w:ilvl w:val="0"/>
                <w:numId w:val="2"/>
              </w:numPr>
              <w:autoSpaceDE w:val="0"/>
              <w:autoSpaceDN w:val="0"/>
              <w:adjustRightInd w:val="0"/>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PAGO POR REEMBOLSO </w:t>
            </w:r>
          </w:p>
          <w:p w14:paraId="25FB3BB1" w14:textId="77777777" w:rsidR="00E42BDB" w:rsidRPr="00072D14" w:rsidRDefault="00E42BDB" w:rsidP="00E42BDB">
            <w:pPr>
              <w:pStyle w:val="Prrafodelista"/>
              <w:numPr>
                <w:ilvl w:val="0"/>
                <w:numId w:val="2"/>
              </w:numPr>
              <w:spacing w:after="0" w:line="312" w:lineRule="auto"/>
              <w:ind w:left="284" w:hanging="284"/>
              <w:jc w:val="both"/>
              <w:rPr>
                <w:rFonts w:ascii="Century Gothic" w:hAnsi="Century Gothic" w:cs="Arial"/>
                <w:sz w:val="22"/>
                <w:szCs w:val="22"/>
              </w:rPr>
            </w:pPr>
            <w:r w:rsidRPr="00072D14">
              <w:rPr>
                <w:rFonts w:ascii="Century Gothic" w:hAnsi="Century Gothic" w:cs="Arial"/>
                <w:sz w:val="22"/>
                <w:szCs w:val="22"/>
              </w:rPr>
              <w:t xml:space="preserve">GENÉRICA O INNOMINADA </w:t>
            </w:r>
          </w:p>
          <w:p w14:paraId="52CE2D52" w14:textId="6D16D81A" w:rsidR="003B7F1A" w:rsidRPr="00072D14" w:rsidRDefault="003B7F1A" w:rsidP="003B7F1A">
            <w:pPr>
              <w:spacing w:line="276" w:lineRule="auto"/>
              <w:jc w:val="center"/>
              <w:rPr>
                <w:rFonts w:ascii="Century Gothic" w:hAnsi="Century Gothic"/>
                <w:sz w:val="22"/>
                <w:szCs w:val="22"/>
              </w:rPr>
            </w:pPr>
          </w:p>
        </w:tc>
      </w:tr>
    </w:tbl>
    <w:p w14:paraId="0AA122B4" w14:textId="77777777" w:rsidR="00F67EF8" w:rsidRPr="00072D14"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072D14" w14:paraId="4B531C7D" w14:textId="77777777" w:rsidTr="0095378E">
        <w:trPr>
          <w:trHeight w:val="454"/>
        </w:trPr>
        <w:tc>
          <w:tcPr>
            <w:tcW w:w="3266" w:type="dxa"/>
            <w:vAlign w:val="center"/>
            <w:hideMark/>
          </w:tcPr>
          <w:p w14:paraId="3F99B56F" w14:textId="1315CCDB" w:rsidR="00EE687D" w:rsidRPr="00072D14" w:rsidRDefault="006F0CAA"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A1E4B82" w:rsidR="00EE687D" w:rsidRPr="00072D14" w:rsidRDefault="00EE687D" w:rsidP="00EB6AB4">
            <w:pPr>
              <w:jc w:val="both"/>
              <w:rPr>
                <w:rFonts w:ascii="Century Gothic" w:hAnsi="Century Gothic" w:cs="Segoe UI"/>
                <w:sz w:val="22"/>
                <w:szCs w:val="22"/>
                <w:lang w:eastAsia="es-CO"/>
              </w:rPr>
            </w:pPr>
          </w:p>
        </w:tc>
      </w:tr>
      <w:tr w:rsidR="006F0CAA" w:rsidRPr="00072D14" w14:paraId="7A21B905" w14:textId="77777777" w:rsidTr="0095378E">
        <w:trPr>
          <w:trHeight w:val="454"/>
        </w:trPr>
        <w:tc>
          <w:tcPr>
            <w:tcW w:w="3266" w:type="dxa"/>
            <w:vAlign w:val="center"/>
          </w:tcPr>
          <w:p w14:paraId="533380A9" w14:textId="7103E52D" w:rsidR="006F0CAA" w:rsidRPr="00072D14" w:rsidRDefault="006F0CAA" w:rsidP="00EB6A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 xml:space="preserve">Caso </w:t>
            </w:r>
            <w:proofErr w:type="spellStart"/>
            <w:r w:rsidRPr="00072D14">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777777" w:rsidR="006F0CAA" w:rsidRPr="00072D14" w:rsidRDefault="006F0CAA" w:rsidP="00EB6AB4">
            <w:pPr>
              <w:jc w:val="both"/>
              <w:rPr>
                <w:rFonts w:ascii="Century Gothic" w:hAnsi="Century Gothic" w:cs="Segoe UI"/>
                <w:sz w:val="22"/>
                <w:szCs w:val="22"/>
                <w:lang w:eastAsia="es-CO"/>
              </w:rPr>
            </w:pPr>
          </w:p>
        </w:tc>
      </w:tr>
      <w:tr w:rsidR="00EE687D" w:rsidRPr="00072D14" w14:paraId="00877764" w14:textId="77777777" w:rsidTr="0095378E">
        <w:trPr>
          <w:trHeight w:val="454"/>
        </w:trPr>
        <w:tc>
          <w:tcPr>
            <w:tcW w:w="3266" w:type="dxa"/>
            <w:vAlign w:val="center"/>
            <w:hideMark/>
          </w:tcPr>
          <w:p w14:paraId="749E810E"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lastRenderedPageBreak/>
              <w:t>Póliza</w:t>
            </w:r>
          </w:p>
        </w:tc>
        <w:tc>
          <w:tcPr>
            <w:tcW w:w="6941" w:type="dxa"/>
            <w:vAlign w:val="center"/>
          </w:tcPr>
          <w:p w14:paraId="2BD96C74" w14:textId="77777777" w:rsidR="00E42BDB" w:rsidRPr="00072D14" w:rsidRDefault="00E42BDB" w:rsidP="00E42BDB">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AA195705</w:t>
            </w:r>
          </w:p>
          <w:p w14:paraId="7FC9EC9E" w14:textId="7B9BD2FB" w:rsidR="00EE687D" w:rsidRPr="00072D14" w:rsidRDefault="00EE687D" w:rsidP="00EB6AB4">
            <w:pPr>
              <w:jc w:val="both"/>
              <w:rPr>
                <w:rFonts w:ascii="Century Gothic" w:hAnsi="Century Gothic" w:cs="Segoe UI"/>
                <w:sz w:val="22"/>
                <w:szCs w:val="22"/>
                <w:lang w:eastAsia="es-CO"/>
              </w:rPr>
            </w:pPr>
          </w:p>
        </w:tc>
      </w:tr>
      <w:tr w:rsidR="00EE687D" w:rsidRPr="00072D14" w14:paraId="3260B646" w14:textId="77777777" w:rsidTr="0095378E">
        <w:trPr>
          <w:trHeight w:val="454"/>
        </w:trPr>
        <w:tc>
          <w:tcPr>
            <w:tcW w:w="3266" w:type="dxa"/>
            <w:vAlign w:val="center"/>
            <w:hideMark/>
          </w:tcPr>
          <w:p w14:paraId="67FBF2E5"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Certificado</w:t>
            </w:r>
          </w:p>
        </w:tc>
        <w:tc>
          <w:tcPr>
            <w:tcW w:w="6941" w:type="dxa"/>
            <w:vAlign w:val="center"/>
          </w:tcPr>
          <w:p w14:paraId="1271AF82"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br/>
              <w:t>o Póliza AA195705 -AA612539: (Vigencia: 30 de agosto de 2019 al 30 de agosto de 2020).</w:t>
            </w:r>
          </w:p>
          <w:p w14:paraId="2E66CED1"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AA195705-AA858524: (Vigencia: 21 de febrero de 2020 al 30 de agosto de 2020).</w:t>
            </w:r>
          </w:p>
          <w:p w14:paraId="3918F16E"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AA195705-AA879171: (Vigencia: 30 de agosto de 2020 al 14 de septiembre de 2020).</w:t>
            </w:r>
          </w:p>
          <w:p w14:paraId="0CF2EA12"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AA195705-AA757678: (Vigencia: 14 de septiembre de 2020 al 14 de septiembre de 2021).</w:t>
            </w:r>
          </w:p>
          <w:p w14:paraId="5E0A7799"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AA195705-AA810302: (Vigencia: 14 de septiembre de 2021 al 22 de septiembre de 2021).</w:t>
            </w:r>
          </w:p>
          <w:p w14:paraId="529B1839" w14:textId="77777777" w:rsidR="00FB5732" w:rsidRPr="00072D14" w:rsidRDefault="00FB5732" w:rsidP="00FB5732">
            <w:pPr>
              <w:pStyle w:val="NormalWeb"/>
              <w:spacing w:before="0" w:beforeAutospacing="0" w:after="0" w:afterAutospacing="0"/>
              <w:jc w:val="both"/>
              <w:rPr>
                <w:rFonts w:ascii="Century Gothic" w:hAnsi="Century Gothic" w:cs="Segoe UI"/>
                <w:color w:val="242424"/>
              </w:rPr>
            </w:pPr>
            <w:r w:rsidRPr="00072D14">
              <w:rPr>
                <w:rFonts w:ascii="Century Gothic" w:hAnsi="Century Gothic" w:cs="Segoe UI"/>
                <w:color w:val="242424"/>
                <w:sz w:val="22"/>
                <w:szCs w:val="22"/>
                <w:bdr w:val="none" w:sz="0" w:space="0" w:color="auto" w:frame="1"/>
              </w:rPr>
              <w:t>o Póliza AA195705-AA810910: (Vigencia: 22 de septiembre de 2021 al 27 de septiembre de 2021).</w:t>
            </w:r>
          </w:p>
          <w:p w14:paraId="47A2248B" w14:textId="1B2F8D40" w:rsidR="00EE687D" w:rsidRPr="00072D14" w:rsidRDefault="00FB5732" w:rsidP="00FB5732">
            <w:pPr>
              <w:jc w:val="both"/>
              <w:rPr>
                <w:rFonts w:ascii="Century Gothic" w:hAnsi="Century Gothic" w:cs="Segoe UI"/>
                <w:sz w:val="22"/>
                <w:szCs w:val="22"/>
                <w:lang w:eastAsia="es-CO"/>
              </w:rPr>
            </w:pPr>
            <w:r w:rsidRPr="00072D14">
              <w:rPr>
                <w:rFonts w:ascii="Century Gothic" w:hAnsi="Century Gothic" w:cs="Segoe UI"/>
                <w:color w:val="242424"/>
                <w:sz w:val="22"/>
                <w:szCs w:val="22"/>
                <w:bdr w:val="none" w:sz="0" w:space="0" w:color="auto" w:frame="1"/>
              </w:rPr>
              <w:t>o Póliza AA195705-AA811422: (Vigencia: 27 de septiembre de 2021 al 27 de septiembre de 2022).</w:t>
            </w:r>
          </w:p>
        </w:tc>
      </w:tr>
      <w:tr w:rsidR="00EE687D" w:rsidRPr="00072D14" w14:paraId="0BC7C6A3" w14:textId="77777777" w:rsidTr="0095378E">
        <w:trPr>
          <w:trHeight w:val="454"/>
        </w:trPr>
        <w:tc>
          <w:tcPr>
            <w:tcW w:w="3266" w:type="dxa"/>
            <w:vAlign w:val="center"/>
            <w:hideMark/>
          </w:tcPr>
          <w:p w14:paraId="433D63BC" w14:textId="77777777" w:rsidR="00EE687D" w:rsidRPr="00072D14" w:rsidRDefault="00EE687D"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Orden</w:t>
            </w:r>
          </w:p>
        </w:tc>
        <w:tc>
          <w:tcPr>
            <w:tcW w:w="6941" w:type="dxa"/>
            <w:vAlign w:val="center"/>
          </w:tcPr>
          <w:p w14:paraId="25280801" w14:textId="1AA81E08" w:rsidR="00EE687D" w:rsidRPr="00072D14" w:rsidRDefault="00FB5732" w:rsidP="00EB6A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1</w:t>
            </w:r>
          </w:p>
        </w:tc>
      </w:tr>
      <w:tr w:rsidR="00B90E05" w:rsidRPr="00072D14" w14:paraId="3ACEF28A" w14:textId="77777777" w:rsidTr="0095378E">
        <w:trPr>
          <w:trHeight w:val="454"/>
        </w:trPr>
        <w:tc>
          <w:tcPr>
            <w:tcW w:w="3266" w:type="dxa"/>
            <w:vAlign w:val="center"/>
          </w:tcPr>
          <w:p w14:paraId="0881BFDC" w14:textId="40C44F4A" w:rsidR="00B90E05" w:rsidRPr="00072D14" w:rsidRDefault="00B90E05" w:rsidP="00EB6A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B90E05" w:rsidRPr="00072D14" w:rsidRDefault="00B90E05" w:rsidP="00EB6AB4">
            <w:pPr>
              <w:jc w:val="both"/>
              <w:rPr>
                <w:rFonts w:ascii="Century Gothic" w:hAnsi="Century Gothic" w:cs="Segoe UI"/>
                <w:sz w:val="22"/>
                <w:szCs w:val="22"/>
                <w:lang w:eastAsia="es-CO"/>
              </w:rPr>
            </w:pPr>
          </w:p>
        </w:tc>
      </w:tr>
      <w:tr w:rsidR="00EE687D" w:rsidRPr="00072D14" w14:paraId="4BCD09C7" w14:textId="77777777" w:rsidTr="0095378E">
        <w:trPr>
          <w:trHeight w:val="454"/>
        </w:trPr>
        <w:tc>
          <w:tcPr>
            <w:tcW w:w="3266" w:type="dxa"/>
            <w:vAlign w:val="center"/>
            <w:hideMark/>
          </w:tcPr>
          <w:p w14:paraId="0A1C1E81" w14:textId="17519C67" w:rsidR="00EE687D" w:rsidRPr="00072D14" w:rsidRDefault="001C44B4" w:rsidP="00EB6A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CF6590" w:rsidR="00EE687D" w:rsidRPr="00072D14" w:rsidRDefault="00FB5732" w:rsidP="00EB6A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N/A</w:t>
            </w:r>
          </w:p>
        </w:tc>
      </w:tr>
      <w:tr w:rsidR="001C44B4" w:rsidRPr="00072D14" w14:paraId="0BA9ECEE" w14:textId="77777777" w:rsidTr="0095378E">
        <w:trPr>
          <w:trHeight w:val="454"/>
        </w:trPr>
        <w:tc>
          <w:tcPr>
            <w:tcW w:w="3266" w:type="dxa"/>
            <w:vAlign w:val="center"/>
          </w:tcPr>
          <w:p w14:paraId="7B70AF59" w14:textId="749D67BE"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FFEB14C"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SEPTIEMBRE DE 2020</w:t>
            </w:r>
          </w:p>
        </w:tc>
      </w:tr>
      <w:tr w:rsidR="001C44B4" w:rsidRPr="00072D14" w14:paraId="05412033" w14:textId="77777777" w:rsidTr="0095378E">
        <w:trPr>
          <w:trHeight w:val="454"/>
        </w:trPr>
        <w:tc>
          <w:tcPr>
            <w:tcW w:w="3266" w:type="dxa"/>
            <w:vAlign w:val="center"/>
          </w:tcPr>
          <w:p w14:paraId="43E688BB" w14:textId="54B02C3E"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378800E6"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SIN AVISO</w:t>
            </w:r>
          </w:p>
        </w:tc>
      </w:tr>
      <w:tr w:rsidR="001C44B4" w:rsidRPr="00072D14" w14:paraId="6DB6B020" w14:textId="77777777" w:rsidTr="0095378E">
        <w:trPr>
          <w:trHeight w:val="454"/>
        </w:trPr>
        <w:tc>
          <w:tcPr>
            <w:tcW w:w="3266" w:type="dxa"/>
            <w:vAlign w:val="center"/>
          </w:tcPr>
          <w:p w14:paraId="13FCE7D8" w14:textId="6EA7D194" w:rsidR="001C44B4" w:rsidRPr="00072D14" w:rsidRDefault="001C44B4"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E0FBE42" w:rsidR="001C44B4" w:rsidRPr="00072D14" w:rsidRDefault="00DA37FE"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FACULTATIVO</w:t>
            </w:r>
          </w:p>
        </w:tc>
      </w:tr>
      <w:tr w:rsidR="001C44B4" w:rsidRPr="00072D14" w14:paraId="2F1DA9E6" w14:textId="77777777" w:rsidTr="0095378E">
        <w:trPr>
          <w:trHeight w:val="454"/>
        </w:trPr>
        <w:tc>
          <w:tcPr>
            <w:tcW w:w="3266" w:type="dxa"/>
            <w:vAlign w:val="center"/>
          </w:tcPr>
          <w:p w14:paraId="3ECF2237" w14:textId="5FB6285C" w:rsidR="001C44B4" w:rsidRPr="00072D14" w:rsidRDefault="008B685D"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Tomador</w:t>
            </w:r>
          </w:p>
        </w:tc>
        <w:tc>
          <w:tcPr>
            <w:tcW w:w="6941" w:type="dxa"/>
            <w:vAlign w:val="center"/>
          </w:tcPr>
          <w:p w14:paraId="2B607964" w14:textId="52E144B1" w:rsidR="001C44B4" w:rsidRPr="00072D14" w:rsidRDefault="00292DCD"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COMPAÑÍA DE MEDICINA PREPAGADA COLSANITAS SA</w:t>
            </w:r>
          </w:p>
        </w:tc>
      </w:tr>
      <w:tr w:rsidR="001C44B4" w:rsidRPr="00072D14" w14:paraId="1165CBE1" w14:textId="77777777" w:rsidTr="0095378E">
        <w:trPr>
          <w:trHeight w:val="454"/>
        </w:trPr>
        <w:tc>
          <w:tcPr>
            <w:tcW w:w="3266" w:type="dxa"/>
            <w:vAlign w:val="center"/>
          </w:tcPr>
          <w:p w14:paraId="640F2169" w14:textId="4903327C"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Asegurado</w:t>
            </w:r>
          </w:p>
        </w:tc>
        <w:tc>
          <w:tcPr>
            <w:tcW w:w="6941" w:type="dxa"/>
            <w:vAlign w:val="center"/>
          </w:tcPr>
          <w:p w14:paraId="530284EB" w14:textId="24A3A838" w:rsidR="008E16DB" w:rsidRPr="00072D14" w:rsidRDefault="008E16DB" w:rsidP="008E16DB">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COMPAÑIA DE MEDICINA PREPAGADA COLSANITAS S.A.</w:t>
            </w:r>
          </w:p>
          <w:p w14:paraId="3381B0BB" w14:textId="22B20882" w:rsidR="001C44B4" w:rsidRPr="00072D14" w:rsidRDefault="001C44B4" w:rsidP="00E20362">
            <w:pPr>
              <w:jc w:val="both"/>
              <w:rPr>
                <w:rFonts w:ascii="Century Gothic" w:hAnsi="Century Gothic" w:cs="Segoe UI"/>
                <w:sz w:val="22"/>
                <w:szCs w:val="22"/>
                <w:lang w:val="es-CO" w:eastAsia="es-CO"/>
              </w:rPr>
            </w:pPr>
          </w:p>
        </w:tc>
      </w:tr>
      <w:tr w:rsidR="001C44B4" w:rsidRPr="00072D14" w14:paraId="513C2A8D" w14:textId="77777777" w:rsidTr="0095378E">
        <w:trPr>
          <w:trHeight w:val="454"/>
        </w:trPr>
        <w:tc>
          <w:tcPr>
            <w:tcW w:w="3266" w:type="dxa"/>
            <w:vAlign w:val="center"/>
            <w:hideMark/>
          </w:tcPr>
          <w:p w14:paraId="5E1FDA28" w14:textId="16DB1B8E"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Ramo</w:t>
            </w:r>
          </w:p>
        </w:tc>
        <w:tc>
          <w:tcPr>
            <w:tcW w:w="6941" w:type="dxa"/>
            <w:vAlign w:val="center"/>
          </w:tcPr>
          <w:p w14:paraId="0701202E" w14:textId="5431BFC2" w:rsidR="001C44B4" w:rsidRPr="00072D14" w:rsidRDefault="00C20F5A" w:rsidP="001C44B4">
            <w:pPr>
              <w:jc w:val="both"/>
              <w:rPr>
                <w:rFonts w:ascii="Century Gothic" w:hAnsi="Century Gothic" w:cs="Segoe UI"/>
                <w:sz w:val="22"/>
                <w:szCs w:val="22"/>
                <w:lang w:val="es-CO" w:eastAsia="es-CO"/>
              </w:rPr>
            </w:pPr>
            <w:r w:rsidRPr="00072D14">
              <w:rPr>
                <w:rFonts w:ascii="Century Gothic" w:hAnsi="Century Gothic" w:cs="Segoe UI"/>
                <w:sz w:val="22"/>
                <w:szCs w:val="22"/>
                <w:lang w:val="es-CO" w:eastAsia="es-CO"/>
              </w:rPr>
              <w:t>1008 R.C. PROFESIONAL CLINICAS</w:t>
            </w:r>
          </w:p>
        </w:tc>
      </w:tr>
      <w:tr w:rsidR="001C44B4" w:rsidRPr="00072D14" w14:paraId="2F8ECFA3" w14:textId="77777777" w:rsidTr="0095378E">
        <w:trPr>
          <w:trHeight w:val="454"/>
        </w:trPr>
        <w:tc>
          <w:tcPr>
            <w:tcW w:w="3266" w:type="dxa"/>
            <w:vAlign w:val="center"/>
            <w:hideMark/>
          </w:tcPr>
          <w:p w14:paraId="0C3932A6" w14:textId="2792643B" w:rsidR="001C44B4" w:rsidRPr="00072D14" w:rsidRDefault="008B685D"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3DC57A4" w:rsidR="001C44B4" w:rsidRPr="00072D14" w:rsidRDefault="005F00D1" w:rsidP="005F00D1">
            <w:pPr>
              <w:pStyle w:val="NormalWeb"/>
              <w:jc w:val="both"/>
              <w:rPr>
                <w:rFonts w:ascii="Century Gothic" w:hAnsi="Century Gothic" w:cs="Segoe UI"/>
                <w:sz w:val="22"/>
                <w:szCs w:val="22"/>
              </w:rPr>
            </w:pPr>
            <w:r w:rsidRPr="00072D14">
              <w:rPr>
                <w:rFonts w:ascii="Century Gothic" w:hAnsi="Century Gothic" w:cs="Segoe UI"/>
                <w:color w:val="242424"/>
                <w:sz w:val="22"/>
                <w:szCs w:val="22"/>
                <w:bdr w:val="none" w:sz="0" w:space="0" w:color="auto" w:frame="1"/>
              </w:rPr>
              <w:t>RC PROFESIONAL MEDICA</w:t>
            </w:r>
          </w:p>
        </w:tc>
      </w:tr>
      <w:tr w:rsidR="001C44B4" w:rsidRPr="00072D14" w14:paraId="59B4A554" w14:textId="77777777" w:rsidTr="0095378E">
        <w:trPr>
          <w:trHeight w:val="454"/>
        </w:trPr>
        <w:tc>
          <w:tcPr>
            <w:tcW w:w="3266" w:type="dxa"/>
            <w:vAlign w:val="center"/>
            <w:hideMark/>
          </w:tcPr>
          <w:p w14:paraId="0412A958" w14:textId="77777777" w:rsidR="001C44B4" w:rsidRPr="00072D14" w:rsidRDefault="001C44B4"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AED2641" w:rsidR="001C44B4" w:rsidRPr="00072D14" w:rsidRDefault="0069040B"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$4.750.000.000</w:t>
            </w:r>
          </w:p>
        </w:tc>
      </w:tr>
      <w:tr w:rsidR="001129B6" w:rsidRPr="00072D14" w14:paraId="2F24D88E" w14:textId="77777777" w:rsidTr="0095378E">
        <w:trPr>
          <w:trHeight w:val="454"/>
        </w:trPr>
        <w:tc>
          <w:tcPr>
            <w:tcW w:w="3266" w:type="dxa"/>
            <w:vAlign w:val="center"/>
          </w:tcPr>
          <w:p w14:paraId="0E72F2CD" w14:textId="1A6BE851" w:rsidR="001129B6" w:rsidRPr="00072D14" w:rsidRDefault="001129B6" w:rsidP="001C44B4">
            <w:pPr>
              <w:jc w:val="both"/>
              <w:textAlignment w:val="baseline"/>
              <w:rPr>
                <w:rFonts w:ascii="Century Gothic" w:hAnsi="Century Gothic"/>
                <w:b/>
                <w:bCs/>
                <w:color w:val="000000"/>
                <w:sz w:val="22"/>
                <w:szCs w:val="22"/>
                <w:shd w:val="clear" w:color="auto" w:fill="FFFFFF"/>
                <w:lang w:eastAsia="es-CO"/>
              </w:rPr>
            </w:pPr>
            <w:r w:rsidRPr="00072D14">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E861ABC" w:rsidR="001129B6" w:rsidRPr="00072D14" w:rsidRDefault="008C7468"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8 DE AGOSTO DE 2022</w:t>
            </w:r>
          </w:p>
        </w:tc>
      </w:tr>
      <w:tr w:rsidR="001C44B4" w:rsidRPr="00072D14" w14:paraId="658B9E4D" w14:textId="77777777" w:rsidTr="0095378E">
        <w:trPr>
          <w:trHeight w:val="454"/>
        </w:trPr>
        <w:tc>
          <w:tcPr>
            <w:tcW w:w="3266" w:type="dxa"/>
            <w:vAlign w:val="center"/>
            <w:hideMark/>
          </w:tcPr>
          <w:p w14:paraId="02377331" w14:textId="79A3F98F" w:rsidR="001C44B4" w:rsidRPr="00072D14" w:rsidRDefault="002633C0" w:rsidP="001C44B4">
            <w:pPr>
              <w:jc w:val="both"/>
              <w:textAlignment w:val="baseline"/>
              <w:rPr>
                <w:rFonts w:ascii="Century Gothic" w:hAnsi="Century Gothic" w:cs="Segoe UI"/>
                <w:sz w:val="22"/>
                <w:szCs w:val="22"/>
                <w:lang w:eastAsia="es-CO"/>
              </w:rPr>
            </w:pPr>
            <w:r w:rsidRPr="00072D14">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B9818A7" w:rsidR="001C44B4" w:rsidRPr="00072D14" w:rsidRDefault="002633C0" w:rsidP="001C44B4">
            <w:pPr>
              <w:jc w:val="both"/>
              <w:rPr>
                <w:rFonts w:ascii="Century Gothic" w:hAnsi="Century Gothic" w:cs="Segoe UI"/>
                <w:sz w:val="22"/>
                <w:szCs w:val="22"/>
                <w:lang w:eastAsia="es-CO"/>
              </w:rPr>
            </w:pPr>
            <w:r w:rsidRPr="00072D14">
              <w:rPr>
                <w:rFonts w:ascii="Century Gothic" w:hAnsi="Century Gothic" w:cs="Segoe UI"/>
                <w:sz w:val="22"/>
                <w:szCs w:val="22"/>
                <w:lang w:eastAsia="es-CO"/>
              </w:rPr>
              <w:t xml:space="preserve"> </w:t>
            </w:r>
            <w:r w:rsidR="008E16DB" w:rsidRPr="00072D14">
              <w:rPr>
                <w:rFonts w:ascii="Century Gothic" w:hAnsi="Century Gothic" w:cs="Segoe UI"/>
                <w:sz w:val="22"/>
                <w:szCs w:val="22"/>
                <w:lang w:eastAsia="es-CO"/>
              </w:rPr>
              <w:t>NO</w:t>
            </w:r>
          </w:p>
        </w:tc>
      </w:tr>
    </w:tbl>
    <w:p w14:paraId="397A1D68" w14:textId="77777777" w:rsidR="003B44CB" w:rsidRPr="00072D14" w:rsidRDefault="003B44CB" w:rsidP="003314A2">
      <w:pPr>
        <w:spacing w:line="360" w:lineRule="auto"/>
        <w:rPr>
          <w:rFonts w:ascii="Century Gothic" w:hAnsi="Century Gothic"/>
          <w:sz w:val="22"/>
          <w:szCs w:val="22"/>
        </w:rPr>
      </w:pPr>
    </w:p>
    <w:p w14:paraId="61F56879" w14:textId="77777777" w:rsidR="0095378E" w:rsidRPr="00072D14"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3687"/>
        <w:gridCol w:w="6520"/>
      </w:tblGrid>
      <w:tr w:rsidR="002633C0" w:rsidRPr="00072D14" w14:paraId="49B1F103" w14:textId="77777777" w:rsidTr="00BA1E5F">
        <w:tc>
          <w:tcPr>
            <w:tcW w:w="3687" w:type="dxa"/>
          </w:tcPr>
          <w:p w14:paraId="673B76C6" w14:textId="23992614" w:rsidR="002633C0" w:rsidRPr="00072D14" w:rsidRDefault="00BA1E5F" w:rsidP="003314A2">
            <w:pPr>
              <w:spacing w:line="360" w:lineRule="auto"/>
              <w:rPr>
                <w:rFonts w:ascii="Century Gothic" w:hAnsi="Century Gothic"/>
                <w:sz w:val="22"/>
                <w:szCs w:val="22"/>
              </w:rPr>
            </w:pPr>
            <w:r w:rsidRPr="00072D14">
              <w:rPr>
                <w:rFonts w:ascii="Century Gothic" w:hAnsi="Century Gothic"/>
                <w:b/>
                <w:bCs/>
                <w:sz w:val="22"/>
                <w:szCs w:val="22"/>
              </w:rPr>
              <w:t>Calificación de la contingencia</w:t>
            </w:r>
          </w:p>
        </w:tc>
        <w:tc>
          <w:tcPr>
            <w:tcW w:w="6520" w:type="dxa"/>
          </w:tcPr>
          <w:p w14:paraId="6F4874B3" w14:textId="0B3F5D04" w:rsidR="002633C0" w:rsidRPr="00072D14" w:rsidRDefault="002B3A7D" w:rsidP="003314A2">
            <w:pPr>
              <w:spacing w:line="360" w:lineRule="auto"/>
              <w:rPr>
                <w:rFonts w:ascii="Century Gothic" w:hAnsi="Century Gothic"/>
                <w:sz w:val="22"/>
                <w:szCs w:val="22"/>
              </w:rPr>
            </w:pPr>
            <w:r w:rsidRPr="00072D14">
              <w:rPr>
                <w:rFonts w:ascii="Century Gothic" w:hAnsi="Century Gothic"/>
                <w:sz w:val="22"/>
                <w:szCs w:val="22"/>
              </w:rPr>
              <w:t>REMOTA</w:t>
            </w:r>
          </w:p>
        </w:tc>
      </w:tr>
      <w:tr w:rsidR="002633C0" w:rsidRPr="00072D14" w14:paraId="47B026EC" w14:textId="77777777" w:rsidTr="00BA1E5F">
        <w:tc>
          <w:tcPr>
            <w:tcW w:w="3687" w:type="dxa"/>
          </w:tcPr>
          <w:p w14:paraId="4A77CED7" w14:textId="00C97735" w:rsidR="002633C0" w:rsidRPr="00072D14" w:rsidRDefault="00BA1E5F" w:rsidP="003314A2">
            <w:pPr>
              <w:spacing w:line="360" w:lineRule="auto"/>
              <w:rPr>
                <w:rFonts w:ascii="Century Gothic" w:hAnsi="Century Gothic"/>
                <w:b/>
                <w:bCs/>
                <w:sz w:val="22"/>
                <w:szCs w:val="22"/>
              </w:rPr>
            </w:pPr>
            <w:r w:rsidRPr="00072D14">
              <w:rPr>
                <w:rFonts w:ascii="Century Gothic" w:hAnsi="Century Gothic"/>
                <w:b/>
                <w:bCs/>
                <w:sz w:val="22"/>
                <w:szCs w:val="22"/>
              </w:rPr>
              <w:t xml:space="preserve">Reserva sugerida: </w:t>
            </w:r>
          </w:p>
        </w:tc>
        <w:tc>
          <w:tcPr>
            <w:tcW w:w="6520" w:type="dxa"/>
          </w:tcPr>
          <w:p w14:paraId="7146E445" w14:textId="42ABC305" w:rsidR="002633C0" w:rsidRPr="00072D14" w:rsidRDefault="00403EA5" w:rsidP="003314A2">
            <w:pPr>
              <w:spacing w:line="360" w:lineRule="auto"/>
              <w:rPr>
                <w:rFonts w:ascii="Century Gothic" w:hAnsi="Century Gothic"/>
                <w:sz w:val="22"/>
                <w:szCs w:val="22"/>
              </w:rPr>
            </w:pPr>
            <w:r w:rsidRPr="00072D14">
              <w:rPr>
                <w:rFonts w:ascii="Century Gothic" w:hAnsi="Century Gothic"/>
                <w:sz w:val="22"/>
                <w:szCs w:val="22"/>
              </w:rPr>
              <w:t>40%</w:t>
            </w:r>
            <w:r w:rsidR="00B76F1D" w:rsidRPr="00072D14">
              <w:rPr>
                <w:rFonts w:ascii="Century Gothic" w:hAnsi="Century Gothic"/>
                <w:sz w:val="22"/>
                <w:szCs w:val="22"/>
              </w:rPr>
              <w:t xml:space="preserve"> = </w:t>
            </w:r>
            <w:r w:rsidR="00072D14" w:rsidRPr="00072D14">
              <w:rPr>
                <w:rFonts w:ascii="Century Gothic" w:hAnsi="Century Gothic"/>
                <w:sz w:val="22"/>
                <w:szCs w:val="22"/>
              </w:rPr>
              <w:t>$213.312.000</w:t>
            </w:r>
          </w:p>
        </w:tc>
      </w:tr>
      <w:tr w:rsidR="00BA1E5F" w:rsidRPr="00072D14" w14:paraId="22F780E0" w14:textId="77777777" w:rsidTr="008B59F4">
        <w:tc>
          <w:tcPr>
            <w:tcW w:w="10207" w:type="dxa"/>
            <w:gridSpan w:val="2"/>
            <w:shd w:val="clear" w:color="auto" w:fill="C5E0B3" w:themeFill="accent6" w:themeFillTint="66"/>
            <w:vAlign w:val="center"/>
          </w:tcPr>
          <w:p w14:paraId="2E984764" w14:textId="51214522" w:rsidR="00BA1E5F" w:rsidRPr="00072D14" w:rsidRDefault="00BA1E5F" w:rsidP="00BA1E5F">
            <w:pPr>
              <w:spacing w:line="360" w:lineRule="auto"/>
              <w:jc w:val="center"/>
              <w:rPr>
                <w:rFonts w:ascii="Century Gothic" w:hAnsi="Century Gothic"/>
                <w:sz w:val="22"/>
                <w:szCs w:val="22"/>
              </w:rPr>
            </w:pPr>
            <w:r w:rsidRPr="00072D14">
              <w:rPr>
                <w:rFonts w:ascii="Century Gothic" w:hAnsi="Century Gothic"/>
                <w:b/>
                <w:bCs/>
                <w:sz w:val="22"/>
                <w:szCs w:val="22"/>
              </w:rPr>
              <w:t>Concepto del apoderado</w:t>
            </w:r>
          </w:p>
        </w:tc>
      </w:tr>
      <w:tr w:rsidR="00BA1E5F" w:rsidRPr="00072D14" w14:paraId="4C51FAC2" w14:textId="77777777" w:rsidTr="00BA1E5F">
        <w:trPr>
          <w:trHeight w:val="3401"/>
        </w:trPr>
        <w:tc>
          <w:tcPr>
            <w:tcW w:w="10207" w:type="dxa"/>
            <w:gridSpan w:val="2"/>
            <w:vAlign w:val="center"/>
          </w:tcPr>
          <w:p w14:paraId="2BCC901F" w14:textId="0C1B4EA5" w:rsidR="00A20F97" w:rsidRPr="00072D14" w:rsidRDefault="00A20F97" w:rsidP="00A20F97">
            <w:pPr>
              <w:pStyle w:val="NormalWeb"/>
              <w:shd w:val="clear" w:color="auto" w:fill="FFFFFF"/>
              <w:spacing w:before="0" w:beforeAutospacing="0" w:after="0" w:afterAutospacing="0" w:line="312" w:lineRule="auto"/>
              <w:jc w:val="both"/>
              <w:rPr>
                <w:rFonts w:ascii="Century Gothic" w:hAnsi="Century Gothic" w:cs="Arial"/>
                <w:color w:val="000000"/>
                <w:sz w:val="22"/>
                <w:szCs w:val="22"/>
              </w:rPr>
            </w:pPr>
            <w:r w:rsidRPr="00072D14">
              <w:rPr>
                <w:rStyle w:val="contentpasted0"/>
                <w:rFonts w:ascii="Century Gothic" w:eastAsiaTheme="majorEastAsia" w:hAnsi="Century Gothic" w:cs="Arial"/>
                <w:color w:val="000000"/>
                <w:sz w:val="22"/>
                <w:szCs w:val="22"/>
                <w:bdr w:val="none" w:sz="0" w:space="0" w:color="auto" w:frame="1"/>
                <w:shd w:val="clear" w:color="auto" w:fill="FFFFFF"/>
              </w:rPr>
              <w:lastRenderedPageBreak/>
              <w:t>La contingencia se</w:t>
            </w:r>
            <w:r w:rsidRPr="00072D14">
              <w:rPr>
                <w:rStyle w:val="contentpasted0"/>
                <w:rFonts w:ascii="Century Gothic" w:eastAsiaTheme="majorEastAsia" w:hAnsi="Century Gothic" w:cs="Arial"/>
                <w:color w:val="000000"/>
                <w:sz w:val="22"/>
                <w:szCs w:val="22"/>
                <w:bdr w:val="none" w:sz="0" w:space="0" w:color="auto" w:frame="1"/>
                <w:shd w:val="clear" w:color="auto" w:fill="FFFFFF"/>
                <w:lang w:val="es-ES"/>
              </w:rPr>
              <w:t> califica como </w:t>
            </w:r>
            <w:r w:rsidRPr="00072D14">
              <w:rPr>
                <w:rFonts w:ascii="Century Gothic" w:hAnsi="Century Gothic" w:cs="Arial"/>
                <w:b/>
                <w:bCs/>
                <w:color w:val="000000"/>
                <w:sz w:val="22"/>
                <w:szCs w:val="22"/>
                <w:bdr w:val="none" w:sz="0" w:space="0" w:color="auto" w:frame="1"/>
                <w:shd w:val="clear" w:color="auto" w:fill="FFFFFF"/>
                <w:lang w:val="es-ES"/>
              </w:rPr>
              <w:t>REMOTA</w:t>
            </w:r>
            <w:r w:rsidRPr="00072D14">
              <w:rPr>
                <w:rStyle w:val="contentpasted0"/>
                <w:rFonts w:ascii="Century Gothic" w:eastAsiaTheme="majorEastAsia" w:hAnsi="Century Gothic" w:cs="Arial"/>
                <w:color w:val="000000"/>
                <w:sz w:val="22"/>
                <w:szCs w:val="22"/>
                <w:bdr w:val="none" w:sz="0" w:space="0" w:color="auto" w:frame="1"/>
                <w:shd w:val="clear" w:color="auto" w:fill="FFFFFF"/>
                <w:lang w:val="es-ES"/>
              </w:rPr>
              <w:t xml:space="preserve">, toda vez que si bien es cierto el contrato de seguros presta cobertura material y temporal, </w:t>
            </w:r>
            <w:r w:rsidRPr="00072D14">
              <w:rPr>
                <w:rStyle w:val="contentpasted1"/>
                <w:rFonts w:ascii="Century Gothic" w:eastAsiaTheme="majorEastAsia" w:hAnsi="Century Gothic" w:cs="Arial"/>
                <w:color w:val="000000"/>
                <w:sz w:val="22"/>
                <w:szCs w:val="22"/>
                <w:bdr w:val="none" w:sz="0" w:space="0" w:color="auto" w:frame="1"/>
                <w:lang w:val="es-ES"/>
              </w:rPr>
              <w:t>operó la prescripción de las acciones derivadas del contrato de seguros.</w:t>
            </w:r>
          </w:p>
          <w:p w14:paraId="61C1CF40" w14:textId="77777777" w:rsidR="00A20F97" w:rsidRPr="00072D14" w:rsidRDefault="00A20F97" w:rsidP="00A20F97">
            <w:pPr>
              <w:spacing w:line="312" w:lineRule="auto"/>
              <w:jc w:val="both"/>
              <w:rPr>
                <w:rFonts w:ascii="Century Gothic" w:hAnsi="Century Gothic" w:cs="Arial"/>
                <w:b/>
                <w:bCs/>
                <w:sz w:val="22"/>
                <w:szCs w:val="22"/>
              </w:rPr>
            </w:pPr>
            <w:r w:rsidRPr="00072D14">
              <w:rPr>
                <w:rFonts w:ascii="Century Gothic" w:hAnsi="Century Gothic" w:cs="Arial"/>
                <w:color w:val="000000"/>
                <w:sz w:val="22"/>
                <w:szCs w:val="22"/>
                <w:bdr w:val="none" w:sz="0" w:space="0" w:color="auto" w:frame="1"/>
                <w:shd w:val="clear" w:color="auto" w:fill="FFFFFF"/>
                <w:lang w:val="es-ES"/>
              </w:rPr>
              <w:br/>
            </w:r>
            <w:r w:rsidRPr="00072D14">
              <w:rPr>
                <w:rStyle w:val="contentpasted0"/>
                <w:rFonts w:ascii="Century Gothic" w:hAnsi="Century Gothic" w:cs="Arial"/>
                <w:color w:val="000000"/>
                <w:sz w:val="22"/>
                <w:szCs w:val="22"/>
                <w:bdr w:val="none" w:sz="0" w:space="0" w:color="auto" w:frame="1"/>
                <w:lang w:val="es-ES"/>
              </w:rPr>
              <w:t xml:space="preserve">Lo primero que debe tenerse en cuenta es que </w:t>
            </w:r>
            <w:r w:rsidRPr="00072D14">
              <w:rPr>
                <w:rStyle w:val="contentpasted0"/>
                <w:rFonts w:ascii="Century Gothic" w:eastAsiaTheme="majorEastAsia" w:hAnsi="Century Gothic" w:cs="Arial"/>
                <w:color w:val="000000"/>
                <w:sz w:val="22"/>
                <w:szCs w:val="22"/>
                <w:bdr w:val="none" w:sz="0" w:space="0" w:color="auto" w:frame="1"/>
                <w:lang w:val="es-ES"/>
              </w:rPr>
              <w:t xml:space="preserve">la </w:t>
            </w:r>
            <w:r w:rsidRPr="00072D14">
              <w:rPr>
                <w:rFonts w:ascii="Century Gothic" w:hAnsi="Century Gothic" w:cs="Arial"/>
                <w:b/>
                <w:bCs/>
                <w:sz w:val="22"/>
                <w:szCs w:val="22"/>
              </w:rPr>
              <w:t>Póliza de Seguro de Responsabilidad Civil Profesional para Clínicas y Hospitales No.</w:t>
            </w:r>
            <w:r w:rsidRPr="00072D14">
              <w:rPr>
                <w:rFonts w:ascii="Century Gothic" w:hAnsi="Century Gothic" w:cs="Arial"/>
                <w:sz w:val="22"/>
                <w:szCs w:val="22"/>
              </w:rPr>
              <w:t xml:space="preserve"> </w:t>
            </w:r>
            <w:r w:rsidRPr="00072D14">
              <w:rPr>
                <w:rFonts w:ascii="Century Gothic" w:hAnsi="Century Gothic" w:cs="Arial"/>
                <w:b/>
                <w:bCs/>
                <w:sz w:val="22"/>
                <w:szCs w:val="22"/>
              </w:rPr>
              <w:t xml:space="preserve">AA195705 </w:t>
            </w:r>
            <w:r w:rsidRPr="00072D14">
              <w:rPr>
                <w:rFonts w:ascii="Century Gothic" w:eastAsiaTheme="majorEastAsia" w:hAnsi="Century Gothic" w:cs="Arial"/>
                <w:color w:val="000000"/>
                <w:sz w:val="22"/>
                <w:szCs w:val="22"/>
                <w:bdr w:val="none" w:sz="0" w:space="0" w:color="auto" w:frame="1"/>
              </w:rPr>
              <w:t xml:space="preserve">cuyo asegurado es la </w:t>
            </w:r>
            <w:r w:rsidRPr="00072D14">
              <w:rPr>
                <w:rFonts w:ascii="Century Gothic" w:hAnsi="Century Gothic" w:cs="Arial"/>
                <w:b/>
                <w:bCs/>
                <w:sz w:val="22"/>
                <w:szCs w:val="22"/>
              </w:rPr>
              <w:t xml:space="preserve">EPS SANITAS S.A.S. </w:t>
            </w:r>
            <w:r w:rsidRPr="00072D14">
              <w:rPr>
                <w:rFonts w:ascii="Century Gothic" w:eastAsiaTheme="majorEastAsia" w:hAnsi="Century Gothic" w:cs="Arial"/>
                <w:color w:val="000000"/>
                <w:sz w:val="22"/>
                <w:szCs w:val="22"/>
                <w:bdr w:val="none" w:sz="0" w:space="0" w:color="auto" w:frame="1"/>
                <w:lang w:val="es-ES"/>
              </w:rPr>
              <w:t xml:space="preserve">presta cobertura material y temporal de conformidad con los hechos y pretensiones expuestas en la demanda. Frente a la cobertura temporal, debe decirse que su modalidad es </w:t>
            </w:r>
            <w:proofErr w:type="spellStart"/>
            <w:r w:rsidRPr="00072D14">
              <w:rPr>
                <w:rFonts w:ascii="Century Gothic" w:eastAsiaTheme="majorEastAsia" w:hAnsi="Century Gothic" w:cs="Arial"/>
                <w:color w:val="000000"/>
                <w:sz w:val="22"/>
                <w:szCs w:val="22"/>
                <w:bdr w:val="none" w:sz="0" w:space="0" w:color="auto" w:frame="1"/>
                <w:lang w:val="es-ES"/>
              </w:rPr>
              <w:t>Claims</w:t>
            </w:r>
            <w:proofErr w:type="spellEnd"/>
            <w:r w:rsidRPr="00072D14">
              <w:rPr>
                <w:rFonts w:ascii="Century Gothic" w:eastAsiaTheme="majorEastAsia" w:hAnsi="Century Gothic" w:cs="Arial"/>
                <w:color w:val="000000"/>
                <w:sz w:val="22"/>
                <w:szCs w:val="22"/>
                <w:bdr w:val="none" w:sz="0" w:space="0" w:color="auto" w:frame="1"/>
                <w:lang w:val="es-ES"/>
              </w:rPr>
              <w:t xml:space="preserve"> </w:t>
            </w:r>
            <w:proofErr w:type="spellStart"/>
            <w:r w:rsidRPr="00072D14">
              <w:rPr>
                <w:rFonts w:ascii="Century Gothic" w:eastAsiaTheme="majorEastAsia" w:hAnsi="Century Gothic" w:cs="Arial"/>
                <w:color w:val="000000"/>
                <w:sz w:val="22"/>
                <w:szCs w:val="22"/>
                <w:bdr w:val="none" w:sz="0" w:space="0" w:color="auto" w:frame="1"/>
                <w:lang w:val="es-ES"/>
              </w:rPr>
              <w:t>Made</w:t>
            </w:r>
            <w:proofErr w:type="spellEnd"/>
            <w:r w:rsidRPr="00072D14">
              <w:rPr>
                <w:rFonts w:ascii="Century Gothic" w:eastAsiaTheme="majorEastAsia" w:hAnsi="Century Gothic" w:cs="Arial"/>
                <w:color w:val="000000"/>
                <w:sz w:val="22"/>
                <w:szCs w:val="22"/>
                <w:bdr w:val="none" w:sz="0" w:space="0" w:color="auto" w:frame="1"/>
                <w:lang w:val="es-ES"/>
              </w:rPr>
              <w:t>, la cual ampara la responsabilidad civil derivada de daños causados a terceros durante la vigencia de la póliza o el periodo de retroactividad y que sean reclamados por primera vez al asegurado durante la vigencia de la póliza. </w:t>
            </w:r>
            <w:r w:rsidRPr="00072D14">
              <w:rPr>
                <w:rFonts w:ascii="Century Gothic" w:eastAsiaTheme="majorEastAsia" w:hAnsi="Century Gothic" w:cs="Arial"/>
                <w:color w:val="000000"/>
                <w:sz w:val="22"/>
                <w:szCs w:val="22"/>
                <w:bdr w:val="none" w:sz="0" w:space="0" w:color="auto" w:frame="1"/>
              </w:rPr>
              <w:t xml:space="preserve">En consecuencia, el contrato de seguro presta cobertura por su temporalidad, toda vez que el hecho ocurrió en septiembre de 2020, la reclamación al asegurado se materializó con la solicitud de conciliación realizada el día </w:t>
            </w:r>
            <w:r w:rsidRPr="00072D14">
              <w:rPr>
                <w:rFonts w:ascii="Century Gothic" w:eastAsiaTheme="majorEastAsia" w:hAnsi="Century Gothic" w:cs="Arial"/>
                <w:b/>
                <w:bCs/>
                <w:color w:val="000000"/>
                <w:sz w:val="22"/>
                <w:szCs w:val="22"/>
                <w:bdr w:val="none" w:sz="0" w:space="0" w:color="auto" w:frame="1"/>
              </w:rPr>
              <w:t>12 de mayo de 2022</w:t>
            </w:r>
            <w:r w:rsidRPr="00072D14">
              <w:rPr>
                <w:rFonts w:ascii="Century Gothic" w:eastAsiaTheme="majorEastAsia" w:hAnsi="Century Gothic" w:cs="Arial"/>
                <w:color w:val="000000"/>
                <w:sz w:val="22"/>
                <w:szCs w:val="22"/>
                <w:bdr w:val="none" w:sz="0" w:space="0" w:color="auto" w:frame="1"/>
              </w:rPr>
              <w:t xml:space="preserve"> según constancia de no acuerdo de la Procuraduría 99 Judicial I para Asuntos Administrativo, y el periodo de vigencia del contrato comprende desde </w:t>
            </w:r>
            <w:r w:rsidRPr="00072D14">
              <w:rPr>
                <w:rFonts w:ascii="Century Gothic" w:hAnsi="Century Gothic" w:cs="Arial"/>
                <w:sz w:val="22"/>
                <w:szCs w:val="22"/>
              </w:rPr>
              <w:t>el 30 de agosto de 30 de agosto de 2020 con prórroga hasta el 13 de octubre de 2022</w:t>
            </w:r>
            <w:r w:rsidRPr="00072D14">
              <w:rPr>
                <w:rFonts w:ascii="Century Gothic" w:eastAsiaTheme="majorEastAsia" w:hAnsi="Century Gothic" w:cs="Arial"/>
                <w:color w:val="000000"/>
                <w:sz w:val="22"/>
                <w:szCs w:val="22"/>
                <w:bdr w:val="none" w:sz="0" w:space="0" w:color="auto" w:frame="1"/>
              </w:rPr>
              <w:t xml:space="preserve">. Aunado a ello, presta cobertura material toda vez que, ampara la responsabilidad civil al tener amparo de RC clínicas y hospitales. En esta oportunidad se advierte que a pesar de que los hechos no ocurrieron dentro del predio del asegurado ni por profesionales de la salud contratados directamente por la EPS, la jurisprudencia ha sido muy clara en establecer que por vía de solidaridad las EPS son responsables por circunstancias atribuibles a las IPS ya que es se considera que las IPS son parte de la estructura organizacional, por lo que es probable que se afecte el contrato de seguro. </w:t>
            </w:r>
          </w:p>
          <w:p w14:paraId="6338A9DB" w14:textId="77777777" w:rsidR="00A20F97" w:rsidRPr="00072D14" w:rsidRDefault="00A20F97" w:rsidP="00A20F97">
            <w:pPr>
              <w:pStyle w:val="NormalWeb"/>
              <w:shd w:val="clear" w:color="auto" w:fill="FFFFFF"/>
              <w:spacing w:before="0" w:beforeAutospacing="0" w:after="0" w:afterAutospacing="0" w:line="312" w:lineRule="auto"/>
              <w:jc w:val="both"/>
              <w:rPr>
                <w:rFonts w:ascii="Century Gothic" w:hAnsi="Century Gothic" w:cs="Arial"/>
                <w:color w:val="000000"/>
                <w:sz w:val="22"/>
                <w:szCs w:val="22"/>
              </w:rPr>
            </w:pPr>
            <w:r w:rsidRPr="00072D14">
              <w:rPr>
                <w:rStyle w:val="contentpasted0"/>
                <w:rFonts w:ascii="Century Gothic" w:eastAsiaTheme="majorEastAsia" w:hAnsi="Century Gothic" w:cs="Arial"/>
                <w:color w:val="000000"/>
                <w:sz w:val="22"/>
                <w:szCs w:val="22"/>
                <w:bdr w:val="none" w:sz="0" w:space="0" w:color="auto" w:frame="1"/>
                <w:shd w:val="clear" w:color="auto" w:fill="FFFFFF"/>
                <w:lang w:val="es-ES"/>
              </w:rPr>
              <w:t> </w:t>
            </w:r>
          </w:p>
          <w:p w14:paraId="58FF1192" w14:textId="3026CC23" w:rsidR="00BA1E5F" w:rsidRPr="00072D14" w:rsidRDefault="00A20F97" w:rsidP="00072D14">
            <w:pPr>
              <w:spacing w:line="312" w:lineRule="auto"/>
              <w:jc w:val="both"/>
              <w:rPr>
                <w:rFonts w:ascii="Century Gothic" w:hAnsi="Century Gothic"/>
                <w:sz w:val="22"/>
                <w:szCs w:val="22"/>
              </w:rPr>
            </w:pPr>
            <w:r w:rsidRPr="00072D14">
              <w:rPr>
                <w:rStyle w:val="contentpasted1"/>
                <w:rFonts w:ascii="Century Gothic" w:eastAsiaTheme="majorEastAsia" w:hAnsi="Century Gothic" w:cs="Arial"/>
                <w:color w:val="000000"/>
                <w:sz w:val="22"/>
                <w:szCs w:val="22"/>
                <w:bdr w:val="none" w:sz="0" w:space="0" w:color="auto" w:frame="1"/>
              </w:rPr>
              <w:t>Por otro lado, debe decirse en primer lugar que</w:t>
            </w:r>
            <w:r w:rsidRPr="00072D14">
              <w:rPr>
                <w:rStyle w:val="contentpasted1"/>
                <w:rFonts w:ascii="Century Gothic" w:hAnsi="Century Gothic" w:cs="Arial"/>
                <w:color w:val="000000"/>
                <w:sz w:val="22"/>
                <w:szCs w:val="22"/>
                <w:bdr w:val="none" w:sz="0" w:space="0" w:color="auto" w:frame="1"/>
                <w:lang w:val="es-ES"/>
              </w:rPr>
              <w:t xml:space="preserve"> operó la prescripción de las acciones derivadas del contrato de seguros </w:t>
            </w:r>
            <w:r w:rsidRPr="00072D14">
              <w:rPr>
                <w:rStyle w:val="contentpasted1"/>
                <w:rFonts w:ascii="Century Gothic" w:eastAsiaTheme="majorEastAsia" w:hAnsi="Century Gothic" w:cs="Arial"/>
                <w:color w:val="000000"/>
                <w:sz w:val="22"/>
                <w:szCs w:val="22"/>
                <w:bdr w:val="none" w:sz="0" w:space="0" w:color="auto" w:frame="1"/>
                <w:lang w:val="es-ES"/>
              </w:rPr>
              <w:t>toda vez que</w:t>
            </w:r>
            <w:r w:rsidRPr="00072D14">
              <w:rPr>
                <w:rStyle w:val="contentpasted1"/>
                <w:rFonts w:ascii="Century Gothic" w:hAnsi="Century Gothic" w:cs="Arial"/>
                <w:color w:val="000000"/>
                <w:sz w:val="22"/>
                <w:szCs w:val="22"/>
                <w:bdr w:val="none" w:sz="0" w:space="0" w:color="auto" w:frame="1"/>
                <w:lang w:val="es-ES"/>
              </w:rPr>
              <w:t xml:space="preserve"> el asegurado realizó la </w:t>
            </w:r>
            <w:r w:rsidRPr="00072D14">
              <w:rPr>
                <w:rStyle w:val="contentpasted1"/>
                <w:rFonts w:ascii="Century Gothic" w:eastAsiaTheme="majorEastAsia" w:hAnsi="Century Gothic" w:cs="Arial"/>
                <w:color w:val="000000"/>
                <w:sz w:val="22"/>
                <w:szCs w:val="22"/>
                <w:bdr w:val="none" w:sz="0" w:space="0" w:color="auto" w:frame="1"/>
                <w:lang w:val="es-ES"/>
              </w:rPr>
              <w:t>solicitud</w:t>
            </w:r>
            <w:r w:rsidRPr="00072D14">
              <w:rPr>
                <w:rStyle w:val="contentpasted1"/>
                <w:rFonts w:ascii="Century Gothic" w:hAnsi="Century Gothic" w:cs="Arial"/>
                <w:color w:val="000000"/>
                <w:sz w:val="22"/>
                <w:szCs w:val="22"/>
                <w:bdr w:val="none" w:sz="0" w:space="0" w:color="auto" w:frame="1"/>
                <w:lang w:val="es-ES"/>
              </w:rPr>
              <w:t xml:space="preserve"> del llamamiento en garantía en </w:t>
            </w:r>
            <w:r w:rsidRPr="00072D14">
              <w:rPr>
                <w:rStyle w:val="contentpasted1"/>
                <w:rFonts w:ascii="Century Gothic" w:eastAsiaTheme="majorEastAsia" w:hAnsi="Century Gothic" w:cs="Arial"/>
                <w:color w:val="000000"/>
                <w:sz w:val="22"/>
                <w:szCs w:val="22"/>
                <w:bdr w:val="none" w:sz="0" w:space="0" w:color="auto" w:frame="1"/>
                <w:lang w:val="es-ES"/>
              </w:rPr>
              <w:t xml:space="preserve">julio de 2024 </w:t>
            </w:r>
            <w:r w:rsidRPr="00072D14">
              <w:rPr>
                <w:rStyle w:val="contentpasted1"/>
                <w:rFonts w:ascii="Century Gothic" w:hAnsi="Century Gothic" w:cs="Arial"/>
                <w:color w:val="000000"/>
                <w:sz w:val="22"/>
                <w:szCs w:val="22"/>
                <w:bdr w:val="none" w:sz="0" w:space="0" w:color="auto" w:frame="1"/>
                <w:lang w:val="es-ES"/>
              </w:rPr>
              <w:t xml:space="preserve">cuando habían pasado </w:t>
            </w:r>
            <w:r w:rsidRPr="00072D14">
              <w:rPr>
                <w:rStyle w:val="contentpasted1"/>
                <w:rFonts w:ascii="Century Gothic" w:eastAsiaTheme="majorEastAsia" w:hAnsi="Century Gothic" w:cs="Arial"/>
                <w:color w:val="000000"/>
                <w:sz w:val="22"/>
                <w:szCs w:val="22"/>
                <w:bdr w:val="none" w:sz="0" w:space="0" w:color="auto" w:frame="1"/>
                <w:lang w:val="es-ES"/>
              </w:rPr>
              <w:t>más</w:t>
            </w:r>
            <w:r w:rsidRPr="00072D14">
              <w:rPr>
                <w:rStyle w:val="contentpasted1"/>
                <w:rFonts w:ascii="Century Gothic" w:hAnsi="Century Gothic" w:cs="Arial"/>
                <w:color w:val="000000"/>
                <w:sz w:val="22"/>
                <w:szCs w:val="22"/>
                <w:bdr w:val="none" w:sz="0" w:space="0" w:color="auto" w:frame="1"/>
                <w:lang w:val="es-ES"/>
              </w:rPr>
              <w:t xml:space="preserve"> de </w:t>
            </w:r>
            <w:r w:rsidRPr="00072D14">
              <w:rPr>
                <w:rStyle w:val="contentpasted1"/>
                <w:rFonts w:ascii="Century Gothic" w:eastAsiaTheme="majorEastAsia" w:hAnsi="Century Gothic" w:cs="Arial"/>
                <w:color w:val="000000"/>
                <w:sz w:val="22"/>
                <w:szCs w:val="22"/>
                <w:bdr w:val="none" w:sz="0" w:space="0" w:color="auto" w:frame="1"/>
                <w:lang w:val="es-ES"/>
              </w:rPr>
              <w:t>dos (2) meses</w:t>
            </w:r>
            <w:r w:rsidRPr="00072D14">
              <w:rPr>
                <w:rStyle w:val="contentpasted1"/>
                <w:rFonts w:ascii="Century Gothic" w:hAnsi="Century Gothic" w:cs="Arial"/>
                <w:color w:val="000000"/>
                <w:sz w:val="22"/>
                <w:szCs w:val="22"/>
                <w:bdr w:val="none" w:sz="0" w:space="0" w:color="auto" w:frame="1"/>
                <w:lang w:val="es-ES"/>
              </w:rPr>
              <w:t xml:space="preserve"> desde la fecha en la cual tuvo conocimiento del proceso, es decir desde la </w:t>
            </w:r>
            <w:r w:rsidRPr="00072D14">
              <w:rPr>
                <w:rStyle w:val="contentpasted1"/>
                <w:rFonts w:ascii="Century Gothic" w:eastAsiaTheme="majorEastAsia" w:hAnsi="Century Gothic" w:cs="Arial"/>
                <w:color w:val="000000"/>
                <w:sz w:val="22"/>
                <w:szCs w:val="22"/>
                <w:bdr w:val="none" w:sz="0" w:space="0" w:color="auto" w:frame="1"/>
                <w:lang w:val="es-ES"/>
              </w:rPr>
              <w:t xml:space="preserve">radicación de la solicitud de conciliación </w:t>
            </w:r>
            <w:r w:rsidRPr="00072D14">
              <w:rPr>
                <w:rStyle w:val="contentpasted1"/>
                <w:rFonts w:ascii="Century Gothic" w:hAnsi="Century Gothic" w:cs="Arial"/>
                <w:color w:val="000000"/>
                <w:sz w:val="22"/>
                <w:szCs w:val="22"/>
                <w:bdr w:val="none" w:sz="0" w:space="0" w:color="auto" w:frame="1"/>
                <w:lang w:val="es-ES"/>
              </w:rPr>
              <w:t>prejudicial (</w:t>
            </w:r>
            <w:r w:rsidRPr="00072D14">
              <w:rPr>
                <w:rStyle w:val="contentpasted1"/>
                <w:rFonts w:ascii="Century Gothic" w:eastAsiaTheme="majorEastAsia" w:hAnsi="Century Gothic" w:cs="Arial"/>
                <w:color w:val="000000"/>
                <w:sz w:val="22"/>
                <w:szCs w:val="22"/>
                <w:bdr w:val="none" w:sz="0" w:space="0" w:color="auto" w:frame="1"/>
                <w:lang w:val="es-ES"/>
              </w:rPr>
              <w:t>12 de mayo de 2022</w:t>
            </w:r>
            <w:r w:rsidRPr="00072D14">
              <w:rPr>
                <w:rStyle w:val="contentpasted1"/>
                <w:rFonts w:ascii="Century Gothic" w:hAnsi="Century Gothic" w:cs="Arial"/>
                <w:color w:val="000000"/>
                <w:sz w:val="22"/>
                <w:szCs w:val="22"/>
                <w:bdr w:val="none" w:sz="0" w:space="0" w:color="auto" w:frame="1"/>
                <w:lang w:val="es-ES"/>
              </w:rPr>
              <w:t xml:space="preserve">). En segundo lugar, </w:t>
            </w:r>
            <w:r w:rsidRPr="00072D14">
              <w:rPr>
                <w:rStyle w:val="contentpasted1"/>
                <w:rFonts w:ascii="Century Gothic" w:eastAsiaTheme="majorEastAsia" w:hAnsi="Century Gothic" w:cs="Arial"/>
                <w:color w:val="000000"/>
                <w:sz w:val="22"/>
                <w:szCs w:val="22"/>
                <w:bdr w:val="none" w:sz="0" w:space="0" w:color="auto" w:frame="1"/>
                <w:lang w:val="es-ES"/>
              </w:rPr>
              <w:t xml:space="preserve">es importante señalar que existen elementos facticos para atribuir responsabilidad a las entidades demandadas, puesto que la corioamnionitis en el embarazo se presenta principalmente por partos prolongados y de acuerdo a la historia clínica la señora </w:t>
            </w:r>
            <w:r w:rsidRPr="00072D14">
              <w:rPr>
                <w:rFonts w:ascii="Century Gothic" w:hAnsi="Century Gothic" w:cs="Arial"/>
                <w:b/>
                <w:bCs/>
                <w:sz w:val="22"/>
                <w:szCs w:val="22"/>
              </w:rPr>
              <w:t xml:space="preserve">Viviana Otálvaro </w:t>
            </w:r>
            <w:r w:rsidRPr="00072D14">
              <w:rPr>
                <w:rFonts w:ascii="Century Gothic" w:hAnsi="Century Gothic" w:cs="Arial"/>
                <w:sz w:val="22"/>
                <w:szCs w:val="22"/>
              </w:rPr>
              <w:t xml:space="preserve">consultó por contracciones, dolor abdominal que irradia a la espalda asociado con salida de tapón mucoso desde el 9 de septiembre de 2020, síntomas de presentar un trabajo de parto activo sin embargo los galenos lo clasificaron como falso trabajo de parto al no evidenciar dilatación y borramiento, pero la literatura médica a indicado que pese a no existir estas dos últimas consecuencias pero si un dolor que irradia a la espalda significa un claro trabajo de parto pues el mismo se asocia a la </w:t>
            </w:r>
            <w:r w:rsidRPr="00072D14">
              <w:rPr>
                <w:rFonts w:ascii="Century Gothic" w:hAnsi="Century Gothic" w:cs="Arial"/>
                <w:sz w:val="22"/>
                <w:szCs w:val="22"/>
              </w:rPr>
              <w:lastRenderedPageBreak/>
              <w:t xml:space="preserve">salida del tapón mucoso o advierte de anomalías por lo que se recomienda iniciar proceso de parto con la paciente, situación que no ocurrió en el caso en concreto, pues solo pasados tres días, se inició labores de parto, por lo que la paciente estuvo expuesta a un parto prologado lo que termino en la afectación del líquido amniótico e infección. </w:t>
            </w:r>
            <w:r w:rsidRPr="00072D14">
              <w:rPr>
                <w:rFonts w:ascii="Century Gothic" w:hAnsi="Century Gothic" w:cs="Arial"/>
                <w:color w:val="000000"/>
                <w:sz w:val="22"/>
                <w:szCs w:val="22"/>
                <w:bdr w:val="none" w:sz="0" w:space="0" w:color="auto" w:frame="1"/>
                <w:shd w:val="clear" w:color="auto" w:fill="FFFFFF"/>
              </w:rPr>
              <w:t>En consecuencia, la probabilidad de condena es baja para la compañía en tanto no resulta factible una condena, por hechos que se encuentran prescritos para la aseguradora. Lo anterior sin perjuicio del carácter contingente del proceso.  </w:t>
            </w:r>
          </w:p>
        </w:tc>
      </w:tr>
      <w:tr w:rsidR="00BA1E5F" w:rsidRPr="00072D14" w14:paraId="6A3F4D91" w14:textId="77777777" w:rsidTr="008B59F4">
        <w:trPr>
          <w:trHeight w:val="1361"/>
        </w:trPr>
        <w:tc>
          <w:tcPr>
            <w:tcW w:w="10207" w:type="dxa"/>
            <w:gridSpan w:val="2"/>
            <w:vAlign w:val="center"/>
          </w:tcPr>
          <w:p w14:paraId="3A806213" w14:textId="67A6C599" w:rsidR="00BA1E5F" w:rsidRPr="00072D14" w:rsidRDefault="00BA1E5F" w:rsidP="00BA1E5F">
            <w:pPr>
              <w:spacing w:line="360" w:lineRule="auto"/>
              <w:jc w:val="center"/>
              <w:rPr>
                <w:rFonts w:ascii="Century Gothic" w:hAnsi="Century Gothic"/>
                <w:b/>
                <w:bCs/>
                <w:sz w:val="22"/>
                <w:szCs w:val="22"/>
              </w:rPr>
            </w:pPr>
            <w:r w:rsidRPr="00072D14">
              <w:rPr>
                <w:rFonts w:ascii="Century Gothic" w:hAnsi="Century Gothic"/>
                <w:b/>
                <w:bCs/>
                <w:sz w:val="22"/>
                <w:szCs w:val="22"/>
              </w:rPr>
              <w:lastRenderedPageBreak/>
              <w:t>Firma del abogado</w:t>
            </w:r>
          </w:p>
        </w:tc>
      </w:tr>
    </w:tbl>
    <w:p w14:paraId="66CA6B89" w14:textId="77777777" w:rsidR="002633C0" w:rsidRPr="00072D14" w:rsidRDefault="002633C0" w:rsidP="003314A2">
      <w:pPr>
        <w:spacing w:line="360" w:lineRule="auto"/>
        <w:rPr>
          <w:rFonts w:ascii="Century Gothic" w:hAnsi="Century Gothic"/>
          <w:sz w:val="22"/>
          <w:szCs w:val="22"/>
        </w:rPr>
      </w:pPr>
    </w:p>
    <w:sectPr w:rsidR="002633C0" w:rsidRPr="00072D14"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0055C" w14:textId="77777777" w:rsidR="007A3D95" w:rsidRDefault="007A3D95" w:rsidP="00E7033F">
      <w:r>
        <w:separator/>
      </w:r>
    </w:p>
  </w:endnote>
  <w:endnote w:type="continuationSeparator" w:id="0">
    <w:p w14:paraId="4CE98079" w14:textId="77777777" w:rsidR="007A3D95" w:rsidRDefault="007A3D9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01E1" w14:textId="77777777" w:rsidR="007A3D95" w:rsidRDefault="007A3D95" w:rsidP="00E7033F">
      <w:r>
        <w:separator/>
      </w:r>
    </w:p>
  </w:footnote>
  <w:footnote w:type="continuationSeparator" w:id="0">
    <w:p w14:paraId="68F13645" w14:textId="77777777" w:rsidR="007A3D95" w:rsidRDefault="007A3D9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B51547">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B51547">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B51547">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52255"/>
    <w:multiLevelType w:val="hybridMultilevel"/>
    <w:tmpl w:val="8F0C24DA"/>
    <w:lvl w:ilvl="0" w:tplc="099E3D1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555276"/>
    <w:multiLevelType w:val="hybridMultilevel"/>
    <w:tmpl w:val="717AC6FE"/>
    <w:lvl w:ilvl="0" w:tplc="7070125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83034473">
    <w:abstractNumId w:val="0"/>
  </w:num>
  <w:num w:numId="2" w16cid:durableId="153349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2D14"/>
    <w:rsid w:val="000755DD"/>
    <w:rsid w:val="000D23FC"/>
    <w:rsid w:val="00103BC6"/>
    <w:rsid w:val="001129B6"/>
    <w:rsid w:val="00181E11"/>
    <w:rsid w:val="001C44B4"/>
    <w:rsid w:val="001E096B"/>
    <w:rsid w:val="001E1616"/>
    <w:rsid w:val="001E5C79"/>
    <w:rsid w:val="00263011"/>
    <w:rsid w:val="002633C0"/>
    <w:rsid w:val="0027660F"/>
    <w:rsid w:val="00292DCD"/>
    <w:rsid w:val="002A0E98"/>
    <w:rsid w:val="002B3A7D"/>
    <w:rsid w:val="002B6103"/>
    <w:rsid w:val="00311097"/>
    <w:rsid w:val="00314CAF"/>
    <w:rsid w:val="00324E27"/>
    <w:rsid w:val="003314A2"/>
    <w:rsid w:val="003827E1"/>
    <w:rsid w:val="003861E4"/>
    <w:rsid w:val="003B44CB"/>
    <w:rsid w:val="003B7F1A"/>
    <w:rsid w:val="00403BFC"/>
    <w:rsid w:val="00403EA5"/>
    <w:rsid w:val="00437455"/>
    <w:rsid w:val="00493936"/>
    <w:rsid w:val="00493C90"/>
    <w:rsid w:val="004C7D4E"/>
    <w:rsid w:val="00504FFB"/>
    <w:rsid w:val="00553F08"/>
    <w:rsid w:val="0057431F"/>
    <w:rsid w:val="005E53FF"/>
    <w:rsid w:val="005F00D1"/>
    <w:rsid w:val="005F61D3"/>
    <w:rsid w:val="006056E7"/>
    <w:rsid w:val="00623AD2"/>
    <w:rsid w:val="0069040B"/>
    <w:rsid w:val="00694306"/>
    <w:rsid w:val="006A1563"/>
    <w:rsid w:val="006F0CAA"/>
    <w:rsid w:val="00727BC0"/>
    <w:rsid w:val="00761B63"/>
    <w:rsid w:val="007A3D95"/>
    <w:rsid w:val="007B1CF1"/>
    <w:rsid w:val="007C37D7"/>
    <w:rsid w:val="00806541"/>
    <w:rsid w:val="00853E83"/>
    <w:rsid w:val="008B59F4"/>
    <w:rsid w:val="008B61E5"/>
    <w:rsid w:val="008B685D"/>
    <w:rsid w:val="008B7B98"/>
    <w:rsid w:val="008C7468"/>
    <w:rsid w:val="008E16DB"/>
    <w:rsid w:val="008E249B"/>
    <w:rsid w:val="008F6B57"/>
    <w:rsid w:val="00950061"/>
    <w:rsid w:val="0095378E"/>
    <w:rsid w:val="009820E4"/>
    <w:rsid w:val="00987619"/>
    <w:rsid w:val="00992368"/>
    <w:rsid w:val="00996B7A"/>
    <w:rsid w:val="009A06ED"/>
    <w:rsid w:val="00A06036"/>
    <w:rsid w:val="00A20F97"/>
    <w:rsid w:val="00A74E8B"/>
    <w:rsid w:val="00B2787D"/>
    <w:rsid w:val="00B51547"/>
    <w:rsid w:val="00B76F1D"/>
    <w:rsid w:val="00B90E05"/>
    <w:rsid w:val="00BA0472"/>
    <w:rsid w:val="00BA1E5F"/>
    <w:rsid w:val="00C20F5A"/>
    <w:rsid w:val="00D33414"/>
    <w:rsid w:val="00D35F0D"/>
    <w:rsid w:val="00D43159"/>
    <w:rsid w:val="00D60086"/>
    <w:rsid w:val="00D70708"/>
    <w:rsid w:val="00DA37FE"/>
    <w:rsid w:val="00DA60CC"/>
    <w:rsid w:val="00DD6A64"/>
    <w:rsid w:val="00DE5BEB"/>
    <w:rsid w:val="00E00D68"/>
    <w:rsid w:val="00E20362"/>
    <w:rsid w:val="00E42BDB"/>
    <w:rsid w:val="00E7033F"/>
    <w:rsid w:val="00E802BC"/>
    <w:rsid w:val="00EB5FFB"/>
    <w:rsid w:val="00EE687D"/>
    <w:rsid w:val="00F62D63"/>
    <w:rsid w:val="00F67EF8"/>
    <w:rsid w:val="00F856C2"/>
    <w:rsid w:val="00F90650"/>
    <w:rsid w:val="00FB5732"/>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Nivel 1,Párrafo de lista1,Titulo 7,Párrafo de lista11"/>
    <w:basedOn w:val="Normal"/>
    <w:link w:val="PrrafodelistaCar"/>
    <w:uiPriority w:val="34"/>
    <w:qFormat/>
    <w:rsid w:val="00E42BDB"/>
    <w:pPr>
      <w:spacing w:after="160" w:line="278" w:lineRule="auto"/>
      <w:ind w:left="720"/>
      <w:contextualSpacing/>
    </w:pPr>
    <w:rPr>
      <w:kern w:val="2"/>
      <w:lang w:val="es-CO"/>
      <w14:ligatures w14:val="standardContextual"/>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E42BDB"/>
    <w:rPr>
      <w:kern w:val="2"/>
      <w:lang w:val="es-CO"/>
      <w14:ligatures w14:val="standardContextual"/>
    </w:rPr>
  </w:style>
  <w:style w:type="paragraph" w:styleId="NormalWeb">
    <w:name w:val="Normal (Web)"/>
    <w:basedOn w:val="Normal"/>
    <w:uiPriority w:val="99"/>
    <w:unhideWhenUsed/>
    <w:rsid w:val="00FB5732"/>
    <w:pPr>
      <w:spacing w:before="100" w:beforeAutospacing="1" w:after="100" w:afterAutospacing="1"/>
    </w:pPr>
    <w:rPr>
      <w:rFonts w:ascii="Times New Roman" w:eastAsia="Times New Roman" w:hAnsi="Times New Roman" w:cs="Times New Roman"/>
      <w:lang w:val="es-CO" w:eastAsia="es-CO"/>
    </w:rPr>
  </w:style>
  <w:style w:type="character" w:customStyle="1" w:styleId="contentpasted0">
    <w:name w:val="contentpasted0"/>
    <w:basedOn w:val="Fuentedeprrafopredeter"/>
    <w:rsid w:val="00A20F97"/>
  </w:style>
  <w:style w:type="character" w:customStyle="1" w:styleId="contentpasted1">
    <w:name w:val="contentpasted1"/>
    <w:basedOn w:val="Fuentedeprrafopredeter"/>
    <w:rsid w:val="00A2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03543">
      <w:bodyDiv w:val="1"/>
      <w:marLeft w:val="0"/>
      <w:marRight w:val="0"/>
      <w:marTop w:val="0"/>
      <w:marBottom w:val="0"/>
      <w:divBdr>
        <w:top w:val="none" w:sz="0" w:space="0" w:color="auto"/>
        <w:left w:val="none" w:sz="0" w:space="0" w:color="auto"/>
        <w:bottom w:val="none" w:sz="0" w:space="0" w:color="auto"/>
        <w:right w:val="none" w:sz="0" w:space="0" w:color="auto"/>
      </w:divBdr>
    </w:div>
    <w:div w:id="486018155">
      <w:bodyDiv w:val="1"/>
      <w:marLeft w:val="0"/>
      <w:marRight w:val="0"/>
      <w:marTop w:val="0"/>
      <w:marBottom w:val="0"/>
      <w:divBdr>
        <w:top w:val="none" w:sz="0" w:space="0" w:color="auto"/>
        <w:left w:val="none" w:sz="0" w:space="0" w:color="auto"/>
        <w:bottom w:val="none" w:sz="0" w:space="0" w:color="auto"/>
        <w:right w:val="none" w:sz="0" w:space="0" w:color="auto"/>
      </w:divBdr>
    </w:div>
    <w:div w:id="619070340">
      <w:bodyDiv w:val="1"/>
      <w:marLeft w:val="0"/>
      <w:marRight w:val="0"/>
      <w:marTop w:val="0"/>
      <w:marBottom w:val="0"/>
      <w:divBdr>
        <w:top w:val="none" w:sz="0" w:space="0" w:color="auto"/>
        <w:left w:val="none" w:sz="0" w:space="0" w:color="auto"/>
        <w:bottom w:val="none" w:sz="0" w:space="0" w:color="auto"/>
        <w:right w:val="none" w:sz="0" w:space="0" w:color="auto"/>
      </w:divBdr>
    </w:div>
    <w:div w:id="886915937">
      <w:bodyDiv w:val="1"/>
      <w:marLeft w:val="0"/>
      <w:marRight w:val="0"/>
      <w:marTop w:val="0"/>
      <w:marBottom w:val="0"/>
      <w:divBdr>
        <w:top w:val="none" w:sz="0" w:space="0" w:color="auto"/>
        <w:left w:val="none" w:sz="0" w:space="0" w:color="auto"/>
        <w:bottom w:val="none" w:sz="0" w:space="0" w:color="auto"/>
        <w:right w:val="none" w:sz="0" w:space="0" w:color="auto"/>
      </w:divBdr>
    </w:div>
    <w:div w:id="935944132">
      <w:bodyDiv w:val="1"/>
      <w:marLeft w:val="0"/>
      <w:marRight w:val="0"/>
      <w:marTop w:val="0"/>
      <w:marBottom w:val="0"/>
      <w:divBdr>
        <w:top w:val="none" w:sz="0" w:space="0" w:color="auto"/>
        <w:left w:val="none" w:sz="0" w:space="0" w:color="auto"/>
        <w:bottom w:val="none" w:sz="0" w:space="0" w:color="auto"/>
        <w:right w:val="none" w:sz="0" w:space="0" w:color="auto"/>
      </w:divBdr>
    </w:div>
    <w:div w:id="1574197718">
      <w:bodyDiv w:val="1"/>
      <w:marLeft w:val="0"/>
      <w:marRight w:val="0"/>
      <w:marTop w:val="0"/>
      <w:marBottom w:val="0"/>
      <w:divBdr>
        <w:top w:val="none" w:sz="0" w:space="0" w:color="auto"/>
        <w:left w:val="none" w:sz="0" w:space="0" w:color="auto"/>
        <w:bottom w:val="none" w:sz="0" w:space="0" w:color="auto"/>
        <w:right w:val="none" w:sz="0" w:space="0" w:color="auto"/>
      </w:divBdr>
    </w:div>
    <w:div w:id="1869100991">
      <w:bodyDiv w:val="1"/>
      <w:marLeft w:val="0"/>
      <w:marRight w:val="0"/>
      <w:marTop w:val="0"/>
      <w:marBottom w:val="0"/>
      <w:divBdr>
        <w:top w:val="none" w:sz="0" w:space="0" w:color="auto"/>
        <w:left w:val="none" w:sz="0" w:space="0" w:color="auto"/>
        <w:bottom w:val="none" w:sz="0" w:space="0" w:color="auto"/>
        <w:right w:val="none" w:sz="0" w:space="0" w:color="auto"/>
      </w:divBdr>
    </w:div>
    <w:div w:id="1978223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1966</Words>
  <Characters>10819</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Kennie Lorena García Madrid</cp:lastModifiedBy>
  <cp:revision>36</cp:revision>
  <cp:lastPrinted>2025-01-20T16:39:00Z</cp:lastPrinted>
  <dcterms:created xsi:type="dcterms:W3CDTF">2025-01-20T16:39:00Z</dcterms:created>
  <dcterms:modified xsi:type="dcterms:W3CDTF">2025-01-23T18:54:00Z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