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322BB" w14:textId="77777777" w:rsidR="0057097F" w:rsidRPr="004005B9" w:rsidRDefault="000B7A27" w:rsidP="004005B9">
      <w:pPr>
        <w:spacing w:after="0" w:line="276" w:lineRule="auto"/>
        <w:jc w:val="center"/>
        <w:rPr>
          <w:rFonts w:asciiTheme="majorHAnsi" w:hAnsiTheme="majorHAnsi" w:cstheme="majorHAnsi"/>
          <w:b/>
        </w:rPr>
      </w:pPr>
      <w:r w:rsidRPr="004005B9">
        <w:rPr>
          <w:rFonts w:asciiTheme="majorHAnsi" w:hAnsiTheme="majorHAnsi" w:cstheme="majorHAnsi"/>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rsidRPr="00004712" w14:paraId="500322BE" w14:textId="77777777" w:rsidTr="75020658">
        <w:tc>
          <w:tcPr>
            <w:tcW w:w="6000" w:type="dxa"/>
            <w:shd w:val="clear" w:color="auto" w:fill="D9D9D9" w:themeFill="background1" w:themeFillShade="D9"/>
          </w:tcPr>
          <w:p w14:paraId="500322B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Apoderado:</w:t>
            </w:r>
          </w:p>
        </w:tc>
        <w:tc>
          <w:tcPr>
            <w:tcW w:w="4410" w:type="dxa"/>
          </w:tcPr>
          <w:p w14:paraId="500322BD" w14:textId="77777777" w:rsidR="0057097F" w:rsidRPr="004005B9" w:rsidRDefault="000B7A27" w:rsidP="004005B9">
            <w:pPr>
              <w:spacing w:line="276" w:lineRule="auto"/>
              <w:jc w:val="both"/>
              <w:rPr>
                <w:rFonts w:asciiTheme="majorHAnsi" w:hAnsiTheme="majorHAnsi" w:cstheme="majorHAnsi"/>
              </w:rPr>
            </w:pPr>
            <w:r w:rsidRPr="004005B9">
              <w:rPr>
                <w:rFonts w:asciiTheme="majorHAnsi" w:hAnsiTheme="majorHAnsi" w:cstheme="majorHAnsi"/>
              </w:rPr>
              <w:t>GUSTAVO ALBERTO HERRERA ÁVILA</w:t>
            </w:r>
          </w:p>
        </w:tc>
      </w:tr>
      <w:tr w:rsidR="0057097F" w:rsidRPr="00004712" w14:paraId="500322C1" w14:textId="77777777" w:rsidTr="75020658">
        <w:tc>
          <w:tcPr>
            <w:tcW w:w="6000" w:type="dxa"/>
            <w:shd w:val="clear" w:color="auto" w:fill="D9D9D9" w:themeFill="background1" w:themeFillShade="D9"/>
          </w:tcPr>
          <w:p w14:paraId="500322B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y # de Póliza:</w:t>
            </w:r>
          </w:p>
        </w:tc>
        <w:tc>
          <w:tcPr>
            <w:tcW w:w="4410" w:type="dxa"/>
          </w:tcPr>
          <w:p w14:paraId="500322C0" w14:textId="1C0947D9" w:rsidR="0057097F" w:rsidRPr="004005B9" w:rsidRDefault="588E9854" w:rsidP="004005B9">
            <w:pPr>
              <w:spacing w:line="276" w:lineRule="auto"/>
              <w:rPr>
                <w:rFonts w:asciiTheme="majorHAnsi" w:hAnsiTheme="majorHAnsi" w:cstheme="majorHAnsi"/>
                <w:color w:val="000000" w:themeColor="text1"/>
              </w:rPr>
            </w:pPr>
            <w:r w:rsidRPr="004005B9">
              <w:rPr>
                <w:rFonts w:asciiTheme="majorHAnsi" w:hAnsiTheme="majorHAnsi" w:cstheme="majorHAnsi"/>
                <w:color w:val="000000" w:themeColor="text1"/>
              </w:rPr>
              <w:t>Póliza todo rie</w:t>
            </w:r>
            <w:r w:rsidR="389316E1" w:rsidRPr="004005B9">
              <w:rPr>
                <w:rFonts w:asciiTheme="majorHAnsi" w:hAnsiTheme="majorHAnsi" w:cstheme="majorHAnsi"/>
                <w:color w:val="000000" w:themeColor="text1"/>
              </w:rPr>
              <w:t>s</w:t>
            </w:r>
            <w:r w:rsidRPr="004005B9">
              <w:rPr>
                <w:rFonts w:asciiTheme="majorHAnsi" w:hAnsiTheme="majorHAnsi" w:cstheme="majorHAnsi"/>
                <w:color w:val="000000" w:themeColor="text1"/>
              </w:rPr>
              <w:t>go PO-6-1122 </w:t>
            </w:r>
          </w:p>
        </w:tc>
      </w:tr>
      <w:tr w:rsidR="0057097F" w:rsidRPr="00004712" w14:paraId="500322C4" w14:textId="77777777" w:rsidTr="75020658">
        <w:tc>
          <w:tcPr>
            <w:tcW w:w="6000" w:type="dxa"/>
            <w:shd w:val="clear" w:color="auto" w:fill="D9D9D9" w:themeFill="background1" w:themeFillShade="D9"/>
          </w:tcPr>
          <w:p w14:paraId="500322C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Amparos afectados:</w:t>
            </w:r>
          </w:p>
        </w:tc>
        <w:tc>
          <w:tcPr>
            <w:tcW w:w="4410" w:type="dxa"/>
          </w:tcPr>
          <w:p w14:paraId="500322C3" w14:textId="71D9900D" w:rsidR="0057097F" w:rsidRPr="004005B9" w:rsidRDefault="37910FBB" w:rsidP="004005B9">
            <w:pPr>
              <w:spacing w:line="276" w:lineRule="auto"/>
              <w:jc w:val="both"/>
              <w:rPr>
                <w:rFonts w:asciiTheme="majorHAnsi" w:hAnsiTheme="majorHAnsi" w:cstheme="majorHAnsi"/>
              </w:rPr>
            </w:pPr>
            <w:r w:rsidRPr="004005B9">
              <w:rPr>
                <w:rFonts w:asciiTheme="majorHAnsi" w:hAnsiTheme="majorHAnsi" w:cstheme="majorHAnsi"/>
              </w:rPr>
              <w:t xml:space="preserve">RCE lesión/muerte 1 persona </w:t>
            </w:r>
          </w:p>
        </w:tc>
      </w:tr>
      <w:tr w:rsidR="0057097F" w:rsidRPr="00004712" w14:paraId="500322C7" w14:textId="77777777" w:rsidTr="75020658">
        <w:tc>
          <w:tcPr>
            <w:tcW w:w="6000" w:type="dxa"/>
            <w:shd w:val="clear" w:color="auto" w:fill="D9D9D9" w:themeFill="background1" w:themeFillShade="D9"/>
          </w:tcPr>
          <w:p w14:paraId="500322C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Tomador:</w:t>
            </w:r>
          </w:p>
        </w:tc>
        <w:tc>
          <w:tcPr>
            <w:tcW w:w="4410" w:type="dxa"/>
          </w:tcPr>
          <w:p w14:paraId="500322C6" w14:textId="24A6C284" w:rsidR="0057097F" w:rsidRPr="004005B9" w:rsidRDefault="5ECEB7CB" w:rsidP="004005B9">
            <w:pPr>
              <w:spacing w:line="276" w:lineRule="auto"/>
              <w:jc w:val="both"/>
              <w:rPr>
                <w:rFonts w:asciiTheme="majorHAnsi" w:hAnsiTheme="majorHAnsi" w:cstheme="majorHAnsi"/>
              </w:rPr>
            </w:pPr>
            <w:r w:rsidRPr="004005B9">
              <w:rPr>
                <w:rFonts w:asciiTheme="majorHAnsi" w:hAnsiTheme="majorHAnsi" w:cstheme="majorHAnsi"/>
              </w:rPr>
              <w:t>Banco de Occidente S.A. NIT 890.300.279-4</w:t>
            </w:r>
          </w:p>
        </w:tc>
      </w:tr>
      <w:tr w:rsidR="0057097F" w:rsidRPr="00004712" w14:paraId="500322CA" w14:textId="77777777" w:rsidTr="75020658">
        <w:tc>
          <w:tcPr>
            <w:tcW w:w="6000" w:type="dxa"/>
            <w:shd w:val="clear" w:color="auto" w:fill="D9D9D9" w:themeFill="background1" w:themeFillShade="D9"/>
          </w:tcPr>
          <w:p w14:paraId="500322C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Asegurado:</w:t>
            </w:r>
          </w:p>
        </w:tc>
        <w:tc>
          <w:tcPr>
            <w:tcW w:w="4410" w:type="dxa"/>
          </w:tcPr>
          <w:p w14:paraId="500322C9" w14:textId="4715DFA2" w:rsidR="0057097F" w:rsidRPr="004005B9" w:rsidRDefault="31BBB66F" w:rsidP="004005B9">
            <w:pPr>
              <w:spacing w:line="276" w:lineRule="auto"/>
              <w:jc w:val="both"/>
              <w:rPr>
                <w:rFonts w:asciiTheme="majorHAnsi" w:hAnsiTheme="majorHAnsi" w:cstheme="majorHAnsi"/>
              </w:rPr>
            </w:pPr>
            <w:r w:rsidRPr="004005B9">
              <w:rPr>
                <w:rFonts w:asciiTheme="majorHAnsi" w:hAnsiTheme="majorHAnsi" w:cstheme="majorHAnsi"/>
              </w:rPr>
              <w:t>José</w:t>
            </w:r>
            <w:r w:rsidR="7C6BFB0A" w:rsidRPr="004005B9">
              <w:rPr>
                <w:rFonts w:asciiTheme="majorHAnsi" w:hAnsiTheme="majorHAnsi" w:cstheme="majorHAnsi"/>
              </w:rPr>
              <w:t xml:space="preserve"> Ale</w:t>
            </w:r>
            <w:r w:rsidR="6C78D4FB" w:rsidRPr="004005B9">
              <w:rPr>
                <w:rFonts w:asciiTheme="majorHAnsi" w:hAnsiTheme="majorHAnsi" w:cstheme="majorHAnsi"/>
              </w:rPr>
              <w:t>x</w:t>
            </w:r>
            <w:r w:rsidR="7C6BFB0A" w:rsidRPr="004005B9">
              <w:rPr>
                <w:rFonts w:asciiTheme="majorHAnsi" w:hAnsiTheme="majorHAnsi" w:cstheme="majorHAnsi"/>
              </w:rPr>
              <w:t xml:space="preserve">ander Cruz </w:t>
            </w:r>
            <w:proofErr w:type="spellStart"/>
            <w:r w:rsidR="7C6BFB0A" w:rsidRPr="004005B9">
              <w:rPr>
                <w:rFonts w:asciiTheme="majorHAnsi" w:hAnsiTheme="majorHAnsi" w:cstheme="majorHAnsi"/>
              </w:rPr>
              <w:t>Arevalo</w:t>
            </w:r>
            <w:proofErr w:type="spellEnd"/>
            <w:r w:rsidR="7C6BFB0A" w:rsidRPr="004005B9">
              <w:rPr>
                <w:rFonts w:asciiTheme="majorHAnsi" w:hAnsiTheme="majorHAnsi" w:cstheme="majorHAnsi"/>
              </w:rPr>
              <w:t xml:space="preserve"> C.C. 98.397.084</w:t>
            </w:r>
          </w:p>
        </w:tc>
      </w:tr>
      <w:tr w:rsidR="0057097F" w:rsidRPr="00004712" w14:paraId="500322CD" w14:textId="77777777" w:rsidTr="75020658">
        <w:tc>
          <w:tcPr>
            <w:tcW w:w="6000" w:type="dxa"/>
            <w:shd w:val="clear" w:color="auto" w:fill="D9D9D9" w:themeFill="background1" w:themeFillShade="D9"/>
          </w:tcPr>
          <w:p w14:paraId="500322CB"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Proceso:</w:t>
            </w:r>
          </w:p>
        </w:tc>
        <w:tc>
          <w:tcPr>
            <w:tcW w:w="4410" w:type="dxa"/>
          </w:tcPr>
          <w:p w14:paraId="500322CC" w14:textId="4E640F39" w:rsidR="0057097F" w:rsidRPr="004005B9" w:rsidRDefault="574312A0" w:rsidP="004005B9">
            <w:pPr>
              <w:spacing w:line="276" w:lineRule="auto"/>
              <w:jc w:val="both"/>
              <w:rPr>
                <w:rFonts w:asciiTheme="majorHAnsi" w:hAnsiTheme="majorHAnsi" w:cstheme="majorHAnsi"/>
              </w:rPr>
            </w:pPr>
            <w:r w:rsidRPr="004005B9">
              <w:rPr>
                <w:rFonts w:asciiTheme="majorHAnsi" w:hAnsiTheme="majorHAnsi" w:cstheme="majorHAnsi"/>
              </w:rPr>
              <w:t>Verbal Responsabilidad Civil Ex</w:t>
            </w:r>
            <w:r w:rsidR="4B67827A" w:rsidRPr="004005B9">
              <w:rPr>
                <w:rFonts w:asciiTheme="majorHAnsi" w:hAnsiTheme="majorHAnsi" w:cstheme="majorHAnsi"/>
              </w:rPr>
              <w:t>tracontractual</w:t>
            </w:r>
          </w:p>
        </w:tc>
      </w:tr>
      <w:tr w:rsidR="0057097F" w:rsidRPr="00004712" w14:paraId="500322D0" w14:textId="77777777" w:rsidTr="75020658">
        <w:tc>
          <w:tcPr>
            <w:tcW w:w="6000" w:type="dxa"/>
            <w:shd w:val="clear" w:color="auto" w:fill="D9D9D9" w:themeFill="background1" w:themeFillShade="D9"/>
          </w:tcPr>
          <w:p w14:paraId="500322CE"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Jurisdicción:</w:t>
            </w:r>
          </w:p>
        </w:tc>
        <w:tc>
          <w:tcPr>
            <w:tcW w:w="4410" w:type="dxa"/>
          </w:tcPr>
          <w:p w14:paraId="500322CF" w14:textId="10CD5395" w:rsidR="0057097F" w:rsidRPr="004005B9" w:rsidRDefault="42D0E48C" w:rsidP="004005B9">
            <w:pPr>
              <w:spacing w:line="276" w:lineRule="auto"/>
              <w:jc w:val="both"/>
              <w:rPr>
                <w:rFonts w:asciiTheme="majorHAnsi" w:hAnsiTheme="majorHAnsi" w:cstheme="majorHAnsi"/>
              </w:rPr>
            </w:pPr>
            <w:r w:rsidRPr="004005B9">
              <w:rPr>
                <w:rFonts w:asciiTheme="majorHAnsi" w:hAnsiTheme="majorHAnsi" w:cstheme="majorHAnsi"/>
              </w:rPr>
              <w:t>Ordinaria</w:t>
            </w:r>
          </w:p>
        </w:tc>
      </w:tr>
      <w:tr w:rsidR="0057097F" w:rsidRPr="00004712" w14:paraId="500322D3" w14:textId="77777777" w:rsidTr="75020658">
        <w:tc>
          <w:tcPr>
            <w:tcW w:w="6000" w:type="dxa"/>
            <w:shd w:val="clear" w:color="auto" w:fill="D9D9D9" w:themeFill="background1" w:themeFillShade="D9"/>
          </w:tcPr>
          <w:p w14:paraId="500322D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Despacho:</w:t>
            </w:r>
          </w:p>
        </w:tc>
        <w:tc>
          <w:tcPr>
            <w:tcW w:w="4410" w:type="dxa"/>
          </w:tcPr>
          <w:p w14:paraId="500322D2" w14:textId="12293CB3" w:rsidR="0057097F" w:rsidRPr="004005B9" w:rsidRDefault="7E21FB02" w:rsidP="004005B9">
            <w:pPr>
              <w:spacing w:line="276" w:lineRule="auto"/>
              <w:jc w:val="both"/>
              <w:rPr>
                <w:rFonts w:asciiTheme="majorHAnsi" w:hAnsiTheme="majorHAnsi" w:cstheme="majorHAnsi"/>
              </w:rPr>
            </w:pPr>
            <w:r w:rsidRPr="004005B9">
              <w:rPr>
                <w:rFonts w:asciiTheme="majorHAnsi" w:hAnsiTheme="majorHAnsi" w:cstheme="majorHAnsi"/>
              </w:rPr>
              <w:t>Juzgado Quinto Civil Municipal de Pasto</w:t>
            </w:r>
          </w:p>
        </w:tc>
      </w:tr>
      <w:tr w:rsidR="0057097F" w:rsidRPr="00004712" w14:paraId="500322D6" w14:textId="77777777" w:rsidTr="75020658">
        <w:tc>
          <w:tcPr>
            <w:tcW w:w="6000" w:type="dxa"/>
            <w:shd w:val="clear" w:color="auto" w:fill="D9D9D9" w:themeFill="background1" w:themeFillShade="D9"/>
          </w:tcPr>
          <w:p w14:paraId="500322D4"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Ciudad:</w:t>
            </w:r>
          </w:p>
        </w:tc>
        <w:tc>
          <w:tcPr>
            <w:tcW w:w="4410" w:type="dxa"/>
          </w:tcPr>
          <w:p w14:paraId="500322D5" w14:textId="600CDEE0" w:rsidR="0057097F" w:rsidRPr="004005B9" w:rsidRDefault="0BB82559" w:rsidP="004005B9">
            <w:pPr>
              <w:spacing w:line="276" w:lineRule="auto"/>
              <w:jc w:val="both"/>
              <w:rPr>
                <w:rFonts w:asciiTheme="majorHAnsi" w:hAnsiTheme="majorHAnsi" w:cstheme="majorHAnsi"/>
              </w:rPr>
            </w:pPr>
            <w:r w:rsidRPr="004005B9">
              <w:rPr>
                <w:rFonts w:asciiTheme="majorHAnsi" w:hAnsiTheme="majorHAnsi" w:cstheme="majorHAnsi"/>
              </w:rPr>
              <w:t>Pasto</w:t>
            </w:r>
          </w:p>
        </w:tc>
      </w:tr>
      <w:tr w:rsidR="0057097F" w:rsidRPr="00004712" w14:paraId="500322D9" w14:textId="77777777" w:rsidTr="75020658">
        <w:tc>
          <w:tcPr>
            <w:tcW w:w="6000" w:type="dxa"/>
            <w:shd w:val="clear" w:color="auto" w:fill="D9D9D9" w:themeFill="background1" w:themeFillShade="D9"/>
          </w:tcPr>
          <w:p w14:paraId="500322D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Radicado (23 dígitos):</w:t>
            </w:r>
          </w:p>
        </w:tc>
        <w:tc>
          <w:tcPr>
            <w:tcW w:w="4410" w:type="dxa"/>
          </w:tcPr>
          <w:p w14:paraId="500322D8" w14:textId="4E59D9E1" w:rsidR="0057097F" w:rsidRPr="004005B9" w:rsidRDefault="3F3CF975" w:rsidP="004005B9">
            <w:pPr>
              <w:spacing w:line="276" w:lineRule="auto"/>
              <w:rPr>
                <w:rFonts w:asciiTheme="majorHAnsi" w:hAnsiTheme="majorHAnsi" w:cstheme="majorHAnsi"/>
              </w:rPr>
            </w:pPr>
            <w:r w:rsidRPr="004005B9">
              <w:rPr>
                <w:rFonts w:asciiTheme="majorHAnsi" w:hAnsiTheme="majorHAnsi" w:cstheme="majorHAnsi"/>
              </w:rPr>
              <w:t xml:space="preserve">52001400300520240062200 </w:t>
            </w:r>
          </w:p>
        </w:tc>
      </w:tr>
      <w:tr w:rsidR="0057097F" w:rsidRPr="00004712" w14:paraId="500322DC" w14:textId="77777777" w:rsidTr="75020658">
        <w:tc>
          <w:tcPr>
            <w:tcW w:w="6000" w:type="dxa"/>
            <w:shd w:val="clear" w:color="auto" w:fill="D9D9D9" w:themeFill="background1" w:themeFillShade="D9"/>
          </w:tcPr>
          <w:p w14:paraId="500322D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Demandantes:</w:t>
            </w:r>
          </w:p>
        </w:tc>
        <w:tc>
          <w:tcPr>
            <w:tcW w:w="4410" w:type="dxa"/>
          </w:tcPr>
          <w:p w14:paraId="500322DB" w14:textId="224938A1" w:rsidR="0057097F" w:rsidRPr="004005B9" w:rsidRDefault="11FD2CDB" w:rsidP="004005B9">
            <w:pPr>
              <w:spacing w:line="276" w:lineRule="auto"/>
              <w:jc w:val="both"/>
              <w:rPr>
                <w:rFonts w:asciiTheme="majorHAnsi" w:hAnsiTheme="majorHAnsi" w:cstheme="majorHAnsi"/>
                <w:lang w:val="es-419"/>
              </w:rPr>
            </w:pPr>
            <w:r w:rsidRPr="004005B9">
              <w:rPr>
                <w:rFonts w:asciiTheme="majorHAnsi" w:hAnsiTheme="majorHAnsi" w:cstheme="majorHAnsi"/>
                <w:lang w:val="es-419"/>
              </w:rPr>
              <w:t>MERCEDES DEL SOCORRO SANTACRUZ PINTA</w:t>
            </w:r>
          </w:p>
        </w:tc>
      </w:tr>
      <w:tr w:rsidR="0057097F" w:rsidRPr="00004712" w14:paraId="500322DF" w14:textId="77777777" w:rsidTr="75020658">
        <w:tc>
          <w:tcPr>
            <w:tcW w:w="6000" w:type="dxa"/>
            <w:shd w:val="clear" w:color="auto" w:fill="D9D9D9" w:themeFill="background1" w:themeFillShade="D9"/>
          </w:tcPr>
          <w:p w14:paraId="500322D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Demandados:</w:t>
            </w:r>
          </w:p>
        </w:tc>
        <w:tc>
          <w:tcPr>
            <w:tcW w:w="4410" w:type="dxa"/>
          </w:tcPr>
          <w:p w14:paraId="21D7F036" w14:textId="79AF39AB" w:rsidR="00004712" w:rsidRPr="004005B9" w:rsidRDefault="368C4C8B" w:rsidP="004005B9">
            <w:pPr>
              <w:pStyle w:val="Prrafodelista"/>
              <w:numPr>
                <w:ilvl w:val="0"/>
                <w:numId w:val="8"/>
              </w:numPr>
              <w:spacing w:line="276" w:lineRule="auto"/>
              <w:jc w:val="both"/>
              <w:rPr>
                <w:rFonts w:asciiTheme="majorHAnsi" w:hAnsiTheme="majorHAnsi" w:cstheme="majorHAnsi"/>
              </w:rPr>
            </w:pPr>
            <w:r w:rsidRPr="004005B9">
              <w:rPr>
                <w:rFonts w:asciiTheme="majorHAnsi" w:hAnsiTheme="majorHAnsi" w:cstheme="majorHAnsi"/>
              </w:rPr>
              <w:t>JOSÉ ALEXANDER CRUZ ARÉVALO</w:t>
            </w:r>
          </w:p>
          <w:p w14:paraId="58ADA60E" w14:textId="4B086BC4" w:rsidR="00004712" w:rsidRPr="004005B9" w:rsidRDefault="368C4C8B" w:rsidP="004005B9">
            <w:pPr>
              <w:pStyle w:val="Prrafodelista"/>
              <w:numPr>
                <w:ilvl w:val="0"/>
                <w:numId w:val="8"/>
              </w:numPr>
              <w:spacing w:line="276" w:lineRule="auto"/>
              <w:jc w:val="both"/>
              <w:rPr>
                <w:rFonts w:asciiTheme="majorHAnsi" w:hAnsiTheme="majorHAnsi" w:cstheme="majorHAnsi"/>
              </w:rPr>
            </w:pPr>
            <w:r w:rsidRPr="004005B9">
              <w:rPr>
                <w:rFonts w:asciiTheme="majorHAnsi" w:hAnsiTheme="majorHAnsi" w:cstheme="majorHAnsi"/>
              </w:rPr>
              <w:t xml:space="preserve">CARLOS ALIRIO INSUASTY GUERRERO </w:t>
            </w:r>
          </w:p>
          <w:p w14:paraId="500322DE" w14:textId="36B20A6C" w:rsidR="0057097F" w:rsidRPr="004005B9" w:rsidRDefault="368C4C8B" w:rsidP="004005B9">
            <w:pPr>
              <w:pStyle w:val="Prrafodelista"/>
              <w:numPr>
                <w:ilvl w:val="0"/>
                <w:numId w:val="8"/>
              </w:numPr>
              <w:spacing w:line="276" w:lineRule="auto"/>
              <w:jc w:val="both"/>
              <w:rPr>
                <w:rFonts w:asciiTheme="majorHAnsi" w:hAnsiTheme="majorHAnsi" w:cstheme="majorHAnsi"/>
              </w:rPr>
            </w:pPr>
            <w:r w:rsidRPr="004005B9">
              <w:rPr>
                <w:rFonts w:asciiTheme="majorHAnsi" w:hAnsiTheme="majorHAnsi" w:cstheme="majorHAnsi"/>
              </w:rPr>
              <w:t xml:space="preserve">LIBERTY SEGUROS S.A. </w:t>
            </w:r>
            <w:r w:rsidR="00004712">
              <w:rPr>
                <w:rFonts w:asciiTheme="majorHAnsi" w:hAnsiTheme="majorHAnsi" w:cstheme="majorHAnsi"/>
              </w:rPr>
              <w:t>hoy</w:t>
            </w:r>
            <w:r w:rsidRPr="004005B9">
              <w:rPr>
                <w:rFonts w:asciiTheme="majorHAnsi" w:hAnsiTheme="majorHAnsi" w:cstheme="majorHAnsi"/>
              </w:rPr>
              <w:t xml:space="preserve"> HDI SEGUROS COLOMBIA S.A.</w:t>
            </w:r>
          </w:p>
        </w:tc>
      </w:tr>
      <w:tr w:rsidR="0057097F" w:rsidRPr="00004712" w14:paraId="500322E2" w14:textId="77777777" w:rsidTr="75020658">
        <w:tc>
          <w:tcPr>
            <w:tcW w:w="6000" w:type="dxa"/>
            <w:shd w:val="clear" w:color="auto" w:fill="D9D9D9" w:themeFill="background1" w:themeFillShade="D9"/>
          </w:tcPr>
          <w:p w14:paraId="500322E0"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vinculación de Liberty (directa, llamamiento en garantía, litisconsorte):</w:t>
            </w:r>
          </w:p>
        </w:tc>
        <w:tc>
          <w:tcPr>
            <w:tcW w:w="4410" w:type="dxa"/>
          </w:tcPr>
          <w:p w14:paraId="500322E1" w14:textId="04F2A9E4" w:rsidR="0057097F" w:rsidRPr="004005B9" w:rsidRDefault="0ABD064A" w:rsidP="004005B9">
            <w:pPr>
              <w:spacing w:line="276" w:lineRule="auto"/>
              <w:jc w:val="both"/>
              <w:rPr>
                <w:rFonts w:asciiTheme="majorHAnsi" w:hAnsiTheme="majorHAnsi" w:cstheme="majorHAnsi"/>
              </w:rPr>
            </w:pPr>
            <w:r w:rsidRPr="004005B9">
              <w:rPr>
                <w:rFonts w:asciiTheme="majorHAnsi" w:hAnsiTheme="majorHAnsi" w:cstheme="majorHAnsi"/>
              </w:rPr>
              <w:t>Directa</w:t>
            </w:r>
            <w:r w:rsidR="002856E9" w:rsidRPr="004005B9">
              <w:rPr>
                <w:rFonts w:asciiTheme="majorHAnsi" w:hAnsiTheme="majorHAnsi" w:cstheme="majorHAnsi"/>
              </w:rPr>
              <w:t xml:space="preserve"> y llamamiento en garantía</w:t>
            </w:r>
          </w:p>
        </w:tc>
      </w:tr>
      <w:tr w:rsidR="0057097F" w:rsidRPr="00004712" w14:paraId="500322E5" w14:textId="77777777" w:rsidTr="75020658">
        <w:tc>
          <w:tcPr>
            <w:tcW w:w="6000" w:type="dxa"/>
            <w:shd w:val="clear" w:color="auto" w:fill="D9D9D9" w:themeFill="background1" w:themeFillShade="D9"/>
          </w:tcPr>
          <w:p w14:paraId="500322E3"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Resumen de los hechos:</w:t>
            </w:r>
          </w:p>
        </w:tc>
        <w:tc>
          <w:tcPr>
            <w:tcW w:w="4410" w:type="dxa"/>
          </w:tcPr>
          <w:p w14:paraId="2A18136D" w14:textId="201A2542" w:rsidR="0057097F" w:rsidRPr="004005B9" w:rsidRDefault="05B170D8" w:rsidP="004005B9">
            <w:pPr>
              <w:spacing w:line="276" w:lineRule="auto"/>
              <w:jc w:val="both"/>
              <w:rPr>
                <w:rFonts w:asciiTheme="majorHAnsi" w:hAnsiTheme="majorHAnsi" w:cstheme="majorHAnsi"/>
              </w:rPr>
            </w:pPr>
            <w:r w:rsidRPr="004005B9">
              <w:rPr>
                <w:rFonts w:asciiTheme="majorHAnsi" w:hAnsiTheme="majorHAnsi" w:cstheme="majorHAnsi"/>
              </w:rPr>
              <w:t>De acuerdo con</w:t>
            </w:r>
            <w:r w:rsidR="61324878" w:rsidRPr="004005B9">
              <w:rPr>
                <w:rFonts w:asciiTheme="majorHAnsi" w:hAnsiTheme="majorHAnsi" w:cstheme="majorHAnsi"/>
              </w:rPr>
              <w:t xml:space="preserve"> lo relatado en el escrito de demanda, el 20 de agosto de 2015 en la vía Pasto- Mojarras, sucede accidente de tránsito entre el vehículo tipo tracto camión de placas SNR040 y la motocicleta de placas WZR14C, conducida por el señor JHON JAIRO MARTINEZ (Q.E.P.D) quien falleció en el accidente.  </w:t>
            </w:r>
          </w:p>
          <w:p w14:paraId="0D172F4A" w14:textId="5C620291" w:rsidR="0057097F" w:rsidRPr="004005B9" w:rsidRDefault="61324878" w:rsidP="004005B9">
            <w:pPr>
              <w:spacing w:line="276" w:lineRule="auto"/>
              <w:jc w:val="both"/>
              <w:rPr>
                <w:rFonts w:asciiTheme="majorHAnsi" w:hAnsiTheme="majorHAnsi" w:cstheme="majorHAnsi"/>
              </w:rPr>
            </w:pPr>
            <w:r w:rsidRPr="004005B9">
              <w:rPr>
                <w:rFonts w:asciiTheme="majorHAnsi" w:hAnsiTheme="majorHAnsi" w:cstheme="majorHAnsi"/>
              </w:rPr>
              <w:t xml:space="preserve"> </w:t>
            </w:r>
          </w:p>
          <w:p w14:paraId="50E682D9" w14:textId="46294C3B" w:rsidR="0057097F" w:rsidRPr="004005B9" w:rsidRDefault="61324878" w:rsidP="004005B9">
            <w:pPr>
              <w:spacing w:line="276" w:lineRule="auto"/>
              <w:jc w:val="both"/>
              <w:rPr>
                <w:rFonts w:asciiTheme="majorHAnsi" w:hAnsiTheme="majorHAnsi" w:cstheme="majorHAnsi"/>
              </w:rPr>
            </w:pPr>
            <w:r w:rsidRPr="004005B9">
              <w:rPr>
                <w:rFonts w:asciiTheme="majorHAnsi" w:hAnsiTheme="majorHAnsi" w:cstheme="majorHAnsi"/>
              </w:rPr>
              <w:t xml:space="preserve">Ante reclamación presentada por la señora MERCEDES DEL SOCORRO SANTACRUZ PINTA (compañera permanente del fallecido), el 15 de enero de 2019 se emitió objeción por parte de Liberty Seguros (ahora HDI Seguros Colombia S.A.). </w:t>
            </w:r>
          </w:p>
          <w:p w14:paraId="627175C3" w14:textId="0B56EC6D" w:rsidR="0057097F" w:rsidRPr="004005B9" w:rsidRDefault="61324878" w:rsidP="004005B9">
            <w:pPr>
              <w:spacing w:line="276" w:lineRule="auto"/>
              <w:jc w:val="both"/>
              <w:rPr>
                <w:rFonts w:asciiTheme="majorHAnsi" w:hAnsiTheme="majorHAnsi" w:cstheme="majorHAnsi"/>
              </w:rPr>
            </w:pPr>
            <w:r w:rsidRPr="004005B9">
              <w:rPr>
                <w:rFonts w:asciiTheme="majorHAnsi" w:hAnsiTheme="majorHAnsi" w:cstheme="majorHAnsi"/>
              </w:rPr>
              <w:t xml:space="preserve"> </w:t>
            </w:r>
          </w:p>
          <w:p w14:paraId="500322E4" w14:textId="6746AD05" w:rsidR="0057097F" w:rsidRPr="004005B9" w:rsidRDefault="61324878" w:rsidP="004005B9">
            <w:pPr>
              <w:spacing w:line="276" w:lineRule="auto"/>
              <w:jc w:val="both"/>
              <w:rPr>
                <w:rFonts w:asciiTheme="majorHAnsi" w:hAnsiTheme="majorHAnsi" w:cstheme="majorHAnsi"/>
              </w:rPr>
            </w:pPr>
            <w:r w:rsidRPr="004005B9">
              <w:rPr>
                <w:rFonts w:asciiTheme="majorHAnsi" w:hAnsiTheme="majorHAnsi" w:cstheme="majorHAnsi"/>
              </w:rPr>
              <w:t>En el escrito de la demanda se indica que el vehículo de pla</w:t>
            </w:r>
            <w:r w:rsidR="00830C3E">
              <w:rPr>
                <w:rFonts w:asciiTheme="majorHAnsi" w:hAnsiTheme="majorHAnsi" w:cstheme="majorHAnsi"/>
              </w:rPr>
              <w:t>c</w:t>
            </w:r>
            <w:r w:rsidRPr="004005B9">
              <w:rPr>
                <w:rFonts w:asciiTheme="majorHAnsi" w:hAnsiTheme="majorHAnsi" w:cstheme="majorHAnsi"/>
              </w:rPr>
              <w:t>as SNR040, contaba para el momento del accidente con póliza todo rie</w:t>
            </w:r>
            <w:r w:rsidR="43A679CB" w:rsidRPr="004005B9">
              <w:rPr>
                <w:rFonts w:asciiTheme="majorHAnsi" w:hAnsiTheme="majorHAnsi" w:cstheme="majorHAnsi"/>
              </w:rPr>
              <w:t>s</w:t>
            </w:r>
            <w:r w:rsidRPr="004005B9">
              <w:rPr>
                <w:rFonts w:asciiTheme="majorHAnsi" w:hAnsiTheme="majorHAnsi" w:cstheme="majorHAnsi"/>
              </w:rPr>
              <w:t xml:space="preserve">go PO-6-1122 con Liberty Seguros.  </w:t>
            </w:r>
          </w:p>
        </w:tc>
      </w:tr>
      <w:tr w:rsidR="0057097F" w:rsidRPr="00004712" w14:paraId="500322E8" w14:textId="77777777" w:rsidTr="75020658">
        <w:tc>
          <w:tcPr>
            <w:tcW w:w="6000" w:type="dxa"/>
            <w:shd w:val="clear" w:color="auto" w:fill="D9D9D9" w:themeFill="background1" w:themeFillShade="D9"/>
          </w:tcPr>
          <w:p w14:paraId="500322E6"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Descripción de las pretensiones:</w:t>
            </w:r>
          </w:p>
        </w:tc>
        <w:tc>
          <w:tcPr>
            <w:tcW w:w="4410" w:type="dxa"/>
          </w:tcPr>
          <w:p w14:paraId="351A84E6" w14:textId="004AA054" w:rsidR="0057097F" w:rsidRPr="004005B9" w:rsidRDefault="623291B6" w:rsidP="004005B9">
            <w:pPr>
              <w:spacing w:line="276" w:lineRule="auto"/>
              <w:jc w:val="both"/>
              <w:rPr>
                <w:rFonts w:asciiTheme="majorHAnsi" w:hAnsiTheme="majorHAnsi" w:cstheme="majorHAnsi"/>
              </w:rPr>
            </w:pPr>
            <w:r w:rsidRPr="004005B9">
              <w:rPr>
                <w:rFonts w:asciiTheme="majorHAnsi" w:hAnsiTheme="majorHAnsi" w:cstheme="majorHAnsi"/>
              </w:rPr>
              <w:t>Declarar civilmente responsable a LIBERTY SEGUROS S.A. (ahora HDI Seguros Colombia S.A.)</w:t>
            </w:r>
          </w:p>
          <w:p w14:paraId="522BC88A" w14:textId="1D688637" w:rsidR="0057097F" w:rsidRPr="004005B9" w:rsidRDefault="623291B6" w:rsidP="004005B9">
            <w:pPr>
              <w:spacing w:line="276" w:lineRule="auto"/>
              <w:jc w:val="both"/>
              <w:rPr>
                <w:rFonts w:asciiTheme="majorHAnsi" w:hAnsiTheme="majorHAnsi" w:cstheme="majorHAnsi"/>
              </w:rPr>
            </w:pPr>
            <w:r w:rsidRPr="004005B9">
              <w:rPr>
                <w:rFonts w:asciiTheme="majorHAnsi" w:hAnsiTheme="majorHAnsi" w:cstheme="majorHAnsi"/>
              </w:rPr>
              <w:lastRenderedPageBreak/>
              <w:t xml:space="preserve">Solicita intereses moratorios del </w:t>
            </w:r>
            <w:r w:rsidR="00830C3E">
              <w:rPr>
                <w:rFonts w:asciiTheme="majorHAnsi" w:hAnsiTheme="majorHAnsi" w:cstheme="majorHAnsi"/>
              </w:rPr>
              <w:t>A</w:t>
            </w:r>
            <w:r w:rsidRPr="004005B9">
              <w:rPr>
                <w:rFonts w:asciiTheme="majorHAnsi" w:hAnsiTheme="majorHAnsi" w:cstheme="majorHAnsi"/>
              </w:rPr>
              <w:t xml:space="preserve">rt 1081 del </w:t>
            </w:r>
            <w:proofErr w:type="spellStart"/>
            <w:r w:rsidRPr="004005B9">
              <w:rPr>
                <w:rFonts w:asciiTheme="majorHAnsi" w:hAnsiTheme="majorHAnsi" w:cstheme="majorHAnsi"/>
              </w:rPr>
              <w:t>C.Co</w:t>
            </w:r>
            <w:proofErr w:type="spellEnd"/>
            <w:r w:rsidRPr="004005B9">
              <w:rPr>
                <w:rFonts w:asciiTheme="majorHAnsi" w:hAnsiTheme="majorHAnsi" w:cstheme="majorHAnsi"/>
              </w:rPr>
              <w:t xml:space="preserve"> desde el momento en que se debió pagar la indemnización por parte de LIBERTY SEGUROS S.A.</w:t>
            </w:r>
          </w:p>
          <w:p w14:paraId="4BA679D4" w14:textId="4DF1A6F3" w:rsidR="0057097F" w:rsidRPr="004005B9" w:rsidRDefault="623291B6" w:rsidP="004005B9">
            <w:pPr>
              <w:spacing w:line="276" w:lineRule="auto"/>
              <w:jc w:val="both"/>
              <w:rPr>
                <w:rFonts w:asciiTheme="majorHAnsi" w:hAnsiTheme="majorHAnsi" w:cstheme="majorHAnsi"/>
              </w:rPr>
            </w:pPr>
            <w:r w:rsidRPr="004005B9">
              <w:rPr>
                <w:rFonts w:asciiTheme="majorHAnsi" w:hAnsiTheme="majorHAnsi" w:cstheme="majorHAnsi"/>
              </w:rPr>
              <w:t>Perjuicios patrimoniales por la suma de $99.294.116</w:t>
            </w:r>
            <w:r w:rsidR="00830C3E">
              <w:rPr>
                <w:rFonts w:asciiTheme="majorHAnsi" w:hAnsiTheme="majorHAnsi" w:cstheme="majorHAnsi"/>
              </w:rPr>
              <w:t>.</w:t>
            </w:r>
          </w:p>
          <w:p w14:paraId="0EEB4482" w14:textId="28709E39" w:rsidR="0057097F" w:rsidRPr="004005B9" w:rsidRDefault="623291B6" w:rsidP="004005B9">
            <w:pPr>
              <w:spacing w:line="276" w:lineRule="auto"/>
              <w:jc w:val="both"/>
              <w:rPr>
                <w:rFonts w:asciiTheme="majorHAnsi" w:hAnsiTheme="majorHAnsi" w:cstheme="majorHAnsi"/>
              </w:rPr>
            </w:pPr>
            <w:r w:rsidRPr="004005B9">
              <w:rPr>
                <w:rFonts w:asciiTheme="majorHAnsi" w:hAnsiTheme="majorHAnsi" w:cstheme="majorHAnsi"/>
              </w:rPr>
              <w:t>Perjuicios extrapatrimoniales por la suma de $64.435.000</w:t>
            </w:r>
            <w:r w:rsidR="00830C3E">
              <w:rPr>
                <w:rFonts w:asciiTheme="majorHAnsi" w:hAnsiTheme="majorHAnsi" w:cstheme="majorHAnsi"/>
              </w:rPr>
              <w:t>.</w:t>
            </w:r>
          </w:p>
          <w:p w14:paraId="362BC27A" w14:textId="5C2902E5" w:rsidR="0057097F" w:rsidRPr="004005B9" w:rsidRDefault="0057097F" w:rsidP="004005B9">
            <w:pPr>
              <w:spacing w:line="276" w:lineRule="auto"/>
              <w:jc w:val="both"/>
              <w:rPr>
                <w:rFonts w:asciiTheme="majorHAnsi" w:hAnsiTheme="majorHAnsi" w:cstheme="majorHAnsi"/>
              </w:rPr>
            </w:pPr>
          </w:p>
          <w:p w14:paraId="500322E7" w14:textId="46D88F6C" w:rsidR="0057097F" w:rsidRPr="004005B9" w:rsidRDefault="7E4F22B1" w:rsidP="004005B9">
            <w:pPr>
              <w:spacing w:line="276" w:lineRule="auto"/>
              <w:jc w:val="both"/>
              <w:rPr>
                <w:rFonts w:asciiTheme="majorHAnsi" w:hAnsiTheme="majorHAnsi" w:cstheme="majorHAnsi"/>
              </w:rPr>
            </w:pPr>
            <w:r w:rsidRPr="004005B9">
              <w:rPr>
                <w:rFonts w:asciiTheme="majorHAnsi" w:hAnsiTheme="majorHAnsi" w:cstheme="majorHAnsi"/>
              </w:rPr>
              <w:t>TOTAL PRETENSIONES: $163.729.116</w:t>
            </w:r>
          </w:p>
        </w:tc>
      </w:tr>
      <w:tr w:rsidR="0057097F" w:rsidRPr="00004712" w14:paraId="500322EB" w14:textId="77777777" w:rsidTr="75020658">
        <w:tc>
          <w:tcPr>
            <w:tcW w:w="6000" w:type="dxa"/>
            <w:shd w:val="clear" w:color="auto" w:fill="D9D9D9" w:themeFill="background1" w:themeFillShade="D9"/>
          </w:tcPr>
          <w:p w14:paraId="500322E9"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Pretensiones cuantificadas ($):</w:t>
            </w:r>
          </w:p>
        </w:tc>
        <w:tc>
          <w:tcPr>
            <w:tcW w:w="4410" w:type="dxa"/>
          </w:tcPr>
          <w:p w14:paraId="500322EA" w14:textId="6310EB2B" w:rsidR="0057097F" w:rsidRPr="004005B9" w:rsidRDefault="0C8F4989" w:rsidP="004005B9">
            <w:pPr>
              <w:spacing w:line="276" w:lineRule="auto"/>
              <w:jc w:val="both"/>
              <w:rPr>
                <w:rFonts w:asciiTheme="majorHAnsi" w:hAnsiTheme="majorHAnsi" w:cstheme="majorHAnsi"/>
              </w:rPr>
            </w:pPr>
            <w:r w:rsidRPr="004005B9">
              <w:rPr>
                <w:rFonts w:asciiTheme="majorHAnsi" w:hAnsiTheme="majorHAnsi" w:cstheme="majorHAnsi"/>
              </w:rPr>
              <w:t xml:space="preserve">$163.729.116 </w:t>
            </w:r>
          </w:p>
        </w:tc>
      </w:tr>
      <w:tr w:rsidR="0057097F" w:rsidRPr="00004712" w14:paraId="500322EE" w14:textId="77777777" w:rsidTr="75020658">
        <w:tc>
          <w:tcPr>
            <w:tcW w:w="6000" w:type="dxa"/>
            <w:shd w:val="clear" w:color="auto" w:fill="D9D9D9" w:themeFill="background1" w:themeFillShade="D9"/>
          </w:tcPr>
          <w:p w14:paraId="500322E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 asegurado amparos afectados:</w:t>
            </w:r>
          </w:p>
        </w:tc>
        <w:tc>
          <w:tcPr>
            <w:tcW w:w="4410" w:type="dxa"/>
          </w:tcPr>
          <w:p w14:paraId="6E99F90B" w14:textId="7B176CDB" w:rsidR="0057097F" w:rsidRDefault="00657E46" w:rsidP="004005B9">
            <w:pPr>
              <w:spacing w:line="276" w:lineRule="auto"/>
              <w:rPr>
                <w:rFonts w:asciiTheme="majorHAnsi" w:hAnsiTheme="majorHAnsi" w:cstheme="majorHAnsi"/>
                <w:b/>
                <w:bCs/>
              </w:rPr>
            </w:pPr>
            <w:r>
              <w:rPr>
                <w:rFonts w:asciiTheme="majorHAnsi" w:hAnsiTheme="majorHAnsi" w:cstheme="majorHAnsi"/>
                <w:b/>
                <w:bCs/>
              </w:rPr>
              <w:t xml:space="preserve">RCE LESIÓN /MUERTE 1 PERS. </w:t>
            </w:r>
            <w:r w:rsidR="7570458E" w:rsidRPr="004005B9">
              <w:rPr>
                <w:rFonts w:asciiTheme="majorHAnsi" w:hAnsiTheme="majorHAnsi" w:cstheme="majorHAnsi"/>
                <w:b/>
                <w:bCs/>
              </w:rPr>
              <w:t>$</w:t>
            </w:r>
            <w:r w:rsidR="2776ACD1" w:rsidRPr="004005B9">
              <w:rPr>
                <w:rFonts w:asciiTheme="majorHAnsi" w:hAnsiTheme="majorHAnsi" w:cstheme="majorHAnsi"/>
                <w:b/>
                <w:bCs/>
              </w:rPr>
              <w:t>500.000.000</w:t>
            </w:r>
          </w:p>
          <w:p w14:paraId="500322ED" w14:textId="3A527690" w:rsidR="00830C3E" w:rsidRPr="004005B9" w:rsidRDefault="00657E46" w:rsidP="004005B9">
            <w:pPr>
              <w:spacing w:line="276" w:lineRule="auto"/>
              <w:rPr>
                <w:rFonts w:asciiTheme="majorHAnsi" w:hAnsiTheme="majorHAnsi" w:cstheme="majorHAnsi"/>
                <w:b/>
                <w:bCs/>
              </w:rPr>
            </w:pPr>
            <w:r>
              <w:rPr>
                <w:rFonts w:asciiTheme="majorHAnsi" w:hAnsiTheme="majorHAnsi" w:cstheme="majorHAnsi"/>
                <w:b/>
                <w:bCs/>
              </w:rPr>
              <w:t>RCE EN EXCESO $1.000.000.000</w:t>
            </w:r>
            <w:r w:rsidR="00830C3E">
              <w:rPr>
                <w:rFonts w:asciiTheme="majorHAnsi" w:hAnsiTheme="majorHAnsi" w:cstheme="majorHAnsi"/>
                <w:b/>
                <w:bCs/>
              </w:rPr>
              <w:t>.</w:t>
            </w:r>
          </w:p>
        </w:tc>
      </w:tr>
      <w:tr w:rsidR="0057097F" w:rsidRPr="00004712" w14:paraId="500322F1" w14:textId="77777777" w:rsidTr="75020658">
        <w:tc>
          <w:tcPr>
            <w:tcW w:w="6000" w:type="dxa"/>
            <w:shd w:val="clear" w:color="auto" w:fill="D9D9D9" w:themeFill="background1" w:themeFillShade="D9"/>
          </w:tcPr>
          <w:p w14:paraId="500322E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Valoración objetiva de las pretensiones:</w:t>
            </w:r>
          </w:p>
        </w:tc>
        <w:tc>
          <w:tcPr>
            <w:tcW w:w="4410" w:type="dxa"/>
          </w:tcPr>
          <w:p w14:paraId="7A91695F" w14:textId="4A9E903E" w:rsidR="0057097F" w:rsidRPr="004005B9" w:rsidRDefault="72F47928" w:rsidP="00004712">
            <w:pPr>
              <w:spacing w:line="276" w:lineRule="auto"/>
              <w:jc w:val="both"/>
              <w:rPr>
                <w:rFonts w:asciiTheme="majorHAnsi" w:hAnsiTheme="majorHAnsi" w:cstheme="majorHAnsi"/>
              </w:rPr>
            </w:pPr>
            <w:r w:rsidRPr="004005B9">
              <w:rPr>
                <w:rFonts w:asciiTheme="majorHAnsi" w:hAnsiTheme="majorHAnsi" w:cstheme="majorHAnsi"/>
              </w:rPr>
              <w:t xml:space="preserve">Se presenta como pretensiones objetivadas la suma de </w:t>
            </w:r>
            <w:r w:rsidR="2E493F49" w:rsidRPr="004005B9">
              <w:rPr>
                <w:rFonts w:asciiTheme="majorHAnsi" w:hAnsiTheme="majorHAnsi" w:cstheme="majorHAnsi"/>
              </w:rPr>
              <w:t>$</w:t>
            </w:r>
            <w:r w:rsidR="325D51D1" w:rsidRPr="004005B9">
              <w:rPr>
                <w:rFonts w:asciiTheme="majorHAnsi" w:hAnsiTheme="majorHAnsi" w:cstheme="majorHAnsi"/>
              </w:rPr>
              <w:t>152.936.616</w:t>
            </w:r>
            <w:r w:rsidR="2E493F49" w:rsidRPr="004005B9">
              <w:rPr>
                <w:rFonts w:asciiTheme="majorHAnsi" w:hAnsiTheme="majorHAnsi" w:cstheme="majorHAnsi"/>
              </w:rPr>
              <w:t xml:space="preserve">, </w:t>
            </w:r>
            <w:r w:rsidR="002F4CD8">
              <w:rPr>
                <w:rFonts w:asciiTheme="majorHAnsi" w:hAnsiTheme="majorHAnsi" w:cstheme="majorHAnsi"/>
              </w:rPr>
              <w:t>de conformidad</w:t>
            </w:r>
            <w:r w:rsidR="2E493F49" w:rsidRPr="004005B9">
              <w:rPr>
                <w:rFonts w:asciiTheme="majorHAnsi" w:hAnsiTheme="majorHAnsi" w:cstheme="majorHAnsi"/>
              </w:rPr>
              <w:t xml:space="preserve"> con lo siguiente:</w:t>
            </w:r>
          </w:p>
          <w:p w14:paraId="78F4BA7D" w14:textId="10E11582" w:rsidR="0057097F" w:rsidRPr="004005B9" w:rsidRDefault="0057097F">
            <w:pPr>
              <w:spacing w:line="276" w:lineRule="auto"/>
              <w:jc w:val="both"/>
              <w:rPr>
                <w:rFonts w:asciiTheme="majorHAnsi" w:hAnsiTheme="majorHAnsi" w:cstheme="majorHAnsi"/>
              </w:rPr>
            </w:pPr>
          </w:p>
          <w:p w14:paraId="0779A562" w14:textId="257E05FC" w:rsidR="0057097F" w:rsidRPr="004005B9" w:rsidRDefault="75020658">
            <w:pPr>
              <w:spacing w:line="276" w:lineRule="auto"/>
              <w:jc w:val="both"/>
              <w:rPr>
                <w:rFonts w:asciiTheme="majorHAnsi" w:hAnsiTheme="majorHAnsi" w:cstheme="majorHAnsi"/>
                <w:b/>
                <w:bCs/>
              </w:rPr>
            </w:pPr>
            <w:r w:rsidRPr="004005B9">
              <w:rPr>
                <w:rFonts w:asciiTheme="majorHAnsi" w:hAnsiTheme="majorHAnsi" w:cstheme="majorHAnsi"/>
                <w:b/>
                <w:bCs/>
              </w:rPr>
              <w:t xml:space="preserve">1. </w:t>
            </w:r>
            <w:r w:rsidR="39AA1017" w:rsidRPr="004005B9">
              <w:rPr>
                <w:rFonts w:asciiTheme="majorHAnsi" w:hAnsiTheme="majorHAnsi" w:cstheme="majorHAnsi"/>
                <w:b/>
                <w:bCs/>
              </w:rPr>
              <w:t>LUCRO CESANTE (a favor de la compañera permanente)</w:t>
            </w:r>
            <w:r w:rsidR="2E0D2785" w:rsidRPr="004005B9">
              <w:rPr>
                <w:rFonts w:asciiTheme="majorHAnsi" w:hAnsiTheme="majorHAnsi" w:cstheme="majorHAnsi"/>
                <w:b/>
                <w:bCs/>
              </w:rPr>
              <w:t>:</w:t>
            </w:r>
          </w:p>
          <w:p w14:paraId="60C6ED95" w14:textId="6C05578F" w:rsidR="0057097F" w:rsidRPr="004005B9" w:rsidRDefault="2AD93E7A">
            <w:pPr>
              <w:spacing w:line="276" w:lineRule="auto"/>
              <w:jc w:val="both"/>
              <w:rPr>
                <w:rFonts w:asciiTheme="majorHAnsi" w:hAnsiTheme="majorHAnsi" w:cstheme="majorHAnsi"/>
                <w:b/>
                <w:bCs/>
              </w:rPr>
            </w:pPr>
            <w:r w:rsidRPr="004005B9">
              <w:rPr>
                <w:rFonts w:asciiTheme="majorHAnsi" w:hAnsiTheme="majorHAnsi" w:cstheme="majorHAnsi"/>
              </w:rPr>
              <w:t xml:space="preserve">Ésta suma fue </w:t>
            </w:r>
            <w:r w:rsidR="17AAAA57" w:rsidRPr="004005B9">
              <w:rPr>
                <w:rFonts w:asciiTheme="majorHAnsi" w:hAnsiTheme="majorHAnsi" w:cstheme="majorHAnsi"/>
              </w:rPr>
              <w:t>liquidad</w:t>
            </w:r>
            <w:r w:rsidR="71DB6EE2" w:rsidRPr="004005B9">
              <w:rPr>
                <w:rFonts w:asciiTheme="majorHAnsi" w:hAnsiTheme="majorHAnsi" w:cstheme="majorHAnsi"/>
              </w:rPr>
              <w:t>a</w:t>
            </w:r>
            <w:r w:rsidR="17AAAA57" w:rsidRPr="004005B9">
              <w:rPr>
                <w:rFonts w:asciiTheme="majorHAnsi" w:hAnsiTheme="majorHAnsi" w:cstheme="majorHAnsi"/>
              </w:rPr>
              <w:t xml:space="preserve"> </w:t>
            </w:r>
            <w:r w:rsidR="18DD97CE" w:rsidRPr="004005B9">
              <w:rPr>
                <w:rFonts w:asciiTheme="majorHAnsi" w:hAnsiTheme="majorHAnsi" w:cstheme="majorHAnsi"/>
              </w:rPr>
              <w:t>tomando como referencia un valor de $483.262 como ingreso mensual percibido por el fallecido ya que se presume devengaba un salario m</w:t>
            </w:r>
            <w:r w:rsidR="4820DBD3" w:rsidRPr="004005B9">
              <w:rPr>
                <w:rFonts w:asciiTheme="majorHAnsi" w:hAnsiTheme="majorHAnsi" w:cstheme="majorHAnsi"/>
              </w:rPr>
              <w:t xml:space="preserve">ínimo por tener </w:t>
            </w:r>
            <w:r w:rsidR="002F4CD8">
              <w:rPr>
                <w:rFonts w:asciiTheme="majorHAnsi" w:hAnsiTheme="majorHAnsi" w:cstheme="majorHAnsi"/>
              </w:rPr>
              <w:t xml:space="preserve">más de </w:t>
            </w:r>
            <w:r w:rsidR="4820DBD3" w:rsidRPr="004005B9">
              <w:rPr>
                <w:rFonts w:asciiTheme="majorHAnsi" w:hAnsiTheme="majorHAnsi" w:cstheme="majorHAnsi"/>
              </w:rPr>
              <w:t>18 años</w:t>
            </w:r>
            <w:r w:rsidR="7B0778AE" w:rsidRPr="004005B9">
              <w:rPr>
                <w:rFonts w:asciiTheme="majorHAnsi" w:hAnsiTheme="majorHAnsi" w:cstheme="majorHAnsi"/>
              </w:rPr>
              <w:t xml:space="preserve">, </w:t>
            </w:r>
            <w:proofErr w:type="spellStart"/>
            <w:r w:rsidR="7B0778AE" w:rsidRPr="004005B9">
              <w:rPr>
                <w:rFonts w:asciiTheme="majorHAnsi" w:hAnsiTheme="majorHAnsi" w:cstheme="majorHAnsi"/>
              </w:rPr>
              <w:t>a</w:t>
            </w:r>
            <w:proofErr w:type="spellEnd"/>
            <w:r w:rsidR="7B0778AE" w:rsidRPr="004005B9">
              <w:rPr>
                <w:rFonts w:asciiTheme="majorHAnsi" w:hAnsiTheme="majorHAnsi" w:cstheme="majorHAnsi"/>
              </w:rPr>
              <w:t xml:space="preserve"> dicho valor se le restó</w:t>
            </w:r>
            <w:r w:rsidR="4820DBD3" w:rsidRPr="004005B9">
              <w:rPr>
                <w:rFonts w:asciiTheme="majorHAnsi" w:hAnsiTheme="majorHAnsi" w:cstheme="majorHAnsi"/>
              </w:rPr>
              <w:t xml:space="preserve"> el 25% por ser destinado a sus gastos personales</w:t>
            </w:r>
            <w:r w:rsidR="2E493F49" w:rsidRPr="004005B9">
              <w:rPr>
                <w:rFonts w:asciiTheme="majorHAnsi" w:hAnsiTheme="majorHAnsi" w:cstheme="majorHAnsi"/>
              </w:rPr>
              <w:t>, d</w:t>
            </w:r>
            <w:r w:rsidR="4DA60729" w:rsidRPr="004005B9">
              <w:rPr>
                <w:rFonts w:asciiTheme="majorHAnsi" w:hAnsiTheme="majorHAnsi" w:cstheme="majorHAnsi"/>
              </w:rPr>
              <w:t xml:space="preserve">ando un valor </w:t>
            </w:r>
            <w:r w:rsidR="039F1E3C" w:rsidRPr="004005B9">
              <w:rPr>
                <w:rFonts w:asciiTheme="majorHAnsi" w:hAnsiTheme="majorHAnsi" w:cstheme="majorHAnsi"/>
              </w:rPr>
              <w:t>de</w:t>
            </w:r>
            <w:r w:rsidR="5DE774AC" w:rsidRPr="004005B9">
              <w:rPr>
                <w:rFonts w:asciiTheme="majorHAnsi" w:hAnsiTheme="majorHAnsi" w:cstheme="majorHAnsi"/>
              </w:rPr>
              <w:t xml:space="preserve"> $92.936.616.</w:t>
            </w:r>
            <w:r w:rsidR="43CEF1C6" w:rsidRPr="004005B9">
              <w:rPr>
                <w:rFonts w:asciiTheme="majorHAnsi" w:hAnsiTheme="majorHAnsi" w:cstheme="majorHAnsi"/>
              </w:rPr>
              <w:t xml:space="preserve"> </w:t>
            </w:r>
          </w:p>
          <w:p w14:paraId="578EC2C9" w14:textId="21810673" w:rsidR="0057097F" w:rsidRPr="004005B9" w:rsidRDefault="0057097F">
            <w:pPr>
              <w:spacing w:line="276" w:lineRule="auto"/>
              <w:jc w:val="both"/>
              <w:rPr>
                <w:rFonts w:asciiTheme="majorHAnsi" w:hAnsiTheme="majorHAnsi" w:cstheme="majorHAnsi"/>
              </w:rPr>
            </w:pPr>
          </w:p>
          <w:p w14:paraId="1F3E03EF" w14:textId="6CFF83A9" w:rsidR="0057097F" w:rsidRPr="004005B9" w:rsidRDefault="43CEF1C6">
            <w:pPr>
              <w:spacing w:line="276" w:lineRule="auto"/>
              <w:jc w:val="both"/>
              <w:rPr>
                <w:rFonts w:asciiTheme="majorHAnsi" w:hAnsiTheme="majorHAnsi" w:cstheme="majorHAnsi"/>
              </w:rPr>
            </w:pPr>
            <w:r w:rsidRPr="004005B9">
              <w:rPr>
                <w:rFonts w:asciiTheme="majorHAnsi" w:hAnsiTheme="majorHAnsi" w:cstheme="majorHAnsi"/>
              </w:rPr>
              <w:t>NO SE LIQUIDA LUCRO CESANTE CONSOLIDADO POR NO SER PRETENDIDO, EL JUEZ NO PODRÍA RECONOCER ESTE VALOR DE ACUERDO AL ART 281 DEL CGP.</w:t>
            </w:r>
          </w:p>
          <w:p w14:paraId="00DA1A66" w14:textId="37520DFC" w:rsidR="0057097F" w:rsidRPr="004005B9" w:rsidRDefault="0057097F">
            <w:pPr>
              <w:spacing w:line="276" w:lineRule="auto"/>
              <w:jc w:val="both"/>
              <w:rPr>
                <w:rFonts w:asciiTheme="majorHAnsi" w:hAnsiTheme="majorHAnsi" w:cstheme="majorHAnsi"/>
              </w:rPr>
            </w:pPr>
          </w:p>
          <w:p w14:paraId="5348204A" w14:textId="1618E2CA" w:rsidR="77DD67C5" w:rsidRPr="004005B9" w:rsidRDefault="77DD67C5">
            <w:pPr>
              <w:spacing w:line="276" w:lineRule="auto"/>
              <w:jc w:val="both"/>
              <w:rPr>
                <w:rFonts w:asciiTheme="majorHAnsi" w:hAnsiTheme="majorHAnsi" w:cstheme="majorHAnsi"/>
                <w:b/>
                <w:bCs/>
              </w:rPr>
            </w:pPr>
            <w:r w:rsidRPr="004005B9">
              <w:rPr>
                <w:rFonts w:asciiTheme="majorHAnsi" w:hAnsiTheme="majorHAnsi" w:cstheme="majorHAnsi"/>
                <w:b/>
                <w:bCs/>
              </w:rPr>
              <w:t>2. DAÑO MORAL</w:t>
            </w:r>
            <w:r w:rsidR="0C995684" w:rsidRPr="004005B9">
              <w:rPr>
                <w:rFonts w:asciiTheme="majorHAnsi" w:hAnsiTheme="majorHAnsi" w:cstheme="majorHAnsi"/>
                <w:b/>
                <w:bCs/>
              </w:rPr>
              <w:t xml:space="preserve"> (a favor de la compañera </w:t>
            </w:r>
            <w:proofErr w:type="spellStart"/>
            <w:r w:rsidR="0C995684" w:rsidRPr="004005B9">
              <w:rPr>
                <w:rFonts w:asciiTheme="majorHAnsi" w:hAnsiTheme="majorHAnsi" w:cstheme="majorHAnsi"/>
                <w:b/>
                <w:bCs/>
              </w:rPr>
              <w:t>permanante</w:t>
            </w:r>
            <w:proofErr w:type="spellEnd"/>
            <w:r w:rsidR="0C995684" w:rsidRPr="004005B9">
              <w:rPr>
                <w:rFonts w:asciiTheme="majorHAnsi" w:hAnsiTheme="majorHAnsi" w:cstheme="majorHAnsi"/>
                <w:b/>
                <w:bCs/>
              </w:rPr>
              <w:t>):</w:t>
            </w:r>
          </w:p>
          <w:p w14:paraId="0902702E" w14:textId="26EFE523" w:rsidR="0057097F" w:rsidRPr="004005B9" w:rsidRDefault="5DE774AC">
            <w:pPr>
              <w:spacing w:line="276" w:lineRule="auto"/>
              <w:jc w:val="both"/>
              <w:rPr>
                <w:rFonts w:asciiTheme="majorHAnsi" w:hAnsiTheme="majorHAnsi" w:cstheme="majorHAnsi"/>
              </w:rPr>
            </w:pPr>
            <w:r w:rsidRPr="004005B9">
              <w:rPr>
                <w:rFonts w:asciiTheme="majorHAnsi" w:hAnsiTheme="majorHAnsi" w:cstheme="majorHAnsi"/>
              </w:rPr>
              <w:t xml:space="preserve">Así mismo, se establece como valor de daño moral la suma de $60.000.000 de </w:t>
            </w:r>
            <w:r w:rsidR="0DE09F18" w:rsidRPr="004005B9">
              <w:rPr>
                <w:rFonts w:asciiTheme="majorHAnsi" w:hAnsiTheme="majorHAnsi" w:cstheme="majorHAnsi"/>
              </w:rPr>
              <w:t>acuerdo</w:t>
            </w:r>
            <w:r w:rsidRPr="004005B9">
              <w:rPr>
                <w:rFonts w:asciiTheme="majorHAnsi" w:hAnsiTheme="majorHAnsi" w:cstheme="majorHAnsi"/>
              </w:rPr>
              <w:t xml:space="preserve"> con lo establecido por la jurisprudencia de la Corte Suprema de Justicia frente a la reclamación de este perjuicio frente a la muerte del </w:t>
            </w:r>
            <w:r w:rsidR="1265A6D3" w:rsidRPr="004005B9">
              <w:rPr>
                <w:rFonts w:asciiTheme="majorHAnsi" w:hAnsiTheme="majorHAnsi" w:cstheme="majorHAnsi"/>
              </w:rPr>
              <w:t>cónyuge</w:t>
            </w:r>
            <w:r w:rsidRPr="004005B9">
              <w:rPr>
                <w:rFonts w:asciiTheme="majorHAnsi" w:hAnsiTheme="majorHAnsi" w:cstheme="majorHAnsi"/>
              </w:rPr>
              <w:t xml:space="preserve"> o pareja permanente.</w:t>
            </w:r>
          </w:p>
          <w:p w14:paraId="699CFCE3" w14:textId="49F6A846" w:rsidR="0057097F" w:rsidRPr="004005B9" w:rsidRDefault="0057097F">
            <w:pPr>
              <w:spacing w:line="276" w:lineRule="auto"/>
              <w:jc w:val="both"/>
              <w:rPr>
                <w:rFonts w:asciiTheme="majorHAnsi" w:hAnsiTheme="majorHAnsi" w:cstheme="majorHAnsi"/>
              </w:rPr>
            </w:pPr>
          </w:p>
          <w:p w14:paraId="738824E5" w14:textId="5EF51031" w:rsidR="0057097F" w:rsidRPr="004005B9" w:rsidRDefault="46C6FF85">
            <w:pPr>
              <w:spacing w:line="276" w:lineRule="auto"/>
              <w:jc w:val="both"/>
              <w:rPr>
                <w:rFonts w:asciiTheme="majorHAnsi" w:hAnsiTheme="majorHAnsi" w:cstheme="majorHAnsi"/>
              </w:rPr>
            </w:pPr>
            <w:r w:rsidRPr="004005B9">
              <w:rPr>
                <w:rFonts w:asciiTheme="majorHAnsi" w:hAnsiTheme="majorHAnsi" w:cstheme="majorHAnsi"/>
              </w:rPr>
              <w:lastRenderedPageBreak/>
              <w:t>Dicho valor se encuentra contenido en la suma asegurable, pues el límite asegurado es de $500.000.000, sin existir deducible pactado.</w:t>
            </w:r>
          </w:p>
          <w:p w14:paraId="500322F0" w14:textId="28A5CDA0" w:rsidR="0057097F" w:rsidRPr="004005B9" w:rsidRDefault="0057097F" w:rsidP="004005B9">
            <w:pPr>
              <w:spacing w:line="276" w:lineRule="auto"/>
              <w:rPr>
                <w:rFonts w:asciiTheme="majorHAnsi" w:hAnsiTheme="majorHAnsi" w:cstheme="majorHAnsi"/>
              </w:rPr>
            </w:pPr>
          </w:p>
        </w:tc>
      </w:tr>
      <w:tr w:rsidR="0057097F" w:rsidRPr="00004712" w14:paraId="500322F4" w14:textId="77777777" w:rsidTr="75020658">
        <w:tc>
          <w:tcPr>
            <w:tcW w:w="6000" w:type="dxa"/>
            <w:shd w:val="clear" w:color="auto" w:fill="D9D9D9" w:themeFill="background1" w:themeFillShade="D9"/>
          </w:tcPr>
          <w:p w14:paraId="500322F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Calificación de la contingencia:</w:t>
            </w:r>
          </w:p>
        </w:tc>
        <w:tc>
          <w:tcPr>
            <w:tcW w:w="4410" w:type="dxa"/>
          </w:tcPr>
          <w:p w14:paraId="067128D6" w14:textId="40107DCE" w:rsidR="0057097F" w:rsidRDefault="009E33B4" w:rsidP="004005B9">
            <w:pPr>
              <w:spacing w:line="276" w:lineRule="auto"/>
              <w:jc w:val="both"/>
              <w:rPr>
                <w:rFonts w:asciiTheme="majorHAnsi" w:hAnsiTheme="majorHAnsi" w:cstheme="majorHAnsi"/>
              </w:rPr>
            </w:pPr>
            <w:r w:rsidRPr="004005B9">
              <w:rPr>
                <w:rFonts w:asciiTheme="majorHAnsi" w:hAnsiTheme="majorHAnsi" w:cstheme="majorHAnsi"/>
              </w:rPr>
              <w:t>EVENT</w:t>
            </w:r>
            <w:r w:rsidR="00AA7A20">
              <w:rPr>
                <w:rFonts w:asciiTheme="majorHAnsi" w:hAnsiTheme="majorHAnsi" w:cstheme="majorHAnsi"/>
              </w:rPr>
              <w:t>U</w:t>
            </w:r>
            <w:r w:rsidRPr="004005B9">
              <w:rPr>
                <w:rFonts w:asciiTheme="majorHAnsi" w:hAnsiTheme="majorHAnsi" w:cstheme="majorHAnsi"/>
              </w:rPr>
              <w:t>AL</w:t>
            </w:r>
          </w:p>
          <w:p w14:paraId="500322F3" w14:textId="283E00F3" w:rsidR="00E275BB" w:rsidRPr="004005B9" w:rsidRDefault="00E275BB" w:rsidP="004005B9">
            <w:pPr>
              <w:spacing w:line="276" w:lineRule="auto"/>
              <w:jc w:val="both"/>
              <w:rPr>
                <w:rFonts w:asciiTheme="majorHAnsi" w:hAnsiTheme="majorHAnsi" w:cstheme="majorHAnsi"/>
              </w:rPr>
            </w:pPr>
            <w:r>
              <w:rPr>
                <w:rFonts w:asciiTheme="majorHAnsi" w:hAnsiTheme="majorHAnsi" w:cstheme="majorHAnsi"/>
              </w:rPr>
              <w:t xml:space="preserve">**Tener en cuenta que con el llamamiento en garantía la calificación muta a eventual. </w:t>
            </w:r>
          </w:p>
        </w:tc>
      </w:tr>
      <w:tr w:rsidR="0057097F" w:rsidRPr="00004712" w14:paraId="500322F7" w14:textId="77777777" w:rsidTr="75020658">
        <w:tc>
          <w:tcPr>
            <w:tcW w:w="6000" w:type="dxa"/>
            <w:shd w:val="clear" w:color="auto" w:fill="D9D9D9" w:themeFill="background1" w:themeFillShade="D9"/>
          </w:tcPr>
          <w:p w14:paraId="500322F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Motivos de la calificación:</w:t>
            </w:r>
          </w:p>
        </w:tc>
        <w:tc>
          <w:tcPr>
            <w:tcW w:w="4410" w:type="dxa"/>
          </w:tcPr>
          <w:p w14:paraId="7394FD08" w14:textId="77777777" w:rsidR="00354F1A" w:rsidRPr="004005B9" w:rsidRDefault="00354F1A" w:rsidP="00004712">
            <w:pPr>
              <w:spacing w:line="276" w:lineRule="auto"/>
              <w:jc w:val="both"/>
              <w:rPr>
                <w:rFonts w:asciiTheme="majorHAnsi" w:eastAsia="Arial" w:hAnsiTheme="majorHAnsi" w:cstheme="majorHAnsi"/>
              </w:rPr>
            </w:pPr>
            <w:r w:rsidRPr="004005B9">
              <w:rPr>
                <w:rFonts w:asciiTheme="majorHAnsi" w:eastAsia="Arial" w:hAnsiTheme="majorHAnsi" w:cstheme="majorHAnsi"/>
              </w:rPr>
              <w:t>La contingencia se califica como EVENTUAL ya que, si bien el contrato de seguro presta cobertura material y temporal, dependerá del debate probatorio confirmar o desvirtuar la responsabilidad en cabeza del vehículo asegurado.</w:t>
            </w:r>
          </w:p>
          <w:p w14:paraId="65ECD65F" w14:textId="77777777" w:rsidR="00354F1A" w:rsidRPr="004005B9" w:rsidRDefault="00354F1A" w:rsidP="004005B9">
            <w:pPr>
              <w:spacing w:line="276" w:lineRule="auto"/>
              <w:rPr>
                <w:rFonts w:asciiTheme="majorHAnsi" w:hAnsiTheme="majorHAnsi" w:cstheme="majorHAnsi"/>
                <w:color w:val="000000" w:themeColor="text1"/>
              </w:rPr>
            </w:pPr>
          </w:p>
          <w:p w14:paraId="253DBBD2" w14:textId="31B3B11E" w:rsidR="00354F1A" w:rsidRPr="004005B9" w:rsidRDefault="00354F1A" w:rsidP="00004712">
            <w:pPr>
              <w:spacing w:line="276" w:lineRule="auto"/>
              <w:jc w:val="both"/>
              <w:rPr>
                <w:rFonts w:asciiTheme="majorHAnsi" w:hAnsiTheme="majorHAnsi" w:cstheme="majorHAnsi"/>
                <w:color w:val="000000" w:themeColor="text1"/>
              </w:rPr>
            </w:pPr>
            <w:r w:rsidRPr="004005B9">
              <w:rPr>
                <w:rFonts w:asciiTheme="majorHAnsi" w:hAnsiTheme="majorHAnsi" w:cstheme="majorHAnsi"/>
                <w:color w:val="000000" w:themeColor="text1"/>
              </w:rPr>
              <w:t xml:space="preserve">Lo primero que debe tenerse en cuenta es que, Póliza todo riesgo PO-6-1122 cuyo asegurado es José </w:t>
            </w:r>
            <w:proofErr w:type="spellStart"/>
            <w:r w:rsidRPr="004005B9">
              <w:rPr>
                <w:rFonts w:asciiTheme="majorHAnsi" w:hAnsiTheme="majorHAnsi" w:cstheme="majorHAnsi"/>
                <w:color w:val="000000" w:themeColor="text1"/>
              </w:rPr>
              <w:t>Alezander</w:t>
            </w:r>
            <w:proofErr w:type="spellEnd"/>
            <w:r w:rsidRPr="004005B9">
              <w:rPr>
                <w:rFonts w:asciiTheme="majorHAnsi" w:hAnsiTheme="majorHAnsi" w:cstheme="majorHAnsi"/>
                <w:color w:val="000000" w:themeColor="text1"/>
              </w:rPr>
              <w:t xml:space="preserve"> Cruz </w:t>
            </w:r>
            <w:r w:rsidR="00AA7A20" w:rsidRPr="00004712">
              <w:rPr>
                <w:rFonts w:asciiTheme="majorHAnsi" w:hAnsiTheme="majorHAnsi" w:cstheme="majorHAnsi"/>
                <w:color w:val="000000" w:themeColor="text1"/>
              </w:rPr>
              <w:t>Arévalo</w:t>
            </w:r>
            <w:r w:rsidRPr="004005B9">
              <w:rPr>
                <w:rFonts w:asciiTheme="majorHAnsi" w:hAnsiTheme="majorHAnsi" w:cstheme="majorHAnsi"/>
                <w:color w:val="000000" w:themeColor="text1"/>
              </w:rPr>
              <w:t xml:space="preserve">, presta cobertura material y temporal de conformidad con los hechos y pretensiones expuestas en el escrito de la demanda y el llamamiento en garantía. Frente a la cobertura temporal, debe decirse que, la misma tenía una vigencia comprendida entre 16 de julio de 2015 al 16 de julio de 2016 en modalidad de ocurrencia y, los hechos objeto de la presente demanda se presentaron el 20 de agosto de 2015, es decir dentro de la vigencia del aseguramiento. Respecto a la cobertura material, también se presenta en este caso, ya que ampara RCE lesión/muerte a 1 persona, </w:t>
            </w:r>
            <w:r w:rsidR="00AA7A20">
              <w:rPr>
                <w:rFonts w:asciiTheme="majorHAnsi" w:hAnsiTheme="majorHAnsi" w:cstheme="majorHAnsi"/>
                <w:color w:val="000000" w:themeColor="text1"/>
              </w:rPr>
              <w:t>lo cual se enmarca</w:t>
            </w:r>
            <w:r w:rsidR="00AA7A20" w:rsidRPr="004005B9">
              <w:rPr>
                <w:rFonts w:asciiTheme="majorHAnsi" w:hAnsiTheme="majorHAnsi" w:cstheme="majorHAnsi"/>
                <w:color w:val="000000" w:themeColor="text1"/>
              </w:rPr>
              <w:t xml:space="preserve"> </w:t>
            </w:r>
            <w:r w:rsidRPr="004005B9">
              <w:rPr>
                <w:rFonts w:asciiTheme="majorHAnsi" w:hAnsiTheme="majorHAnsi" w:cstheme="majorHAnsi"/>
                <w:color w:val="000000" w:themeColor="text1"/>
              </w:rPr>
              <w:t>dentro de los hechos relatados en la demanda.</w:t>
            </w:r>
          </w:p>
          <w:p w14:paraId="09E1506A" w14:textId="77777777" w:rsidR="00354F1A" w:rsidRPr="004005B9" w:rsidRDefault="00354F1A" w:rsidP="004005B9">
            <w:pPr>
              <w:spacing w:line="276" w:lineRule="auto"/>
              <w:rPr>
                <w:rFonts w:asciiTheme="majorHAnsi" w:hAnsiTheme="majorHAnsi" w:cstheme="majorHAnsi"/>
                <w:color w:val="000000" w:themeColor="text1"/>
              </w:rPr>
            </w:pPr>
          </w:p>
          <w:p w14:paraId="719515BD" w14:textId="2C72F1B7" w:rsidR="00354F1A" w:rsidRPr="004005B9" w:rsidRDefault="00303ABB" w:rsidP="00004712">
            <w:pPr>
              <w:spacing w:line="276" w:lineRule="auto"/>
              <w:jc w:val="both"/>
              <w:rPr>
                <w:rFonts w:asciiTheme="majorHAnsi" w:hAnsiTheme="majorHAnsi" w:cstheme="majorHAnsi"/>
                <w:color w:val="000000" w:themeColor="text1"/>
              </w:rPr>
            </w:pPr>
            <w:r w:rsidRPr="004005B9">
              <w:rPr>
                <w:rFonts w:asciiTheme="majorHAnsi" w:hAnsiTheme="majorHAnsi" w:cstheme="majorHAnsi"/>
                <w:color w:val="000000" w:themeColor="text1"/>
              </w:rPr>
              <w:t xml:space="preserve">Ahora bien, aunque en el presente proceso se configuró la prescripción de la acción </w:t>
            </w:r>
            <w:r w:rsidR="002A3918">
              <w:rPr>
                <w:rFonts w:asciiTheme="majorHAnsi" w:hAnsiTheme="majorHAnsi" w:cstheme="majorHAnsi"/>
                <w:color w:val="000000" w:themeColor="text1"/>
              </w:rPr>
              <w:t xml:space="preserve">directa iniciada por </w:t>
            </w:r>
            <w:r w:rsidRPr="004005B9">
              <w:rPr>
                <w:rFonts w:asciiTheme="majorHAnsi" w:hAnsiTheme="majorHAnsi" w:cstheme="majorHAnsi"/>
                <w:color w:val="000000" w:themeColor="text1"/>
              </w:rPr>
              <w:t>la beneficiaria</w:t>
            </w:r>
            <w:r w:rsidR="002A3918">
              <w:rPr>
                <w:rFonts w:asciiTheme="majorHAnsi" w:hAnsiTheme="majorHAnsi" w:cstheme="majorHAnsi"/>
                <w:color w:val="000000" w:themeColor="text1"/>
              </w:rPr>
              <w:t xml:space="preserve"> (puesto que los hechos ocurrieron en agosto del 2015 y la demanda se presentó hasta el 22 de agosto del 2024)</w:t>
            </w:r>
            <w:r w:rsidRPr="004005B9">
              <w:rPr>
                <w:rFonts w:asciiTheme="majorHAnsi" w:hAnsiTheme="majorHAnsi" w:cstheme="majorHAnsi"/>
                <w:color w:val="000000" w:themeColor="text1"/>
              </w:rPr>
              <w:t>, lo cierto es que dicha prescripción no operó respecto del asegurado</w:t>
            </w:r>
            <w:r w:rsidR="002A3918">
              <w:rPr>
                <w:rFonts w:asciiTheme="majorHAnsi" w:hAnsiTheme="majorHAnsi" w:cstheme="majorHAnsi"/>
                <w:color w:val="000000" w:themeColor="text1"/>
              </w:rPr>
              <w:t>, en virtud del llamamiento que este formuló a la compañía</w:t>
            </w:r>
            <w:r w:rsidRPr="004005B9">
              <w:rPr>
                <w:rFonts w:asciiTheme="majorHAnsi" w:hAnsiTheme="majorHAnsi" w:cstheme="majorHAnsi"/>
                <w:color w:val="000000" w:themeColor="text1"/>
              </w:rPr>
              <w:t xml:space="preserve">. Esto obedece a que </w:t>
            </w:r>
            <w:r w:rsidR="002A3918">
              <w:rPr>
                <w:rFonts w:asciiTheme="majorHAnsi" w:hAnsiTheme="majorHAnsi" w:cstheme="majorHAnsi"/>
                <w:color w:val="000000" w:themeColor="text1"/>
              </w:rPr>
              <w:t xml:space="preserve">la primera reclamación </w:t>
            </w:r>
            <w:r w:rsidR="002A3918">
              <w:rPr>
                <w:rFonts w:asciiTheme="majorHAnsi" w:hAnsiTheme="majorHAnsi" w:cstheme="majorHAnsi"/>
                <w:color w:val="000000" w:themeColor="text1"/>
              </w:rPr>
              <w:lastRenderedPageBreak/>
              <w:t>presentada a</w:t>
            </w:r>
            <w:r w:rsidRPr="004005B9">
              <w:rPr>
                <w:rFonts w:asciiTheme="majorHAnsi" w:hAnsiTheme="majorHAnsi" w:cstheme="majorHAnsi"/>
                <w:color w:val="000000" w:themeColor="text1"/>
              </w:rPr>
              <w:t xml:space="preserve">l asegurado </w:t>
            </w:r>
            <w:r w:rsidR="002A3918">
              <w:rPr>
                <w:rFonts w:asciiTheme="majorHAnsi" w:hAnsiTheme="majorHAnsi" w:cstheme="majorHAnsi"/>
                <w:color w:val="000000" w:themeColor="text1"/>
              </w:rPr>
              <w:t xml:space="preserve">obedece a la formulada con la </w:t>
            </w:r>
            <w:r w:rsidRPr="004005B9">
              <w:rPr>
                <w:rFonts w:asciiTheme="majorHAnsi" w:hAnsiTheme="majorHAnsi" w:cstheme="majorHAnsi"/>
                <w:color w:val="000000" w:themeColor="text1"/>
              </w:rPr>
              <w:t xml:space="preserve">demanda presentada el </w:t>
            </w:r>
            <w:r w:rsidR="004005B9">
              <w:rPr>
                <w:rFonts w:asciiTheme="majorHAnsi" w:hAnsiTheme="majorHAnsi" w:cstheme="majorHAnsi"/>
                <w:color w:val="000000" w:themeColor="text1"/>
              </w:rPr>
              <w:t>22</w:t>
            </w:r>
            <w:r w:rsidRPr="004005B9">
              <w:rPr>
                <w:rFonts w:asciiTheme="majorHAnsi" w:hAnsiTheme="majorHAnsi" w:cstheme="majorHAnsi"/>
                <w:color w:val="000000" w:themeColor="text1"/>
              </w:rPr>
              <w:t xml:space="preserve"> de </w:t>
            </w:r>
            <w:r w:rsidR="004005B9">
              <w:rPr>
                <w:rFonts w:asciiTheme="majorHAnsi" w:hAnsiTheme="majorHAnsi" w:cstheme="majorHAnsi"/>
                <w:color w:val="000000" w:themeColor="text1"/>
              </w:rPr>
              <w:t>agosto</w:t>
            </w:r>
            <w:r w:rsidRPr="004005B9">
              <w:rPr>
                <w:rFonts w:asciiTheme="majorHAnsi" w:hAnsiTheme="majorHAnsi" w:cstheme="majorHAnsi"/>
                <w:color w:val="000000" w:themeColor="text1"/>
              </w:rPr>
              <w:t xml:space="preserve"> de 2024, por lo que no se cumple con el término necesario para declarar la prescripción en su contra</w:t>
            </w:r>
            <w:r w:rsidR="002A3918">
              <w:rPr>
                <w:rFonts w:asciiTheme="majorHAnsi" w:hAnsiTheme="majorHAnsi" w:cstheme="majorHAnsi"/>
                <w:color w:val="000000" w:themeColor="text1"/>
              </w:rPr>
              <w:t>, pues el llamamiento se presentó por el asegurado el 11 de octubre del 2024, esto es, dentro de los dos años previstos en la norma inserta en el Art. 1081 y 1131 del C. Co.</w:t>
            </w:r>
            <w:r w:rsidRPr="004005B9">
              <w:rPr>
                <w:rFonts w:asciiTheme="majorHAnsi" w:hAnsiTheme="majorHAnsi" w:cstheme="majorHAnsi"/>
                <w:color w:val="000000" w:themeColor="text1"/>
              </w:rPr>
              <w:t xml:space="preserve"> En consecuencia, no puede considerarse configurada la prescripción de la</w:t>
            </w:r>
            <w:r w:rsidR="00CD40B1">
              <w:rPr>
                <w:rFonts w:asciiTheme="majorHAnsi" w:hAnsiTheme="majorHAnsi" w:cstheme="majorHAnsi"/>
                <w:color w:val="000000" w:themeColor="text1"/>
              </w:rPr>
              <w:t>s</w:t>
            </w:r>
            <w:r w:rsidRPr="004005B9">
              <w:rPr>
                <w:rFonts w:asciiTheme="majorHAnsi" w:hAnsiTheme="majorHAnsi" w:cstheme="majorHAnsi"/>
                <w:color w:val="000000" w:themeColor="text1"/>
              </w:rPr>
              <w:t xml:space="preserve"> </w:t>
            </w:r>
            <w:r w:rsidR="00CD40B1" w:rsidRPr="00004712">
              <w:rPr>
                <w:rFonts w:asciiTheme="majorHAnsi" w:hAnsiTheme="majorHAnsi" w:cstheme="majorHAnsi"/>
                <w:color w:val="000000" w:themeColor="text1"/>
              </w:rPr>
              <w:t>acci</w:t>
            </w:r>
            <w:r w:rsidR="00CD40B1">
              <w:rPr>
                <w:rFonts w:asciiTheme="majorHAnsi" w:hAnsiTheme="majorHAnsi" w:cstheme="majorHAnsi"/>
                <w:color w:val="000000" w:themeColor="text1"/>
              </w:rPr>
              <w:t>ones derivadas del contrato de seguro</w:t>
            </w:r>
            <w:r w:rsidRPr="004005B9">
              <w:rPr>
                <w:rFonts w:asciiTheme="majorHAnsi" w:hAnsiTheme="majorHAnsi" w:cstheme="majorHAnsi"/>
                <w:color w:val="000000" w:themeColor="text1"/>
              </w:rPr>
              <w:t xml:space="preserve"> en cabeza del asegurado</w:t>
            </w:r>
            <w:r w:rsidR="002A3918">
              <w:rPr>
                <w:rFonts w:asciiTheme="majorHAnsi" w:hAnsiTheme="majorHAnsi" w:cstheme="majorHAnsi"/>
                <w:color w:val="000000" w:themeColor="text1"/>
              </w:rPr>
              <w:t>.</w:t>
            </w:r>
            <w:r w:rsidRPr="004005B9">
              <w:rPr>
                <w:rFonts w:asciiTheme="majorHAnsi" w:hAnsiTheme="majorHAnsi" w:cstheme="majorHAnsi"/>
                <w:color w:val="000000" w:themeColor="text1"/>
              </w:rPr>
              <w:t xml:space="preserve"> </w:t>
            </w:r>
          </w:p>
          <w:p w14:paraId="39546CF5" w14:textId="22EE02E8" w:rsidR="0057097F" w:rsidRPr="004005B9" w:rsidRDefault="0057097F" w:rsidP="004005B9">
            <w:pPr>
              <w:spacing w:line="276" w:lineRule="auto"/>
              <w:rPr>
                <w:rFonts w:asciiTheme="majorHAnsi" w:hAnsiTheme="majorHAnsi" w:cstheme="majorHAnsi"/>
                <w:color w:val="000000" w:themeColor="text1"/>
              </w:rPr>
            </w:pPr>
          </w:p>
          <w:p w14:paraId="73311A24" w14:textId="4CFA6788" w:rsidR="0057097F" w:rsidRPr="004005B9" w:rsidRDefault="349DE1E3" w:rsidP="004005B9">
            <w:pPr>
              <w:spacing w:line="276" w:lineRule="auto"/>
              <w:jc w:val="both"/>
              <w:rPr>
                <w:rFonts w:asciiTheme="majorHAnsi" w:hAnsiTheme="majorHAnsi" w:cstheme="majorHAnsi"/>
                <w:color w:val="000000" w:themeColor="text1"/>
              </w:rPr>
            </w:pPr>
            <w:r w:rsidRPr="004005B9">
              <w:rPr>
                <w:rFonts w:asciiTheme="majorHAnsi" w:hAnsiTheme="majorHAnsi" w:cstheme="majorHAnsi"/>
                <w:color w:val="000000" w:themeColor="text1"/>
              </w:rPr>
              <w:t>Frente a la responsabilidad del asegurado, debe tenerse en cuenta que</w:t>
            </w:r>
            <w:r w:rsidR="008D143C">
              <w:rPr>
                <w:rFonts w:asciiTheme="majorHAnsi" w:hAnsiTheme="majorHAnsi" w:cstheme="majorHAnsi"/>
                <w:color w:val="000000" w:themeColor="text1"/>
              </w:rPr>
              <w:t xml:space="preserve">: (i) obra en el expediente </w:t>
            </w:r>
            <w:r w:rsidRPr="004005B9">
              <w:rPr>
                <w:rFonts w:asciiTheme="majorHAnsi" w:hAnsiTheme="majorHAnsi" w:cstheme="majorHAnsi"/>
                <w:color w:val="000000" w:themeColor="text1"/>
              </w:rPr>
              <w:t xml:space="preserve">el IPAT </w:t>
            </w:r>
            <w:r w:rsidR="008D143C">
              <w:rPr>
                <w:rFonts w:asciiTheme="majorHAnsi" w:hAnsiTheme="majorHAnsi" w:cstheme="majorHAnsi"/>
                <w:color w:val="000000" w:themeColor="text1"/>
              </w:rPr>
              <w:t xml:space="preserve">el cual </w:t>
            </w:r>
            <w:r w:rsidRPr="004005B9">
              <w:rPr>
                <w:rFonts w:asciiTheme="majorHAnsi" w:hAnsiTheme="majorHAnsi" w:cstheme="majorHAnsi"/>
                <w:color w:val="000000" w:themeColor="text1"/>
              </w:rPr>
              <w:t xml:space="preserve">señala como causa del accidente la No.116 </w:t>
            </w:r>
            <w:r w:rsidR="01FFECEC" w:rsidRPr="004005B9">
              <w:rPr>
                <w:rFonts w:asciiTheme="majorHAnsi" w:hAnsiTheme="majorHAnsi" w:cstheme="majorHAnsi"/>
                <w:color w:val="000000" w:themeColor="text1"/>
              </w:rPr>
              <w:t>“exceso de velocidad” por parte del conductor de la moto WZR14C</w:t>
            </w:r>
            <w:r w:rsidR="008D143C">
              <w:rPr>
                <w:rFonts w:asciiTheme="majorHAnsi" w:hAnsiTheme="majorHAnsi" w:cstheme="majorHAnsi"/>
                <w:color w:val="000000" w:themeColor="text1"/>
              </w:rPr>
              <w:t>; (</w:t>
            </w:r>
            <w:proofErr w:type="spellStart"/>
            <w:r w:rsidR="008D143C">
              <w:rPr>
                <w:rFonts w:asciiTheme="majorHAnsi" w:hAnsiTheme="majorHAnsi" w:cstheme="majorHAnsi"/>
                <w:color w:val="000000" w:themeColor="text1"/>
              </w:rPr>
              <w:t>ii</w:t>
            </w:r>
            <w:proofErr w:type="spellEnd"/>
            <w:r w:rsidR="008D143C">
              <w:rPr>
                <w:rFonts w:asciiTheme="majorHAnsi" w:hAnsiTheme="majorHAnsi" w:cstheme="majorHAnsi"/>
                <w:color w:val="000000" w:themeColor="text1"/>
              </w:rPr>
              <w:t xml:space="preserve">) </w:t>
            </w:r>
            <w:r w:rsidR="01FFECEC" w:rsidRPr="004005B9">
              <w:rPr>
                <w:rFonts w:asciiTheme="majorHAnsi" w:hAnsiTheme="majorHAnsi" w:cstheme="majorHAnsi"/>
                <w:color w:val="000000" w:themeColor="text1"/>
              </w:rPr>
              <w:t>existe dictamen RAT</w:t>
            </w:r>
            <w:r w:rsidR="00657E46">
              <w:rPr>
                <w:rFonts w:asciiTheme="majorHAnsi" w:hAnsiTheme="majorHAnsi" w:cstheme="majorHAnsi"/>
                <w:color w:val="000000" w:themeColor="text1"/>
              </w:rPr>
              <w:t xml:space="preserve">, emitido por IRS Vial, aportado por la pasiva,  </w:t>
            </w:r>
            <w:r w:rsidR="00D155AE">
              <w:rPr>
                <w:rFonts w:asciiTheme="majorHAnsi" w:hAnsiTheme="majorHAnsi" w:cstheme="majorHAnsi"/>
                <w:color w:val="000000" w:themeColor="text1"/>
              </w:rPr>
              <w:t>el</w:t>
            </w:r>
            <w:r w:rsidR="00D155AE" w:rsidRPr="00D155AE">
              <w:rPr>
                <w:rFonts w:asciiTheme="majorHAnsi" w:hAnsiTheme="majorHAnsi" w:cstheme="majorHAnsi"/>
                <w:color w:val="000000" w:themeColor="text1"/>
              </w:rPr>
              <w:t xml:space="preserve"> </w:t>
            </w:r>
            <w:r w:rsidR="00D155AE">
              <w:rPr>
                <w:rFonts w:asciiTheme="majorHAnsi" w:hAnsiTheme="majorHAnsi" w:cstheme="majorHAnsi"/>
                <w:color w:val="000000" w:themeColor="text1"/>
              </w:rPr>
              <w:t>cual</w:t>
            </w:r>
            <w:r w:rsidR="00D155AE" w:rsidRPr="00D155AE">
              <w:rPr>
                <w:rFonts w:asciiTheme="majorHAnsi" w:hAnsiTheme="majorHAnsi" w:cstheme="majorHAnsi"/>
                <w:color w:val="000000" w:themeColor="text1"/>
              </w:rPr>
              <w:t xml:space="preserve"> establece que la motocicleta de placas WZR14C se desplazaba a una velocidad excesiva, señalando este factor como la causa principal del accidente de tránsito. Asimismo, el dictamen destaca que las condiciones de la vía contribuyeron a la pérdida de control de la motocicleta, atribuyendo la responsabilidad del accidente al conductor de dicho vehículo</w:t>
            </w:r>
            <w:r w:rsidR="008D143C">
              <w:rPr>
                <w:rFonts w:asciiTheme="majorHAnsi" w:hAnsiTheme="majorHAnsi" w:cstheme="majorHAnsi"/>
                <w:color w:val="000000" w:themeColor="text1"/>
              </w:rPr>
              <w:t xml:space="preserve">; </w:t>
            </w:r>
            <w:r w:rsidR="00D155AE">
              <w:rPr>
                <w:rFonts w:asciiTheme="majorHAnsi" w:hAnsiTheme="majorHAnsi" w:cstheme="majorHAnsi"/>
                <w:color w:val="000000" w:themeColor="text1"/>
              </w:rPr>
              <w:t>(</w:t>
            </w:r>
            <w:proofErr w:type="spellStart"/>
            <w:r w:rsidR="00D155AE">
              <w:rPr>
                <w:rFonts w:asciiTheme="majorHAnsi" w:hAnsiTheme="majorHAnsi" w:cstheme="majorHAnsi"/>
                <w:color w:val="000000" w:themeColor="text1"/>
              </w:rPr>
              <w:t>iii</w:t>
            </w:r>
            <w:proofErr w:type="spellEnd"/>
            <w:r w:rsidR="00D155AE">
              <w:rPr>
                <w:rFonts w:asciiTheme="majorHAnsi" w:hAnsiTheme="majorHAnsi" w:cstheme="majorHAnsi"/>
                <w:color w:val="000000" w:themeColor="text1"/>
              </w:rPr>
              <w:t xml:space="preserve">)  </w:t>
            </w:r>
            <w:r w:rsidR="00C41435" w:rsidRPr="00C41435">
              <w:rPr>
                <w:rFonts w:asciiTheme="majorHAnsi" w:hAnsiTheme="majorHAnsi" w:cstheme="majorHAnsi"/>
                <w:color w:val="000000" w:themeColor="text1"/>
              </w:rPr>
              <w:t>En la sentencia absolutoria proferida por el Juzgado Tercero Penal del Circuito de San Juan de Pasto, el 13 de marzo de 2024, se concluyó que la causa del accidente fue el exceso de velocidad de la motocicleta, descartando responsabilidad directa del conductor del tractocamión involucrado. Además, el fallo enfatiza que "el solo hecho de conducir un tractocamión, actividad peligrosa aceptada, no es suficiente para determinar responsabilidad", dejando claro que la imputación de culpa debe sustentarse en elementos probatorios específicos y no en la mera naturaleza riesgosa de la activida</w:t>
            </w:r>
            <w:r w:rsidR="00C41435">
              <w:rPr>
                <w:rFonts w:asciiTheme="majorHAnsi" w:hAnsiTheme="majorHAnsi" w:cstheme="majorHAnsi"/>
                <w:color w:val="000000" w:themeColor="text1"/>
              </w:rPr>
              <w:t>d; (</w:t>
            </w:r>
            <w:proofErr w:type="spellStart"/>
            <w:r w:rsidR="00C41435">
              <w:rPr>
                <w:rFonts w:asciiTheme="majorHAnsi" w:hAnsiTheme="majorHAnsi" w:cstheme="majorHAnsi"/>
                <w:color w:val="000000" w:themeColor="text1"/>
              </w:rPr>
              <w:t>iv</w:t>
            </w:r>
            <w:proofErr w:type="spellEnd"/>
            <w:r w:rsidR="00C41435">
              <w:rPr>
                <w:rFonts w:asciiTheme="majorHAnsi" w:hAnsiTheme="majorHAnsi" w:cstheme="majorHAnsi"/>
                <w:color w:val="000000" w:themeColor="text1"/>
              </w:rPr>
              <w:t xml:space="preserve">) </w:t>
            </w:r>
            <w:r w:rsidR="008D143C">
              <w:rPr>
                <w:rFonts w:asciiTheme="majorHAnsi" w:hAnsiTheme="majorHAnsi" w:cstheme="majorHAnsi"/>
                <w:color w:val="000000" w:themeColor="text1"/>
              </w:rPr>
              <w:t xml:space="preserve">No obstante, </w:t>
            </w:r>
            <w:r w:rsidR="01FFECEC" w:rsidRPr="004005B9">
              <w:rPr>
                <w:rFonts w:asciiTheme="majorHAnsi" w:hAnsiTheme="majorHAnsi" w:cstheme="majorHAnsi"/>
                <w:color w:val="000000" w:themeColor="text1"/>
              </w:rPr>
              <w:t xml:space="preserve">la parte demandante </w:t>
            </w:r>
            <w:r w:rsidR="008D143C">
              <w:rPr>
                <w:rFonts w:asciiTheme="majorHAnsi" w:hAnsiTheme="majorHAnsi" w:cstheme="majorHAnsi"/>
                <w:color w:val="000000" w:themeColor="text1"/>
              </w:rPr>
              <w:t xml:space="preserve">también </w:t>
            </w:r>
            <w:r w:rsidR="01FFECEC" w:rsidRPr="004005B9">
              <w:rPr>
                <w:rFonts w:asciiTheme="majorHAnsi" w:hAnsiTheme="majorHAnsi" w:cstheme="majorHAnsi"/>
                <w:color w:val="000000" w:themeColor="text1"/>
              </w:rPr>
              <w:t>aport</w:t>
            </w:r>
            <w:r w:rsidR="008D143C">
              <w:rPr>
                <w:rFonts w:asciiTheme="majorHAnsi" w:hAnsiTheme="majorHAnsi" w:cstheme="majorHAnsi"/>
                <w:color w:val="000000" w:themeColor="text1"/>
              </w:rPr>
              <w:t xml:space="preserve">ó </w:t>
            </w:r>
            <w:r w:rsidR="008D143C">
              <w:rPr>
                <w:rFonts w:asciiTheme="majorHAnsi" w:hAnsiTheme="majorHAnsi" w:cstheme="majorHAnsi"/>
                <w:color w:val="000000" w:themeColor="text1"/>
              </w:rPr>
              <w:lastRenderedPageBreak/>
              <w:t>un</w:t>
            </w:r>
            <w:r w:rsidR="01FFECEC" w:rsidRPr="004005B9">
              <w:rPr>
                <w:rFonts w:asciiTheme="majorHAnsi" w:hAnsiTheme="majorHAnsi" w:cstheme="majorHAnsi"/>
                <w:color w:val="000000" w:themeColor="text1"/>
              </w:rPr>
              <w:t xml:space="preserve"> dictamen de reconstrucción</w:t>
            </w:r>
            <w:r w:rsidR="009B0916">
              <w:rPr>
                <w:rFonts w:asciiTheme="majorHAnsi" w:hAnsiTheme="majorHAnsi" w:cstheme="majorHAnsi"/>
                <w:color w:val="000000" w:themeColor="text1"/>
              </w:rPr>
              <w:t xml:space="preserve"> de accidente de tránsito</w:t>
            </w:r>
            <w:r w:rsidR="008D143C">
              <w:rPr>
                <w:rFonts w:asciiTheme="majorHAnsi" w:hAnsiTheme="majorHAnsi" w:cstheme="majorHAnsi"/>
                <w:color w:val="000000" w:themeColor="text1"/>
              </w:rPr>
              <w:t>,</w:t>
            </w:r>
            <w:r w:rsidR="4ED97E17" w:rsidRPr="004005B9">
              <w:rPr>
                <w:rFonts w:asciiTheme="majorHAnsi" w:hAnsiTheme="majorHAnsi" w:cstheme="majorHAnsi"/>
                <w:color w:val="000000" w:themeColor="text1"/>
              </w:rPr>
              <w:t xml:space="preserve"> </w:t>
            </w:r>
            <w:r w:rsidR="65AE1942" w:rsidRPr="004005B9">
              <w:rPr>
                <w:rFonts w:asciiTheme="majorHAnsi" w:hAnsiTheme="majorHAnsi" w:cstheme="majorHAnsi"/>
                <w:color w:val="000000" w:themeColor="text1"/>
              </w:rPr>
              <w:t xml:space="preserve">en el que se señala como </w:t>
            </w:r>
            <w:r w:rsidR="008D143C">
              <w:rPr>
                <w:rFonts w:asciiTheme="majorHAnsi" w:hAnsiTheme="majorHAnsi" w:cstheme="majorHAnsi"/>
                <w:color w:val="000000" w:themeColor="text1"/>
              </w:rPr>
              <w:t xml:space="preserve">responsable </w:t>
            </w:r>
            <w:r w:rsidR="65AE1942" w:rsidRPr="004005B9">
              <w:rPr>
                <w:rFonts w:asciiTheme="majorHAnsi" w:hAnsiTheme="majorHAnsi" w:cstheme="majorHAnsi"/>
                <w:color w:val="000000" w:themeColor="text1"/>
              </w:rPr>
              <w:t>del accidente al asegurado,</w:t>
            </w:r>
            <w:r w:rsidR="008D143C">
              <w:rPr>
                <w:rFonts w:asciiTheme="majorHAnsi" w:hAnsiTheme="majorHAnsi" w:cstheme="majorHAnsi"/>
                <w:color w:val="000000" w:themeColor="text1"/>
              </w:rPr>
              <w:t xml:space="preserve"> en atención a que</w:t>
            </w:r>
            <w:r w:rsidR="00C41435">
              <w:rPr>
                <w:rFonts w:asciiTheme="majorHAnsi" w:hAnsiTheme="majorHAnsi" w:cstheme="majorHAnsi"/>
                <w:color w:val="000000" w:themeColor="text1"/>
              </w:rPr>
              <w:t xml:space="preserve"> el conductor del vehículo SNR040 falto al deber objetivo de cuidado para realizar una maniobra de giro o cruce hacia la izquierda teniendo en cuenta la señalización</w:t>
            </w:r>
            <w:r w:rsidR="008D143C">
              <w:rPr>
                <w:rFonts w:asciiTheme="majorHAnsi" w:hAnsiTheme="majorHAnsi" w:cstheme="majorHAnsi"/>
                <w:color w:val="000000" w:themeColor="text1"/>
              </w:rPr>
              <w:t xml:space="preserve">. En este orden de ideas, las resultas del proceso dependerán del debate probatorio, en tanto que se cuenta con dos dictámenes técnicos con versiones disímiles, los cuales deberán ser valorados por el juzgador y con base en la sustentación que se efectúe de cada uno se podrá conocer si prospera o no la defensa planteada en torno a la culpa exclusiva de la víctima. </w:t>
            </w:r>
          </w:p>
          <w:p w14:paraId="6E59FCEE" w14:textId="77777777" w:rsidR="0057097F" w:rsidRPr="004005B9" w:rsidRDefault="0057097F" w:rsidP="004005B9">
            <w:pPr>
              <w:spacing w:line="276" w:lineRule="auto"/>
              <w:rPr>
                <w:rFonts w:asciiTheme="majorHAnsi" w:hAnsiTheme="majorHAnsi" w:cstheme="majorHAnsi"/>
                <w:color w:val="000000" w:themeColor="text1"/>
              </w:rPr>
            </w:pPr>
          </w:p>
          <w:p w14:paraId="500322F6" w14:textId="796A50C6" w:rsidR="00A064DB" w:rsidRPr="004005B9" w:rsidRDefault="00A064DB" w:rsidP="004005B9">
            <w:pPr>
              <w:spacing w:line="276" w:lineRule="auto"/>
              <w:rPr>
                <w:rFonts w:asciiTheme="majorHAnsi" w:hAnsiTheme="majorHAnsi" w:cstheme="majorHAnsi"/>
                <w:color w:val="000000" w:themeColor="text1"/>
              </w:rPr>
            </w:pPr>
            <w:r w:rsidRPr="004005B9">
              <w:rPr>
                <w:rFonts w:asciiTheme="majorHAnsi" w:hAnsiTheme="majorHAnsi" w:cstheme="majorHAnsi"/>
                <w:color w:val="000000" w:themeColor="text1"/>
              </w:rPr>
              <w:t>Lo esgrimido sin perjuicio del carácter contingente del proceso.</w:t>
            </w:r>
          </w:p>
        </w:tc>
      </w:tr>
      <w:tr w:rsidR="0057097F" w:rsidRPr="00004712" w14:paraId="50032300" w14:textId="77777777" w:rsidTr="75020658">
        <w:tc>
          <w:tcPr>
            <w:tcW w:w="6000" w:type="dxa"/>
            <w:shd w:val="clear" w:color="auto" w:fill="D9D9D9" w:themeFill="background1" w:themeFillShade="D9"/>
          </w:tcPr>
          <w:p w14:paraId="500322F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Excepciones propuestas:</w:t>
            </w:r>
          </w:p>
        </w:tc>
        <w:tc>
          <w:tcPr>
            <w:tcW w:w="4410" w:type="dxa"/>
          </w:tcPr>
          <w:p w14:paraId="32D5DAB4" w14:textId="6F78732E" w:rsidR="000B7A27" w:rsidRPr="004005B9" w:rsidRDefault="000B7A27" w:rsidP="004005B9">
            <w:pPr>
              <w:spacing w:line="276" w:lineRule="auto"/>
              <w:jc w:val="both"/>
              <w:rPr>
                <w:rFonts w:asciiTheme="majorHAnsi" w:hAnsiTheme="majorHAnsi" w:cstheme="majorHAnsi"/>
              </w:rPr>
            </w:pPr>
            <w:r w:rsidRPr="004005B9">
              <w:rPr>
                <w:rFonts w:asciiTheme="majorHAnsi" w:hAnsiTheme="majorHAnsi" w:cstheme="majorHAnsi"/>
              </w:rPr>
              <w:t>EXCEPCIONES DE FONDO FRENTE A LA DEMANDA</w:t>
            </w:r>
            <w:r w:rsidR="0BAEC5E2" w:rsidRPr="004005B9">
              <w:rPr>
                <w:rFonts w:asciiTheme="majorHAnsi" w:hAnsiTheme="majorHAnsi" w:cstheme="majorHAnsi"/>
              </w:rPr>
              <w:t>:</w:t>
            </w:r>
          </w:p>
          <w:p w14:paraId="3D42C420" w14:textId="02C60DC0"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 LA INEXISTENTE RESPONSABILIDAD DERIVADA DEL ACCIDENTE DE TRÁNSITO.</w:t>
            </w:r>
          </w:p>
          <w:p w14:paraId="39865E04" w14:textId="08037BA6" w:rsidR="28CA36A8" w:rsidRPr="004005B9" w:rsidRDefault="28CA36A8" w:rsidP="004005B9">
            <w:pPr>
              <w:spacing w:line="276" w:lineRule="auto"/>
              <w:jc w:val="both"/>
              <w:rPr>
                <w:rFonts w:asciiTheme="majorHAnsi" w:eastAsiaTheme="minorEastAsia" w:hAnsiTheme="majorHAnsi" w:cstheme="majorHAnsi"/>
                <w:b/>
                <w:bCs/>
              </w:rPr>
            </w:pPr>
          </w:p>
          <w:p w14:paraId="12502668" w14:textId="72823517" w:rsidR="4989938B" w:rsidRPr="004005B9" w:rsidRDefault="4989938B" w:rsidP="004005B9">
            <w:pPr>
              <w:pStyle w:val="Prrafodelista"/>
              <w:numPr>
                <w:ilvl w:val="0"/>
                <w:numId w:val="3"/>
              </w:numPr>
              <w:spacing w:line="276" w:lineRule="auto"/>
              <w:jc w:val="both"/>
              <w:rPr>
                <w:rFonts w:asciiTheme="majorHAnsi" w:eastAsiaTheme="minorEastAsia" w:hAnsiTheme="majorHAnsi" w:cstheme="majorHAnsi"/>
                <w:b/>
                <w:bCs/>
              </w:rPr>
            </w:pPr>
            <w:r w:rsidRPr="004005B9">
              <w:rPr>
                <w:rFonts w:asciiTheme="majorHAnsi" w:eastAsiaTheme="minorEastAsia" w:hAnsiTheme="majorHAnsi" w:cstheme="majorHAnsi"/>
                <w:b/>
                <w:bCs/>
              </w:rPr>
              <w:t>INEXISTENCIA DE RESPONSABILIDAD COMO CONSECUENCIA DEL HECHO DE LA VÍCTIMA.</w:t>
            </w:r>
          </w:p>
          <w:p w14:paraId="4CFB4654" w14:textId="0491754D" w:rsidR="4989938B" w:rsidRPr="004005B9" w:rsidRDefault="4989938B"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REDUCCIÓN DE LA INDEMNIZACIÓN COMO CONSECUENCIA DE LA INCIDENCIA DE LA CONDUCTA DE LA VÍCTIMA EN LA PRODUCCIÓN DEL DAÑO</w:t>
            </w:r>
          </w:p>
          <w:p w14:paraId="710DB21C" w14:textId="0ACC4EEB" w:rsidR="4989938B" w:rsidRPr="004005B9" w:rsidRDefault="4989938B"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IMPROCEDENCIA DEL RECONOCIMIENTO DE LUCRO CESANTE</w:t>
            </w:r>
          </w:p>
          <w:p w14:paraId="45765F13" w14:textId="3B91E30B" w:rsidR="4989938B" w:rsidRPr="004005B9" w:rsidRDefault="4989938B"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GENÉRICA O INNOMINADA</w:t>
            </w:r>
          </w:p>
          <w:p w14:paraId="7F519CBB" w14:textId="15755704" w:rsidR="28CA36A8" w:rsidRPr="004005B9" w:rsidRDefault="28CA36A8" w:rsidP="004005B9">
            <w:pPr>
              <w:spacing w:line="276" w:lineRule="auto"/>
              <w:jc w:val="both"/>
              <w:rPr>
                <w:rFonts w:asciiTheme="majorHAnsi" w:hAnsiTheme="majorHAnsi" w:cstheme="majorHAnsi"/>
                <w:b/>
                <w:bCs/>
              </w:rPr>
            </w:pPr>
          </w:p>
          <w:p w14:paraId="35F05CA6" w14:textId="41A4F672"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AL CONTRATO DE SEGURO</w:t>
            </w:r>
          </w:p>
          <w:p w14:paraId="229E1505" w14:textId="082394A3" w:rsidR="28CA36A8" w:rsidRPr="004005B9" w:rsidRDefault="28CA36A8" w:rsidP="004005B9">
            <w:pPr>
              <w:spacing w:line="276" w:lineRule="auto"/>
              <w:jc w:val="both"/>
              <w:rPr>
                <w:rFonts w:asciiTheme="majorHAnsi" w:hAnsiTheme="majorHAnsi" w:cstheme="majorHAnsi"/>
                <w:b/>
                <w:bCs/>
              </w:rPr>
            </w:pPr>
          </w:p>
          <w:p w14:paraId="4BDEEE91" w14:textId="1481B927" w:rsidR="4989938B" w:rsidRPr="004005B9" w:rsidRDefault="4989938B"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lastRenderedPageBreak/>
              <w:t>PRESCRIPCIÓN DE LAS ACCIONES DERIVADAS DEL CONTRATO DE SEGURO</w:t>
            </w:r>
          </w:p>
          <w:p w14:paraId="6CA081CC" w14:textId="689681E1" w:rsidR="4989938B" w:rsidRPr="004005B9" w:rsidRDefault="4989938B"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t xml:space="preserve">INEXISTENCIA DE OBLIGACIÓN DE INDEMNIZAR A CARGO DE HDI SEGUROS COLOMBIA S.A. (ANTES LIBERTY SEGUROS S.A.) POR INCUMPLIMIENTO DE LAS CARGAS DEL ARTÍCULO 1077 DEL CÓDIGO DE COMERCIO.  </w:t>
            </w:r>
          </w:p>
          <w:p w14:paraId="0A8CDBD2" w14:textId="72E1356B" w:rsidR="23DD097A" w:rsidRPr="004005B9" w:rsidRDefault="23DD097A"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t>RIESGOS EXPRESAMENTE EXLUIDOS EN LA POLIZA DE SEGURO.</w:t>
            </w:r>
          </w:p>
          <w:p w14:paraId="682C35C0" w14:textId="15D8791B" w:rsidR="4989938B" w:rsidRPr="004005B9" w:rsidRDefault="4989938B"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t xml:space="preserve">CARÁCTER MERAMENTE INDEMNIZATORIO QUE REVISTEN LOS CONTRATOS DE SEGUROS.  </w:t>
            </w:r>
          </w:p>
          <w:p w14:paraId="47A92508" w14:textId="24BB1F32" w:rsidR="4D43B7A6" w:rsidRPr="004005B9" w:rsidRDefault="4D43B7A6"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t xml:space="preserve">LÍMITES MÁXIMOS RESPONSABILIDAD DEL ASEGURADO ATENIENTE AL DEDUCIBLE. </w:t>
            </w:r>
          </w:p>
          <w:p w14:paraId="03BA252B" w14:textId="6B32DA60" w:rsidR="4989938B" w:rsidRPr="004005B9" w:rsidRDefault="4989938B"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t xml:space="preserve">EN CUALQUIER CASO, DE NINGUNA FORMA SE PODRÁ EXCEDER EL LÍMITE DEL VALOR ASEGURADO.  </w:t>
            </w:r>
          </w:p>
          <w:p w14:paraId="316A7774" w14:textId="4F9C08A9" w:rsidR="4989938B" w:rsidRPr="004005B9" w:rsidRDefault="4989938B" w:rsidP="004005B9">
            <w:pPr>
              <w:pStyle w:val="Prrafodelista"/>
              <w:numPr>
                <w:ilvl w:val="0"/>
                <w:numId w:val="2"/>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GENÉRICA O INNOMINADA</w:t>
            </w:r>
          </w:p>
          <w:p w14:paraId="4FB4A0C2" w14:textId="77777777" w:rsidR="0057097F" w:rsidRPr="004005B9" w:rsidRDefault="0057097F" w:rsidP="004005B9">
            <w:pPr>
              <w:spacing w:line="276" w:lineRule="auto"/>
              <w:jc w:val="both"/>
              <w:rPr>
                <w:rFonts w:asciiTheme="majorHAnsi" w:hAnsiTheme="majorHAnsi" w:cstheme="majorHAnsi"/>
              </w:rPr>
            </w:pPr>
          </w:p>
          <w:p w14:paraId="00C3574F" w14:textId="56F73B43" w:rsidR="00A064DB" w:rsidRPr="004005B9" w:rsidRDefault="00A064DB" w:rsidP="004005B9">
            <w:pPr>
              <w:spacing w:line="276" w:lineRule="auto"/>
              <w:jc w:val="both"/>
              <w:rPr>
                <w:rFonts w:asciiTheme="majorHAnsi" w:hAnsiTheme="majorHAnsi" w:cstheme="majorHAnsi"/>
              </w:rPr>
            </w:pPr>
            <w:r w:rsidRPr="004005B9">
              <w:rPr>
                <w:rFonts w:asciiTheme="majorHAnsi" w:hAnsiTheme="majorHAnsi" w:cstheme="majorHAnsi"/>
              </w:rPr>
              <w:t>EXCEPCIONES FRENTE AL LLAMAMIENTO EN GARANTÍA</w:t>
            </w:r>
          </w:p>
          <w:p w14:paraId="51E8B773" w14:textId="7321189F" w:rsidR="00A064DB" w:rsidRPr="004005B9" w:rsidRDefault="00A064DB"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INEXISTENCIA DE OBLIGACIÓN DE INDEMNIZAR A CARGO DE HDI SEGUROS COLOMBIA S.A. (ANTES LIBERTY SEGUROS S.A.) POR INCUMPLIMIENTO DE LAS CARGAS DEL ARTÍCULO 1077 DEL CÓDIGO DE COMERCIO</w:t>
            </w:r>
          </w:p>
          <w:p w14:paraId="0761654E" w14:textId="71553085" w:rsidR="00A064DB" w:rsidRPr="004005B9" w:rsidRDefault="00A064DB"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 xml:space="preserve">RIESGOS EXPRESAMENTE EXCLUIDOS EN LA PÓLIZA DE SEGURO No. PO-6-1122. </w:t>
            </w:r>
          </w:p>
          <w:p w14:paraId="052EDA93" w14:textId="25C29F98" w:rsidR="00A064DB" w:rsidRPr="004005B9" w:rsidRDefault="00A064DB"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 xml:space="preserve">CARÁCTER MERAMENTE INDEMNIZATORIO QUE REVISTEN LOS CONTRATOS DE SEGUROS. </w:t>
            </w:r>
          </w:p>
          <w:p w14:paraId="35FEB1CC" w14:textId="36939F5A" w:rsidR="00A064DB" w:rsidRPr="004005B9" w:rsidRDefault="00A064DB"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 EN CUALQUIER CASO, DE NINGUNA FORMA SE PODRÁ EXCEDER EL LÍMITE DEL VALOR ASEGURADO</w:t>
            </w:r>
            <w:r w:rsidR="0074663B" w:rsidRPr="004005B9">
              <w:rPr>
                <w:rFonts w:asciiTheme="majorHAnsi" w:hAnsiTheme="majorHAnsi" w:cstheme="majorHAnsi"/>
                <w:b/>
                <w:bCs/>
              </w:rPr>
              <w:t>.</w:t>
            </w:r>
          </w:p>
          <w:p w14:paraId="52180195" w14:textId="2B0A7161" w:rsidR="0074663B" w:rsidRPr="004005B9" w:rsidRDefault="0074663B"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lastRenderedPageBreak/>
              <w:t>DISPONIBILIDAD DE LA SUMA ASEGURADA</w:t>
            </w:r>
          </w:p>
          <w:p w14:paraId="6C01573A" w14:textId="2E1D79A4" w:rsidR="005C14AE" w:rsidRPr="004005B9" w:rsidRDefault="005C14AE"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PRESCRIPCIÓN DE LAS ACCIONES DERIVADAS DEL CONTRATO DE SEGURO.</w:t>
            </w:r>
          </w:p>
          <w:p w14:paraId="711D22C3" w14:textId="78166AC5" w:rsidR="005C14AE" w:rsidRPr="004005B9" w:rsidRDefault="005C14AE"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EL CONTRATO ES LEY PARA LAS PARTES</w:t>
            </w:r>
          </w:p>
          <w:p w14:paraId="42F5880E" w14:textId="07792BB5" w:rsidR="005C14AE" w:rsidRPr="004005B9" w:rsidRDefault="005C14AE"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GENÉRICA O INNOMINADA</w:t>
            </w:r>
          </w:p>
          <w:p w14:paraId="500322FF" w14:textId="77777777" w:rsidR="00A064DB" w:rsidRPr="004005B9" w:rsidRDefault="00A064DB" w:rsidP="004005B9">
            <w:pPr>
              <w:spacing w:line="276" w:lineRule="auto"/>
              <w:jc w:val="both"/>
              <w:rPr>
                <w:rFonts w:asciiTheme="majorHAnsi" w:hAnsiTheme="majorHAnsi" w:cstheme="majorHAnsi"/>
              </w:rPr>
            </w:pPr>
          </w:p>
        </w:tc>
      </w:tr>
      <w:tr w:rsidR="0057097F" w:rsidRPr="00004712" w14:paraId="50032303" w14:textId="77777777" w:rsidTr="75020658">
        <w:tc>
          <w:tcPr>
            <w:tcW w:w="6000" w:type="dxa"/>
            <w:shd w:val="clear" w:color="auto" w:fill="D9D9D9" w:themeFill="background1" w:themeFillShade="D9"/>
          </w:tcPr>
          <w:p w14:paraId="5003230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Concepto del abogado sobre la posibilidad de conciliar el caso y valor de una propuesta conciliatoria:</w:t>
            </w:r>
          </w:p>
        </w:tc>
        <w:tc>
          <w:tcPr>
            <w:tcW w:w="4410" w:type="dxa"/>
          </w:tcPr>
          <w:p w14:paraId="50032302" w14:textId="0264C363" w:rsidR="0057097F" w:rsidRPr="004005B9" w:rsidRDefault="7E44FCCA" w:rsidP="004005B9">
            <w:pPr>
              <w:spacing w:line="276" w:lineRule="auto"/>
              <w:jc w:val="both"/>
              <w:rPr>
                <w:rFonts w:asciiTheme="majorHAnsi" w:hAnsiTheme="majorHAnsi" w:cstheme="majorHAnsi"/>
                <w:b/>
                <w:bCs/>
              </w:rPr>
            </w:pPr>
            <w:r w:rsidRPr="004005B9">
              <w:rPr>
                <w:rFonts w:asciiTheme="majorHAnsi" w:hAnsiTheme="majorHAnsi" w:cstheme="majorHAnsi"/>
                <w:b/>
                <w:bCs/>
              </w:rPr>
              <w:t>Debido a la calificación del proceso</w:t>
            </w:r>
            <w:r w:rsidR="6D83A3DB" w:rsidRPr="004005B9">
              <w:rPr>
                <w:rFonts w:asciiTheme="majorHAnsi" w:hAnsiTheme="majorHAnsi" w:cstheme="majorHAnsi"/>
                <w:b/>
                <w:bCs/>
              </w:rPr>
              <w:t xml:space="preserve"> no se sugiere conciliar el proceso.</w:t>
            </w:r>
          </w:p>
        </w:tc>
      </w:tr>
    </w:tbl>
    <w:p w14:paraId="50032304" w14:textId="77777777" w:rsidR="0057097F" w:rsidRPr="004005B9" w:rsidRDefault="0057097F" w:rsidP="004005B9">
      <w:pPr>
        <w:spacing w:after="0" w:line="276" w:lineRule="auto"/>
        <w:rPr>
          <w:rFonts w:asciiTheme="majorHAnsi" w:hAnsiTheme="majorHAnsi" w:cstheme="majorHAnsi"/>
          <w:b/>
        </w:rPr>
      </w:pPr>
    </w:p>
    <w:p w14:paraId="50032305" w14:textId="77777777" w:rsidR="0057097F" w:rsidRPr="004005B9" w:rsidRDefault="0057097F" w:rsidP="004005B9">
      <w:pPr>
        <w:spacing w:after="0" w:line="276" w:lineRule="auto"/>
        <w:rPr>
          <w:rFonts w:asciiTheme="majorHAnsi" w:hAnsiTheme="majorHAnsi" w:cstheme="majorHAnsi"/>
          <w:b/>
        </w:rPr>
      </w:pPr>
    </w:p>
    <w:p w14:paraId="50032306" w14:textId="77777777" w:rsidR="0057097F" w:rsidRPr="004005B9" w:rsidRDefault="000B7A27" w:rsidP="004005B9">
      <w:pPr>
        <w:spacing w:after="0" w:line="276" w:lineRule="auto"/>
        <w:rPr>
          <w:rFonts w:asciiTheme="majorHAnsi" w:hAnsiTheme="majorHAnsi" w:cstheme="majorHAnsi"/>
          <w:b/>
        </w:rPr>
      </w:pPr>
      <w:r w:rsidRPr="004005B9">
        <w:rPr>
          <w:rFonts w:asciiTheme="majorHAnsi" w:hAnsiTheme="majorHAnsi" w:cstheme="maj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04712" w14:paraId="50032309" w14:textId="77777777">
        <w:trPr>
          <w:trHeight w:val="238"/>
        </w:trPr>
        <w:tc>
          <w:tcPr>
            <w:tcW w:w="4414" w:type="dxa"/>
            <w:shd w:val="clear" w:color="auto" w:fill="D9D9D9"/>
          </w:tcPr>
          <w:p w14:paraId="5003230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Fecha y hora de la diligencia:</w:t>
            </w:r>
          </w:p>
        </w:tc>
        <w:tc>
          <w:tcPr>
            <w:tcW w:w="4414" w:type="dxa"/>
          </w:tcPr>
          <w:p w14:paraId="50032308" w14:textId="77777777" w:rsidR="0057097F" w:rsidRPr="004005B9" w:rsidRDefault="0057097F" w:rsidP="004005B9">
            <w:pPr>
              <w:spacing w:line="276" w:lineRule="auto"/>
              <w:rPr>
                <w:rFonts w:asciiTheme="majorHAnsi" w:hAnsiTheme="majorHAnsi" w:cstheme="majorHAnsi"/>
                <w:b/>
              </w:rPr>
            </w:pPr>
          </w:p>
        </w:tc>
      </w:tr>
      <w:tr w:rsidR="0057097F" w:rsidRPr="00004712" w14:paraId="5003230C" w14:textId="77777777">
        <w:tc>
          <w:tcPr>
            <w:tcW w:w="4414" w:type="dxa"/>
            <w:shd w:val="clear" w:color="auto" w:fill="D9D9D9"/>
          </w:tcPr>
          <w:p w14:paraId="5003230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Síntesis de los argumentos de la Compañía:</w:t>
            </w:r>
          </w:p>
        </w:tc>
        <w:tc>
          <w:tcPr>
            <w:tcW w:w="4414" w:type="dxa"/>
          </w:tcPr>
          <w:p w14:paraId="5003230B" w14:textId="77777777" w:rsidR="0057097F" w:rsidRPr="004005B9" w:rsidRDefault="0057097F" w:rsidP="004005B9">
            <w:pPr>
              <w:pBdr>
                <w:top w:val="nil"/>
                <w:left w:val="nil"/>
                <w:bottom w:val="nil"/>
                <w:right w:val="nil"/>
                <w:between w:val="nil"/>
              </w:pBdr>
              <w:spacing w:line="276" w:lineRule="auto"/>
              <w:ind w:left="720"/>
              <w:jc w:val="both"/>
              <w:rPr>
                <w:rFonts w:asciiTheme="majorHAnsi" w:hAnsiTheme="majorHAnsi" w:cstheme="majorHAnsi"/>
                <w:color w:val="000000"/>
              </w:rPr>
            </w:pPr>
          </w:p>
        </w:tc>
      </w:tr>
      <w:tr w:rsidR="0057097F" w:rsidRPr="00004712" w14:paraId="5003230F" w14:textId="77777777">
        <w:tc>
          <w:tcPr>
            <w:tcW w:w="4414" w:type="dxa"/>
            <w:shd w:val="clear" w:color="auto" w:fill="D9D9D9"/>
          </w:tcPr>
          <w:p w14:paraId="5003230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Recomendaciones para la diligencia:</w:t>
            </w:r>
          </w:p>
        </w:tc>
        <w:tc>
          <w:tcPr>
            <w:tcW w:w="4414" w:type="dxa"/>
          </w:tcPr>
          <w:p w14:paraId="5003230E" w14:textId="77777777" w:rsidR="0057097F" w:rsidRPr="004005B9" w:rsidRDefault="0057097F" w:rsidP="004005B9">
            <w:pPr>
              <w:spacing w:line="276" w:lineRule="auto"/>
              <w:jc w:val="both"/>
              <w:rPr>
                <w:rFonts w:asciiTheme="majorHAnsi" w:hAnsiTheme="majorHAnsi" w:cstheme="majorHAnsi"/>
              </w:rPr>
            </w:pPr>
          </w:p>
        </w:tc>
      </w:tr>
    </w:tbl>
    <w:p w14:paraId="50032310" w14:textId="77777777" w:rsidR="0057097F" w:rsidRPr="004005B9" w:rsidRDefault="0057097F" w:rsidP="004005B9">
      <w:pPr>
        <w:spacing w:after="0" w:line="276" w:lineRule="auto"/>
        <w:rPr>
          <w:rFonts w:asciiTheme="majorHAnsi" w:hAnsiTheme="majorHAnsi" w:cstheme="majorHAnsi"/>
          <w:b/>
        </w:rPr>
      </w:pPr>
    </w:p>
    <w:sectPr w:rsidR="0057097F" w:rsidRPr="004005B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F7AFD" w14:textId="77777777" w:rsidR="005A1136" w:rsidRDefault="005A1136">
      <w:pPr>
        <w:spacing w:after="0" w:line="240" w:lineRule="auto"/>
      </w:pPr>
      <w:r>
        <w:separator/>
      </w:r>
    </w:p>
  </w:endnote>
  <w:endnote w:type="continuationSeparator" w:id="0">
    <w:p w14:paraId="28D84E35" w14:textId="77777777" w:rsidR="005A1136" w:rsidRDefault="005A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0A917" w14:textId="77777777" w:rsidR="005A1136" w:rsidRDefault="005A1136">
      <w:pPr>
        <w:spacing w:after="0" w:line="240" w:lineRule="auto"/>
      </w:pPr>
      <w:r>
        <w:separator/>
      </w:r>
    </w:p>
  </w:footnote>
  <w:footnote w:type="continuationSeparator" w:id="0">
    <w:p w14:paraId="3A7E95C8" w14:textId="77777777" w:rsidR="005A1136" w:rsidRDefault="005A1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D0B96"/>
    <w:multiLevelType w:val="hybridMultilevel"/>
    <w:tmpl w:val="76C8598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8C85524"/>
    <w:multiLevelType w:val="hybridMultilevel"/>
    <w:tmpl w:val="0A3A9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7E7A2"/>
    <w:multiLevelType w:val="hybridMultilevel"/>
    <w:tmpl w:val="B76AF908"/>
    <w:lvl w:ilvl="0" w:tplc="3C36364C">
      <w:start w:val="1"/>
      <w:numFmt w:val="decimal"/>
      <w:lvlText w:val="%1."/>
      <w:lvlJc w:val="left"/>
      <w:pPr>
        <w:ind w:left="720" w:hanging="360"/>
      </w:pPr>
    </w:lvl>
    <w:lvl w:ilvl="1" w:tplc="4E3836B0">
      <w:start w:val="1"/>
      <w:numFmt w:val="lowerLetter"/>
      <w:lvlText w:val="%2."/>
      <w:lvlJc w:val="left"/>
      <w:pPr>
        <w:ind w:left="1440" w:hanging="360"/>
      </w:pPr>
    </w:lvl>
    <w:lvl w:ilvl="2" w:tplc="5F6625B8">
      <w:start w:val="1"/>
      <w:numFmt w:val="lowerRoman"/>
      <w:lvlText w:val="%3."/>
      <w:lvlJc w:val="right"/>
      <w:pPr>
        <w:ind w:left="2160" w:hanging="180"/>
      </w:pPr>
    </w:lvl>
    <w:lvl w:ilvl="3" w:tplc="59B044A6">
      <w:start w:val="1"/>
      <w:numFmt w:val="decimal"/>
      <w:lvlText w:val="%4."/>
      <w:lvlJc w:val="left"/>
      <w:pPr>
        <w:ind w:left="2880" w:hanging="360"/>
      </w:pPr>
    </w:lvl>
    <w:lvl w:ilvl="4" w:tplc="F0FEDC4A">
      <w:start w:val="1"/>
      <w:numFmt w:val="lowerLetter"/>
      <w:lvlText w:val="%5."/>
      <w:lvlJc w:val="left"/>
      <w:pPr>
        <w:ind w:left="3600" w:hanging="360"/>
      </w:pPr>
    </w:lvl>
    <w:lvl w:ilvl="5" w:tplc="86085228">
      <w:start w:val="1"/>
      <w:numFmt w:val="lowerRoman"/>
      <w:lvlText w:val="%6."/>
      <w:lvlJc w:val="right"/>
      <w:pPr>
        <w:ind w:left="4320" w:hanging="180"/>
      </w:pPr>
    </w:lvl>
    <w:lvl w:ilvl="6" w:tplc="2646B80A">
      <w:start w:val="1"/>
      <w:numFmt w:val="decimal"/>
      <w:lvlText w:val="%7."/>
      <w:lvlJc w:val="left"/>
      <w:pPr>
        <w:ind w:left="5040" w:hanging="360"/>
      </w:pPr>
    </w:lvl>
    <w:lvl w:ilvl="7" w:tplc="CBFAC776">
      <w:start w:val="1"/>
      <w:numFmt w:val="lowerLetter"/>
      <w:lvlText w:val="%8."/>
      <w:lvlJc w:val="left"/>
      <w:pPr>
        <w:ind w:left="5760" w:hanging="360"/>
      </w:pPr>
    </w:lvl>
    <w:lvl w:ilvl="8" w:tplc="9D343D44">
      <w:start w:val="1"/>
      <w:numFmt w:val="lowerRoman"/>
      <w:lvlText w:val="%9."/>
      <w:lvlJc w:val="right"/>
      <w:pPr>
        <w:ind w:left="6480" w:hanging="180"/>
      </w:pPr>
    </w:lvl>
  </w:abstractNum>
  <w:abstractNum w:abstractNumId="5" w15:restartNumberingAfterBreak="0">
    <w:nsid w:val="43C2AF90"/>
    <w:multiLevelType w:val="hybridMultilevel"/>
    <w:tmpl w:val="FF588F84"/>
    <w:lvl w:ilvl="0" w:tplc="4CBAD9BA">
      <w:start w:val="1"/>
      <w:numFmt w:val="decimal"/>
      <w:lvlText w:val="%1."/>
      <w:lvlJc w:val="left"/>
      <w:pPr>
        <w:ind w:left="720" w:hanging="360"/>
      </w:pPr>
    </w:lvl>
    <w:lvl w:ilvl="1" w:tplc="67EC4AF4">
      <w:start w:val="1"/>
      <w:numFmt w:val="lowerLetter"/>
      <w:lvlText w:val="%2."/>
      <w:lvlJc w:val="left"/>
      <w:pPr>
        <w:ind w:left="1440" w:hanging="360"/>
      </w:pPr>
    </w:lvl>
    <w:lvl w:ilvl="2" w:tplc="082CBD46">
      <w:start w:val="1"/>
      <w:numFmt w:val="lowerRoman"/>
      <w:lvlText w:val="%3."/>
      <w:lvlJc w:val="right"/>
      <w:pPr>
        <w:ind w:left="2160" w:hanging="180"/>
      </w:pPr>
    </w:lvl>
    <w:lvl w:ilvl="3" w:tplc="AC90C4BE">
      <w:start w:val="1"/>
      <w:numFmt w:val="decimal"/>
      <w:lvlText w:val="%4."/>
      <w:lvlJc w:val="left"/>
      <w:pPr>
        <w:ind w:left="2880" w:hanging="360"/>
      </w:pPr>
    </w:lvl>
    <w:lvl w:ilvl="4" w:tplc="33ACCCF8">
      <w:start w:val="1"/>
      <w:numFmt w:val="lowerLetter"/>
      <w:lvlText w:val="%5."/>
      <w:lvlJc w:val="left"/>
      <w:pPr>
        <w:ind w:left="3600" w:hanging="360"/>
      </w:pPr>
    </w:lvl>
    <w:lvl w:ilvl="5" w:tplc="CEAEA446">
      <w:start w:val="1"/>
      <w:numFmt w:val="lowerRoman"/>
      <w:lvlText w:val="%6."/>
      <w:lvlJc w:val="right"/>
      <w:pPr>
        <w:ind w:left="4320" w:hanging="180"/>
      </w:pPr>
    </w:lvl>
    <w:lvl w:ilvl="6" w:tplc="B5DC5BB2">
      <w:start w:val="1"/>
      <w:numFmt w:val="decimal"/>
      <w:lvlText w:val="%7."/>
      <w:lvlJc w:val="left"/>
      <w:pPr>
        <w:ind w:left="5040" w:hanging="360"/>
      </w:pPr>
    </w:lvl>
    <w:lvl w:ilvl="7" w:tplc="5486F8B0">
      <w:start w:val="1"/>
      <w:numFmt w:val="lowerLetter"/>
      <w:lvlText w:val="%8."/>
      <w:lvlJc w:val="left"/>
      <w:pPr>
        <w:ind w:left="5760" w:hanging="360"/>
      </w:pPr>
    </w:lvl>
    <w:lvl w:ilvl="8" w:tplc="3364FC7C">
      <w:start w:val="1"/>
      <w:numFmt w:val="lowerRoman"/>
      <w:lvlText w:val="%9."/>
      <w:lvlJc w:val="right"/>
      <w:pPr>
        <w:ind w:left="6480" w:hanging="180"/>
      </w:pPr>
    </w:lvl>
  </w:abstractNum>
  <w:abstractNum w:abstractNumId="6" w15:restartNumberingAfterBreak="0">
    <w:nsid w:val="4C8C9920"/>
    <w:multiLevelType w:val="hybridMultilevel"/>
    <w:tmpl w:val="0A943636"/>
    <w:lvl w:ilvl="0" w:tplc="45E4C842">
      <w:start w:val="1"/>
      <w:numFmt w:val="decimal"/>
      <w:lvlText w:val="%1."/>
      <w:lvlJc w:val="left"/>
      <w:pPr>
        <w:ind w:left="720" w:hanging="360"/>
      </w:pPr>
    </w:lvl>
    <w:lvl w:ilvl="1" w:tplc="03E4A892">
      <w:start w:val="1"/>
      <w:numFmt w:val="lowerLetter"/>
      <w:lvlText w:val="%2."/>
      <w:lvlJc w:val="left"/>
      <w:pPr>
        <w:ind w:left="1440" w:hanging="360"/>
      </w:pPr>
    </w:lvl>
    <w:lvl w:ilvl="2" w:tplc="743816D4">
      <w:start w:val="1"/>
      <w:numFmt w:val="lowerRoman"/>
      <w:lvlText w:val="%3."/>
      <w:lvlJc w:val="right"/>
      <w:pPr>
        <w:ind w:left="2160" w:hanging="180"/>
      </w:pPr>
    </w:lvl>
    <w:lvl w:ilvl="3" w:tplc="32B00D58">
      <w:start w:val="1"/>
      <w:numFmt w:val="decimal"/>
      <w:lvlText w:val="%4."/>
      <w:lvlJc w:val="left"/>
      <w:pPr>
        <w:ind w:left="2880" w:hanging="360"/>
      </w:pPr>
    </w:lvl>
    <w:lvl w:ilvl="4" w:tplc="6CE28ACA">
      <w:start w:val="1"/>
      <w:numFmt w:val="lowerLetter"/>
      <w:lvlText w:val="%5."/>
      <w:lvlJc w:val="left"/>
      <w:pPr>
        <w:ind w:left="3600" w:hanging="360"/>
      </w:pPr>
    </w:lvl>
    <w:lvl w:ilvl="5" w:tplc="F4482E12">
      <w:start w:val="1"/>
      <w:numFmt w:val="lowerRoman"/>
      <w:lvlText w:val="%6."/>
      <w:lvlJc w:val="right"/>
      <w:pPr>
        <w:ind w:left="4320" w:hanging="180"/>
      </w:pPr>
    </w:lvl>
    <w:lvl w:ilvl="6" w:tplc="AE58DB86">
      <w:start w:val="1"/>
      <w:numFmt w:val="decimal"/>
      <w:lvlText w:val="%7."/>
      <w:lvlJc w:val="left"/>
      <w:pPr>
        <w:ind w:left="5040" w:hanging="360"/>
      </w:pPr>
    </w:lvl>
    <w:lvl w:ilvl="7" w:tplc="34AC2656">
      <w:start w:val="1"/>
      <w:numFmt w:val="lowerLetter"/>
      <w:lvlText w:val="%8."/>
      <w:lvlJc w:val="left"/>
      <w:pPr>
        <w:ind w:left="5760" w:hanging="360"/>
      </w:pPr>
    </w:lvl>
    <w:lvl w:ilvl="8" w:tplc="25D4BA70">
      <w:start w:val="1"/>
      <w:numFmt w:val="lowerRoman"/>
      <w:lvlText w:val="%9."/>
      <w:lvlJc w:val="right"/>
      <w:pPr>
        <w:ind w:left="6480" w:hanging="180"/>
      </w:pPr>
    </w:lvl>
  </w:abstractNum>
  <w:abstractNum w:abstractNumId="7" w15:restartNumberingAfterBreak="0">
    <w:nsid w:val="747A41D9"/>
    <w:multiLevelType w:val="hybridMultilevel"/>
    <w:tmpl w:val="E7787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8382566">
    <w:abstractNumId w:val="6"/>
  </w:num>
  <w:num w:numId="2" w16cid:durableId="1032027478">
    <w:abstractNumId w:val="5"/>
  </w:num>
  <w:num w:numId="3" w16cid:durableId="1383679470">
    <w:abstractNumId w:val="4"/>
  </w:num>
  <w:num w:numId="4" w16cid:durableId="562252821">
    <w:abstractNumId w:val="3"/>
  </w:num>
  <w:num w:numId="5" w16cid:durableId="438138181">
    <w:abstractNumId w:val="0"/>
  </w:num>
  <w:num w:numId="6" w16cid:durableId="633750742">
    <w:abstractNumId w:val="7"/>
  </w:num>
  <w:num w:numId="7" w16cid:durableId="1051154743">
    <w:abstractNumId w:val="2"/>
  </w:num>
  <w:num w:numId="8" w16cid:durableId="151029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4712"/>
    <w:rsid w:val="000B7A27"/>
    <w:rsid w:val="002856E9"/>
    <w:rsid w:val="002A3918"/>
    <w:rsid w:val="002E6E1F"/>
    <w:rsid w:val="002F4CD8"/>
    <w:rsid w:val="00303ABB"/>
    <w:rsid w:val="00313F06"/>
    <w:rsid w:val="00354F1A"/>
    <w:rsid w:val="004005B9"/>
    <w:rsid w:val="00411734"/>
    <w:rsid w:val="0057097F"/>
    <w:rsid w:val="005A1136"/>
    <w:rsid w:val="005A4426"/>
    <w:rsid w:val="005C14AE"/>
    <w:rsid w:val="00610868"/>
    <w:rsid w:val="00656D18"/>
    <w:rsid w:val="00657E46"/>
    <w:rsid w:val="0074663B"/>
    <w:rsid w:val="00766F85"/>
    <w:rsid w:val="00830C3E"/>
    <w:rsid w:val="008D143C"/>
    <w:rsid w:val="0099464A"/>
    <w:rsid w:val="009B0916"/>
    <w:rsid w:val="009E33B4"/>
    <w:rsid w:val="00A064DB"/>
    <w:rsid w:val="00AA7A20"/>
    <w:rsid w:val="00B012A5"/>
    <w:rsid w:val="00C19881"/>
    <w:rsid w:val="00C41435"/>
    <w:rsid w:val="00CD40B1"/>
    <w:rsid w:val="00D155AE"/>
    <w:rsid w:val="00E275BB"/>
    <w:rsid w:val="00E802EB"/>
    <w:rsid w:val="00ED2582"/>
    <w:rsid w:val="00F55CB9"/>
    <w:rsid w:val="01FFECEC"/>
    <w:rsid w:val="038BFB55"/>
    <w:rsid w:val="039F1E3C"/>
    <w:rsid w:val="0420BA11"/>
    <w:rsid w:val="05AF1F52"/>
    <w:rsid w:val="05B170D8"/>
    <w:rsid w:val="061ABED5"/>
    <w:rsid w:val="09DA3153"/>
    <w:rsid w:val="0A7FBD1E"/>
    <w:rsid w:val="0ABD064A"/>
    <w:rsid w:val="0BAEC5E2"/>
    <w:rsid w:val="0BB82559"/>
    <w:rsid w:val="0C8F4989"/>
    <w:rsid w:val="0C995684"/>
    <w:rsid w:val="0CB2DB98"/>
    <w:rsid w:val="0CF29679"/>
    <w:rsid w:val="0D0DE9F4"/>
    <w:rsid w:val="0DE09F18"/>
    <w:rsid w:val="0EA059B0"/>
    <w:rsid w:val="1057CEFF"/>
    <w:rsid w:val="1187B09A"/>
    <w:rsid w:val="11E403A5"/>
    <w:rsid w:val="11FD2CDB"/>
    <w:rsid w:val="1265A6D3"/>
    <w:rsid w:val="12DD632D"/>
    <w:rsid w:val="130A21B6"/>
    <w:rsid w:val="14C1AC73"/>
    <w:rsid w:val="16DC629C"/>
    <w:rsid w:val="1764F3DF"/>
    <w:rsid w:val="17AAAA57"/>
    <w:rsid w:val="180974EE"/>
    <w:rsid w:val="181ABC7B"/>
    <w:rsid w:val="18B9BF89"/>
    <w:rsid w:val="18DD97CE"/>
    <w:rsid w:val="1CE58E2E"/>
    <w:rsid w:val="1D6BD463"/>
    <w:rsid w:val="1D7D6921"/>
    <w:rsid w:val="1DAEE62C"/>
    <w:rsid w:val="1E29F71C"/>
    <w:rsid w:val="20319F63"/>
    <w:rsid w:val="213AEE2A"/>
    <w:rsid w:val="21B16FE5"/>
    <w:rsid w:val="22ACFCAB"/>
    <w:rsid w:val="234BC454"/>
    <w:rsid w:val="23DD097A"/>
    <w:rsid w:val="2606A6E0"/>
    <w:rsid w:val="2776ACD1"/>
    <w:rsid w:val="27CC73A7"/>
    <w:rsid w:val="28784831"/>
    <w:rsid w:val="2878849F"/>
    <w:rsid w:val="28C5710C"/>
    <w:rsid w:val="28CA36A8"/>
    <w:rsid w:val="2AD93E7A"/>
    <w:rsid w:val="2E0D2785"/>
    <w:rsid w:val="2E493F49"/>
    <w:rsid w:val="2EFDB60F"/>
    <w:rsid w:val="3063E22D"/>
    <w:rsid w:val="306829E3"/>
    <w:rsid w:val="31BBB66F"/>
    <w:rsid w:val="325D51D1"/>
    <w:rsid w:val="349DE1E3"/>
    <w:rsid w:val="34C73430"/>
    <w:rsid w:val="357EB3F4"/>
    <w:rsid w:val="361B7E09"/>
    <w:rsid w:val="368C4C8B"/>
    <w:rsid w:val="37910FBB"/>
    <w:rsid w:val="389316E1"/>
    <w:rsid w:val="39AA1017"/>
    <w:rsid w:val="3B87DF5E"/>
    <w:rsid w:val="3EE40611"/>
    <w:rsid w:val="3EFD9FE2"/>
    <w:rsid w:val="3F3CF975"/>
    <w:rsid w:val="3F5984A0"/>
    <w:rsid w:val="40400F9C"/>
    <w:rsid w:val="40C84C70"/>
    <w:rsid w:val="40D9885C"/>
    <w:rsid w:val="411B7029"/>
    <w:rsid w:val="417C6461"/>
    <w:rsid w:val="422208CB"/>
    <w:rsid w:val="42D0E48C"/>
    <w:rsid w:val="42E5AAAC"/>
    <w:rsid w:val="43A679CB"/>
    <w:rsid w:val="43CEF1C6"/>
    <w:rsid w:val="443DA5E1"/>
    <w:rsid w:val="450EEA0D"/>
    <w:rsid w:val="4595B284"/>
    <w:rsid w:val="46C6FF85"/>
    <w:rsid w:val="47A27979"/>
    <w:rsid w:val="4820DBD3"/>
    <w:rsid w:val="4827D508"/>
    <w:rsid w:val="4989938B"/>
    <w:rsid w:val="4B640083"/>
    <w:rsid w:val="4B67827A"/>
    <w:rsid w:val="4D43B7A6"/>
    <w:rsid w:val="4DA60729"/>
    <w:rsid w:val="4ECF6DF3"/>
    <w:rsid w:val="4ED97E17"/>
    <w:rsid w:val="4F9B83BB"/>
    <w:rsid w:val="50E872F5"/>
    <w:rsid w:val="52AF44C9"/>
    <w:rsid w:val="54109AFA"/>
    <w:rsid w:val="54CBC17E"/>
    <w:rsid w:val="54F0113B"/>
    <w:rsid w:val="5581CC77"/>
    <w:rsid w:val="5602240A"/>
    <w:rsid w:val="56259296"/>
    <w:rsid w:val="5657F118"/>
    <w:rsid w:val="574312A0"/>
    <w:rsid w:val="57A02C62"/>
    <w:rsid w:val="581B405C"/>
    <w:rsid w:val="588E9854"/>
    <w:rsid w:val="5C1461E0"/>
    <w:rsid w:val="5D7C1EB0"/>
    <w:rsid w:val="5DE774AC"/>
    <w:rsid w:val="5ECEB7CB"/>
    <w:rsid w:val="5F884828"/>
    <w:rsid w:val="5F8B4395"/>
    <w:rsid w:val="611415A1"/>
    <w:rsid w:val="61324878"/>
    <w:rsid w:val="61A8FA45"/>
    <w:rsid w:val="623291B6"/>
    <w:rsid w:val="62481F73"/>
    <w:rsid w:val="631847ED"/>
    <w:rsid w:val="637598D9"/>
    <w:rsid w:val="637D245D"/>
    <w:rsid w:val="64661F58"/>
    <w:rsid w:val="65AE1942"/>
    <w:rsid w:val="6714AD81"/>
    <w:rsid w:val="68D76BA5"/>
    <w:rsid w:val="68DEBDF1"/>
    <w:rsid w:val="698EFD56"/>
    <w:rsid w:val="6A35AD40"/>
    <w:rsid w:val="6A5FE339"/>
    <w:rsid w:val="6C78D4FB"/>
    <w:rsid w:val="6C988B12"/>
    <w:rsid w:val="6D83A3DB"/>
    <w:rsid w:val="6DF61CD3"/>
    <w:rsid w:val="6E9FE37A"/>
    <w:rsid w:val="7167F4E1"/>
    <w:rsid w:val="71CAB4C2"/>
    <w:rsid w:val="71DB6EE2"/>
    <w:rsid w:val="71E51BFC"/>
    <w:rsid w:val="723D6FA0"/>
    <w:rsid w:val="72F3D269"/>
    <w:rsid w:val="72F47928"/>
    <w:rsid w:val="7300847E"/>
    <w:rsid w:val="75020658"/>
    <w:rsid w:val="7570458E"/>
    <w:rsid w:val="77DD67C5"/>
    <w:rsid w:val="78B8B4DF"/>
    <w:rsid w:val="7B0778AE"/>
    <w:rsid w:val="7C6BFB0A"/>
    <w:rsid w:val="7E21FB02"/>
    <w:rsid w:val="7E44FCCA"/>
    <w:rsid w:val="7E4F22B1"/>
    <w:rsid w:val="7EDF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004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712"/>
    <w:rPr>
      <w:rFonts w:ascii="Segoe UI" w:hAnsi="Segoe UI" w:cs="Segoe UI"/>
      <w:sz w:val="18"/>
      <w:szCs w:val="18"/>
    </w:rPr>
  </w:style>
  <w:style w:type="character" w:styleId="Refdecomentario">
    <w:name w:val="annotation reference"/>
    <w:basedOn w:val="Fuentedeprrafopredeter"/>
    <w:uiPriority w:val="99"/>
    <w:semiHidden/>
    <w:unhideWhenUsed/>
    <w:rsid w:val="00830C3E"/>
    <w:rPr>
      <w:sz w:val="16"/>
      <w:szCs w:val="16"/>
    </w:rPr>
  </w:style>
  <w:style w:type="paragraph" w:styleId="Textocomentario">
    <w:name w:val="annotation text"/>
    <w:basedOn w:val="Normal"/>
    <w:link w:val="TextocomentarioCar"/>
    <w:uiPriority w:val="99"/>
    <w:semiHidden/>
    <w:unhideWhenUsed/>
    <w:rsid w:val="00830C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0C3E"/>
    <w:rPr>
      <w:sz w:val="20"/>
      <w:szCs w:val="20"/>
    </w:rPr>
  </w:style>
  <w:style w:type="paragraph" w:styleId="Asuntodelcomentario">
    <w:name w:val="annotation subject"/>
    <w:basedOn w:val="Textocomentario"/>
    <w:next w:val="Textocomentario"/>
    <w:link w:val="AsuntodelcomentarioCar"/>
    <w:uiPriority w:val="99"/>
    <w:semiHidden/>
    <w:unhideWhenUsed/>
    <w:rsid w:val="00830C3E"/>
    <w:rPr>
      <w:b/>
      <w:bCs/>
    </w:rPr>
  </w:style>
  <w:style w:type="character" w:customStyle="1" w:styleId="AsuntodelcomentarioCar">
    <w:name w:val="Asunto del comentario Car"/>
    <w:basedOn w:val="TextocomentarioCar"/>
    <w:link w:val="Asuntodelcomentario"/>
    <w:uiPriority w:val="99"/>
    <w:semiHidden/>
    <w:rsid w:val="00830C3E"/>
    <w:rPr>
      <w:b/>
      <w:bCs/>
      <w:sz w:val="20"/>
      <w:szCs w:val="20"/>
    </w:rPr>
  </w:style>
  <w:style w:type="paragraph" w:styleId="Revisin">
    <w:name w:val="Revision"/>
    <w:hidden/>
    <w:uiPriority w:val="99"/>
    <w:semiHidden/>
    <w:rsid w:val="004005B9"/>
    <w:pPr>
      <w:spacing w:after="0" w:line="240" w:lineRule="auto"/>
    </w:pPr>
  </w:style>
  <w:style w:type="paragraph" w:styleId="NormalWeb">
    <w:name w:val="Normal (Web)"/>
    <w:basedOn w:val="Normal"/>
    <w:uiPriority w:val="99"/>
    <w:semiHidden/>
    <w:unhideWhenUsed/>
    <w:rsid w:val="00C414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520">
      <w:bodyDiv w:val="1"/>
      <w:marLeft w:val="0"/>
      <w:marRight w:val="0"/>
      <w:marTop w:val="0"/>
      <w:marBottom w:val="0"/>
      <w:divBdr>
        <w:top w:val="none" w:sz="0" w:space="0" w:color="auto"/>
        <w:left w:val="none" w:sz="0" w:space="0" w:color="auto"/>
        <w:bottom w:val="none" w:sz="0" w:space="0" w:color="auto"/>
        <w:right w:val="none" w:sz="0" w:space="0" w:color="auto"/>
      </w:divBdr>
    </w:div>
    <w:div w:id="76636789">
      <w:bodyDiv w:val="1"/>
      <w:marLeft w:val="0"/>
      <w:marRight w:val="0"/>
      <w:marTop w:val="0"/>
      <w:marBottom w:val="0"/>
      <w:divBdr>
        <w:top w:val="none" w:sz="0" w:space="0" w:color="auto"/>
        <w:left w:val="none" w:sz="0" w:space="0" w:color="auto"/>
        <w:bottom w:val="none" w:sz="0" w:space="0" w:color="auto"/>
        <w:right w:val="none" w:sz="0" w:space="0" w:color="auto"/>
      </w:divBdr>
    </w:div>
    <w:div w:id="136264829">
      <w:bodyDiv w:val="1"/>
      <w:marLeft w:val="0"/>
      <w:marRight w:val="0"/>
      <w:marTop w:val="0"/>
      <w:marBottom w:val="0"/>
      <w:divBdr>
        <w:top w:val="none" w:sz="0" w:space="0" w:color="auto"/>
        <w:left w:val="none" w:sz="0" w:space="0" w:color="auto"/>
        <w:bottom w:val="none" w:sz="0" w:space="0" w:color="auto"/>
        <w:right w:val="none" w:sz="0" w:space="0" w:color="auto"/>
      </w:divBdr>
    </w:div>
    <w:div w:id="149568039">
      <w:bodyDiv w:val="1"/>
      <w:marLeft w:val="0"/>
      <w:marRight w:val="0"/>
      <w:marTop w:val="0"/>
      <w:marBottom w:val="0"/>
      <w:divBdr>
        <w:top w:val="none" w:sz="0" w:space="0" w:color="auto"/>
        <w:left w:val="none" w:sz="0" w:space="0" w:color="auto"/>
        <w:bottom w:val="none" w:sz="0" w:space="0" w:color="auto"/>
        <w:right w:val="none" w:sz="0" w:space="0" w:color="auto"/>
      </w:divBdr>
      <w:divsChild>
        <w:div w:id="232356259">
          <w:marLeft w:val="0"/>
          <w:marRight w:val="0"/>
          <w:marTop w:val="0"/>
          <w:marBottom w:val="0"/>
          <w:divBdr>
            <w:top w:val="none" w:sz="0" w:space="0" w:color="auto"/>
            <w:left w:val="none" w:sz="0" w:space="0" w:color="auto"/>
            <w:bottom w:val="none" w:sz="0" w:space="0" w:color="auto"/>
            <w:right w:val="none" w:sz="0" w:space="0" w:color="auto"/>
          </w:divBdr>
          <w:divsChild>
            <w:div w:id="1744908512">
              <w:marLeft w:val="0"/>
              <w:marRight w:val="0"/>
              <w:marTop w:val="0"/>
              <w:marBottom w:val="0"/>
              <w:divBdr>
                <w:top w:val="none" w:sz="0" w:space="0" w:color="auto"/>
                <w:left w:val="none" w:sz="0" w:space="0" w:color="auto"/>
                <w:bottom w:val="none" w:sz="0" w:space="0" w:color="auto"/>
                <w:right w:val="none" w:sz="0" w:space="0" w:color="auto"/>
              </w:divBdr>
              <w:divsChild>
                <w:div w:id="600376099">
                  <w:marLeft w:val="0"/>
                  <w:marRight w:val="0"/>
                  <w:marTop w:val="0"/>
                  <w:marBottom w:val="0"/>
                  <w:divBdr>
                    <w:top w:val="none" w:sz="0" w:space="0" w:color="auto"/>
                    <w:left w:val="none" w:sz="0" w:space="0" w:color="auto"/>
                    <w:bottom w:val="none" w:sz="0" w:space="0" w:color="auto"/>
                    <w:right w:val="none" w:sz="0" w:space="0" w:color="auto"/>
                  </w:divBdr>
                  <w:divsChild>
                    <w:div w:id="116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1582">
      <w:bodyDiv w:val="1"/>
      <w:marLeft w:val="0"/>
      <w:marRight w:val="0"/>
      <w:marTop w:val="0"/>
      <w:marBottom w:val="0"/>
      <w:divBdr>
        <w:top w:val="none" w:sz="0" w:space="0" w:color="auto"/>
        <w:left w:val="none" w:sz="0" w:space="0" w:color="auto"/>
        <w:bottom w:val="none" w:sz="0" w:space="0" w:color="auto"/>
        <w:right w:val="none" w:sz="0" w:space="0" w:color="auto"/>
      </w:divBdr>
      <w:divsChild>
        <w:div w:id="545990809">
          <w:marLeft w:val="0"/>
          <w:marRight w:val="0"/>
          <w:marTop w:val="0"/>
          <w:marBottom w:val="0"/>
          <w:divBdr>
            <w:top w:val="none" w:sz="0" w:space="0" w:color="auto"/>
            <w:left w:val="none" w:sz="0" w:space="0" w:color="auto"/>
            <w:bottom w:val="none" w:sz="0" w:space="0" w:color="auto"/>
            <w:right w:val="none" w:sz="0" w:space="0" w:color="auto"/>
          </w:divBdr>
          <w:divsChild>
            <w:div w:id="961887944">
              <w:marLeft w:val="0"/>
              <w:marRight w:val="0"/>
              <w:marTop w:val="0"/>
              <w:marBottom w:val="0"/>
              <w:divBdr>
                <w:top w:val="none" w:sz="0" w:space="0" w:color="auto"/>
                <w:left w:val="none" w:sz="0" w:space="0" w:color="auto"/>
                <w:bottom w:val="none" w:sz="0" w:space="0" w:color="auto"/>
                <w:right w:val="none" w:sz="0" w:space="0" w:color="auto"/>
              </w:divBdr>
              <w:divsChild>
                <w:div w:id="1273589089">
                  <w:marLeft w:val="0"/>
                  <w:marRight w:val="0"/>
                  <w:marTop w:val="0"/>
                  <w:marBottom w:val="0"/>
                  <w:divBdr>
                    <w:top w:val="none" w:sz="0" w:space="0" w:color="auto"/>
                    <w:left w:val="none" w:sz="0" w:space="0" w:color="auto"/>
                    <w:bottom w:val="none" w:sz="0" w:space="0" w:color="auto"/>
                    <w:right w:val="none" w:sz="0" w:space="0" w:color="auto"/>
                  </w:divBdr>
                  <w:divsChild>
                    <w:div w:id="874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7989">
      <w:bodyDiv w:val="1"/>
      <w:marLeft w:val="0"/>
      <w:marRight w:val="0"/>
      <w:marTop w:val="0"/>
      <w:marBottom w:val="0"/>
      <w:divBdr>
        <w:top w:val="none" w:sz="0" w:space="0" w:color="auto"/>
        <w:left w:val="none" w:sz="0" w:space="0" w:color="auto"/>
        <w:bottom w:val="none" w:sz="0" w:space="0" w:color="auto"/>
        <w:right w:val="none" w:sz="0" w:space="0" w:color="auto"/>
      </w:divBdr>
    </w:div>
    <w:div w:id="2003921498">
      <w:bodyDiv w:val="1"/>
      <w:marLeft w:val="0"/>
      <w:marRight w:val="0"/>
      <w:marTop w:val="0"/>
      <w:marBottom w:val="0"/>
      <w:divBdr>
        <w:top w:val="none" w:sz="0" w:space="0" w:color="auto"/>
        <w:left w:val="none" w:sz="0" w:space="0" w:color="auto"/>
        <w:bottom w:val="none" w:sz="0" w:space="0" w:color="auto"/>
        <w:right w:val="none" w:sz="0" w:space="0" w:color="auto"/>
      </w:divBdr>
      <w:divsChild>
        <w:div w:id="996154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540CE-68B3-47DD-95B4-7C0260991FE0}">
  <ds:schemaRefs>
    <ds:schemaRef ds:uri="http://schemas.openxmlformats.org/officeDocument/2006/bibliography"/>
  </ds:schemaRefs>
</ds:datastoreItem>
</file>

<file path=customXml/itemProps2.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3.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1420</Words>
  <Characters>7812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luisa perez</cp:lastModifiedBy>
  <cp:revision>2</cp:revision>
  <cp:lastPrinted>2023-02-19T22:55:00Z</cp:lastPrinted>
  <dcterms:created xsi:type="dcterms:W3CDTF">2024-12-18T19:59:00Z</dcterms:created>
  <dcterms:modified xsi:type="dcterms:W3CDTF">2024-12-18T19:59:00Z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