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930B" w14:textId="6E04205D" w:rsidR="00CF6005" w:rsidRPr="00817E2E" w:rsidRDefault="00817E2E" w:rsidP="00131CF8">
      <w:pPr>
        <w:spacing w:after="0"/>
        <w:jc w:val="center"/>
        <w:rPr>
          <w:rFonts w:ascii="Arial" w:hAnsi="Arial" w:cs="Arial"/>
          <w:b/>
          <w:bCs/>
        </w:rPr>
      </w:pPr>
      <w:r w:rsidRPr="00817E2E">
        <w:rPr>
          <w:rFonts w:ascii="Arial" w:hAnsi="Arial" w:cs="Arial"/>
          <w:b/>
          <w:bCs/>
        </w:rPr>
        <w:t>CALIFICACIÓN DE CONTINGENCIA Y LIQUIDACIÓN OBJETIVADA DE PERJUICIOS</w:t>
      </w:r>
    </w:p>
    <w:p w14:paraId="168B9EC8" w14:textId="77777777" w:rsidR="00D62742" w:rsidRPr="0002316D" w:rsidRDefault="00D62742" w:rsidP="00131CF8">
      <w:pPr>
        <w:spacing w:after="0"/>
        <w:jc w:val="both"/>
        <w:rPr>
          <w:rFonts w:ascii="Arial" w:hAnsi="Arial" w:cs="Arial"/>
        </w:rPr>
      </w:pPr>
    </w:p>
    <w:p w14:paraId="7211E703" w14:textId="23E747AC" w:rsidR="00414A4C" w:rsidRPr="0002316D" w:rsidRDefault="00414A4C" w:rsidP="00131CF8">
      <w:pPr>
        <w:spacing w:after="0"/>
        <w:ind w:left="708"/>
        <w:jc w:val="both"/>
        <w:rPr>
          <w:rFonts w:ascii="Arial" w:hAnsi="Arial" w:cs="Arial"/>
          <w:b/>
          <w:bCs/>
        </w:rPr>
      </w:pPr>
      <w:r w:rsidRPr="0002316D">
        <w:rPr>
          <w:rFonts w:ascii="Arial" w:hAnsi="Arial" w:cs="Arial"/>
          <w:b/>
          <w:bCs/>
        </w:rPr>
        <w:t>REFERENCIA</w:t>
      </w:r>
      <w:r w:rsidRPr="00AD676A">
        <w:rPr>
          <w:rFonts w:ascii="Arial" w:hAnsi="Arial" w:cs="Arial"/>
        </w:rPr>
        <w:t>: PROCESO DE RESPONSABILIDAD FISCAL</w:t>
      </w:r>
      <w:r w:rsidR="00AD676A">
        <w:rPr>
          <w:rFonts w:ascii="Arial" w:hAnsi="Arial" w:cs="Arial"/>
        </w:rPr>
        <w:t xml:space="preserve"> VERBAL</w:t>
      </w:r>
    </w:p>
    <w:p w14:paraId="33D8523B" w14:textId="09B48CAE" w:rsidR="00414A4C" w:rsidRPr="0002316D" w:rsidRDefault="00414A4C" w:rsidP="00131CF8">
      <w:pPr>
        <w:spacing w:after="0"/>
        <w:ind w:left="708"/>
        <w:jc w:val="both"/>
        <w:rPr>
          <w:rFonts w:ascii="Arial" w:hAnsi="Arial" w:cs="Arial"/>
          <w:b/>
          <w:bCs/>
        </w:rPr>
      </w:pPr>
      <w:r w:rsidRPr="0002316D">
        <w:rPr>
          <w:rFonts w:ascii="Arial" w:hAnsi="Arial" w:cs="Arial"/>
          <w:b/>
          <w:bCs/>
        </w:rPr>
        <w:t>EXPEDIENTE</w:t>
      </w:r>
      <w:r w:rsidRPr="00AD676A">
        <w:rPr>
          <w:rFonts w:ascii="Arial" w:hAnsi="Arial" w:cs="Arial"/>
        </w:rPr>
        <w:t xml:space="preserve">: </w:t>
      </w:r>
      <w:r w:rsidR="00AD676A">
        <w:rPr>
          <w:rFonts w:ascii="Arial" w:hAnsi="Arial" w:cs="Arial"/>
        </w:rPr>
        <w:t>812</w:t>
      </w:r>
      <w:r w:rsidR="00D21FE4" w:rsidRPr="00AD676A">
        <w:rPr>
          <w:rFonts w:ascii="Arial" w:hAnsi="Arial" w:cs="Arial"/>
        </w:rPr>
        <w:t>-202</w:t>
      </w:r>
      <w:r w:rsidR="00AD676A">
        <w:rPr>
          <w:rFonts w:ascii="Arial" w:hAnsi="Arial" w:cs="Arial"/>
        </w:rPr>
        <w:t>2</w:t>
      </w:r>
    </w:p>
    <w:p w14:paraId="0CD769E5" w14:textId="0654DD2B" w:rsidR="00414A4C" w:rsidRPr="0002316D" w:rsidRDefault="00414A4C" w:rsidP="00131CF8">
      <w:pPr>
        <w:spacing w:after="0"/>
        <w:ind w:left="708"/>
        <w:jc w:val="both"/>
        <w:rPr>
          <w:rFonts w:ascii="Arial" w:hAnsi="Arial" w:cs="Arial"/>
          <w:b/>
          <w:bCs/>
        </w:rPr>
      </w:pPr>
      <w:r w:rsidRPr="0002316D">
        <w:rPr>
          <w:rFonts w:ascii="Arial" w:hAnsi="Arial" w:cs="Arial"/>
          <w:b/>
          <w:bCs/>
        </w:rPr>
        <w:t>ENTIDAD AFECTADA</w:t>
      </w:r>
      <w:r w:rsidRPr="00AD676A">
        <w:rPr>
          <w:rFonts w:ascii="Arial" w:hAnsi="Arial" w:cs="Arial"/>
        </w:rPr>
        <w:t xml:space="preserve">: </w:t>
      </w:r>
      <w:r w:rsidR="00AD676A" w:rsidRPr="00AD676A">
        <w:rPr>
          <w:rFonts w:ascii="Arial" w:hAnsi="Arial" w:cs="Arial"/>
        </w:rPr>
        <w:t>DEPARTAMENTO DE RISARALDA</w:t>
      </w:r>
    </w:p>
    <w:p w14:paraId="3F061C1B" w14:textId="1DBAAB8B" w:rsidR="00414A4C" w:rsidRPr="0002316D" w:rsidRDefault="00414A4C" w:rsidP="00131CF8">
      <w:pPr>
        <w:spacing w:after="0"/>
        <w:ind w:left="708"/>
        <w:jc w:val="both"/>
        <w:rPr>
          <w:rFonts w:ascii="Arial" w:hAnsi="Arial" w:cs="Arial"/>
          <w:b/>
          <w:bCs/>
        </w:rPr>
      </w:pPr>
      <w:r w:rsidRPr="0002316D">
        <w:rPr>
          <w:rFonts w:ascii="Arial" w:hAnsi="Arial" w:cs="Arial"/>
          <w:b/>
          <w:bCs/>
        </w:rPr>
        <w:t>VINCULAD</w:t>
      </w:r>
      <w:r w:rsidR="00AD676A">
        <w:rPr>
          <w:rFonts w:ascii="Arial" w:hAnsi="Arial" w:cs="Arial"/>
          <w:b/>
          <w:bCs/>
        </w:rPr>
        <w:t>A</w:t>
      </w:r>
      <w:r w:rsidRPr="00AD676A">
        <w:rPr>
          <w:rFonts w:ascii="Arial" w:hAnsi="Arial" w:cs="Arial"/>
        </w:rPr>
        <w:t xml:space="preserve">: </w:t>
      </w:r>
      <w:r w:rsidR="00AD676A" w:rsidRPr="00AD676A">
        <w:rPr>
          <w:rFonts w:ascii="Arial" w:hAnsi="Arial" w:cs="Arial"/>
        </w:rPr>
        <w:t>CARMENZA BUITRAGO BOTERO</w:t>
      </w:r>
      <w:r w:rsidR="00D21FE4" w:rsidRPr="00D21FE4">
        <w:rPr>
          <w:rFonts w:ascii="Arial" w:hAnsi="Arial" w:cs="Arial"/>
          <w:b/>
          <w:bCs/>
        </w:rPr>
        <w:t xml:space="preserve"> </w:t>
      </w:r>
      <w:r w:rsidRPr="0002316D">
        <w:rPr>
          <w:rFonts w:ascii="Arial" w:hAnsi="Arial" w:cs="Arial"/>
          <w:b/>
          <w:bCs/>
        </w:rPr>
        <w:t xml:space="preserve">      </w:t>
      </w:r>
    </w:p>
    <w:p w14:paraId="77CFBA7D" w14:textId="593BADE3" w:rsidR="00D62742" w:rsidRPr="0002316D" w:rsidRDefault="00414A4C" w:rsidP="00131CF8">
      <w:pPr>
        <w:spacing w:after="0"/>
        <w:ind w:left="708"/>
        <w:jc w:val="both"/>
        <w:rPr>
          <w:rFonts w:ascii="Arial" w:hAnsi="Arial" w:cs="Arial"/>
          <w:b/>
          <w:bCs/>
        </w:rPr>
      </w:pPr>
      <w:r w:rsidRPr="0002316D">
        <w:rPr>
          <w:rFonts w:ascii="Arial" w:hAnsi="Arial" w:cs="Arial"/>
          <w:b/>
          <w:bCs/>
        </w:rPr>
        <w:t>TERCERO</w:t>
      </w:r>
      <w:r w:rsidR="00AD676A">
        <w:rPr>
          <w:rFonts w:ascii="Arial" w:hAnsi="Arial" w:cs="Arial"/>
          <w:b/>
          <w:bCs/>
        </w:rPr>
        <w:t>S</w:t>
      </w:r>
      <w:r w:rsidRPr="0002316D">
        <w:rPr>
          <w:rFonts w:ascii="Arial" w:hAnsi="Arial" w:cs="Arial"/>
          <w:b/>
          <w:bCs/>
        </w:rPr>
        <w:t xml:space="preserve"> VINCULADO</w:t>
      </w:r>
      <w:r w:rsidR="00AD676A">
        <w:rPr>
          <w:rFonts w:ascii="Arial" w:hAnsi="Arial" w:cs="Arial"/>
          <w:b/>
          <w:bCs/>
        </w:rPr>
        <w:t>S</w:t>
      </w:r>
      <w:r w:rsidRPr="00AD676A">
        <w:rPr>
          <w:rFonts w:ascii="Arial" w:hAnsi="Arial" w:cs="Arial"/>
        </w:rPr>
        <w:t xml:space="preserve">: </w:t>
      </w:r>
      <w:r w:rsidR="00AD676A">
        <w:rPr>
          <w:rFonts w:ascii="Arial" w:hAnsi="Arial" w:cs="Arial"/>
        </w:rPr>
        <w:t>ASEGURADORA SOLIDARIA DE COLOMBIA E.C. Y OTRA</w:t>
      </w:r>
    </w:p>
    <w:p w14:paraId="5EE5DA35" w14:textId="77777777" w:rsidR="00CF6005" w:rsidRPr="0002316D" w:rsidRDefault="00CF6005" w:rsidP="00131CF8">
      <w:pPr>
        <w:spacing w:after="0"/>
        <w:jc w:val="both"/>
        <w:rPr>
          <w:rFonts w:ascii="Arial" w:hAnsi="Arial" w:cs="Arial"/>
          <w:b/>
          <w:bCs/>
        </w:rPr>
      </w:pPr>
    </w:p>
    <w:p w14:paraId="25D02065" w14:textId="5CD79FF0" w:rsidR="00414A4C" w:rsidRPr="0002316D" w:rsidRDefault="00414A4C" w:rsidP="00131CF8">
      <w:pPr>
        <w:spacing w:after="0"/>
        <w:jc w:val="both"/>
        <w:rPr>
          <w:rFonts w:ascii="Arial" w:hAnsi="Arial" w:cs="Arial"/>
        </w:rPr>
      </w:pPr>
      <w:r w:rsidRPr="0002316D">
        <w:rPr>
          <w:rFonts w:ascii="Arial" w:hAnsi="Arial" w:cs="Arial"/>
          <w:b/>
          <w:bCs/>
        </w:rPr>
        <w:t>Hechos</w:t>
      </w:r>
      <w:r w:rsidRPr="0002316D">
        <w:rPr>
          <w:rFonts w:ascii="Arial" w:hAnsi="Arial" w:cs="Arial"/>
        </w:rPr>
        <w:t xml:space="preserve">: </w:t>
      </w:r>
      <w:r w:rsidR="00502567" w:rsidRPr="00502567">
        <w:rPr>
          <w:rFonts w:ascii="Arial" w:hAnsi="Arial" w:cs="Arial"/>
        </w:rPr>
        <w:t>Presunto detrimento patrimonial por deficiencias en la labor de supervisión, al autorizar el</w:t>
      </w:r>
      <w:r w:rsidR="00502567">
        <w:rPr>
          <w:rFonts w:ascii="Arial" w:hAnsi="Arial" w:cs="Arial"/>
        </w:rPr>
        <w:t xml:space="preserve"> </w:t>
      </w:r>
      <w:r w:rsidR="00502567" w:rsidRPr="00502567">
        <w:rPr>
          <w:rFonts w:ascii="Arial" w:hAnsi="Arial" w:cs="Arial"/>
        </w:rPr>
        <w:t>pago sin la totalidad de los soportes necesarios para el mismo dentro del contrato No. 669-2020</w:t>
      </w:r>
      <w:r w:rsidR="00490C04">
        <w:rPr>
          <w:rFonts w:ascii="Arial" w:hAnsi="Arial" w:cs="Arial"/>
        </w:rPr>
        <w:t>.</w:t>
      </w:r>
    </w:p>
    <w:p w14:paraId="6D899A27" w14:textId="77777777" w:rsidR="00414A4C" w:rsidRPr="0002316D" w:rsidRDefault="00414A4C" w:rsidP="00131CF8">
      <w:pPr>
        <w:spacing w:after="0"/>
        <w:jc w:val="both"/>
        <w:rPr>
          <w:rFonts w:ascii="Arial" w:hAnsi="Arial" w:cs="Arial"/>
        </w:rPr>
      </w:pPr>
    </w:p>
    <w:p w14:paraId="2E68703E" w14:textId="156627E6" w:rsidR="00817E2E" w:rsidRDefault="00F461F2" w:rsidP="00131CF8">
      <w:pPr>
        <w:jc w:val="both"/>
        <w:rPr>
          <w:rFonts w:ascii="Arial" w:hAnsi="Arial" w:cs="Arial"/>
        </w:rPr>
      </w:pPr>
      <w:r w:rsidRPr="000E50EE">
        <w:rPr>
          <w:rFonts w:ascii="Arial" w:hAnsi="Arial" w:cs="Arial"/>
          <w:b/>
          <w:bCs/>
        </w:rPr>
        <w:t>CALIFICACIÓN OBJETIVA:</w:t>
      </w:r>
      <w:r w:rsidR="0038553D" w:rsidRPr="000E50EE">
        <w:rPr>
          <w:rFonts w:ascii="Arial" w:hAnsi="Arial" w:cs="Arial"/>
          <w:b/>
          <w:bCs/>
        </w:rPr>
        <w:t xml:space="preserve"> </w:t>
      </w:r>
      <w:r w:rsidR="00414A4C" w:rsidRPr="000E50EE">
        <w:rPr>
          <w:rFonts w:ascii="Arial" w:hAnsi="Arial" w:cs="Arial"/>
        </w:rPr>
        <w:t xml:space="preserve">La calificación de la contingencia </w:t>
      </w:r>
      <w:r w:rsidR="000B1F71" w:rsidRPr="000E50EE">
        <w:rPr>
          <w:rFonts w:ascii="Arial" w:hAnsi="Arial" w:cs="Arial"/>
        </w:rPr>
        <w:t>es</w:t>
      </w:r>
      <w:r w:rsidR="00414A4C" w:rsidRPr="000E50EE">
        <w:rPr>
          <w:rFonts w:ascii="Arial" w:hAnsi="Arial" w:cs="Arial"/>
        </w:rPr>
        <w:t xml:space="preserve"> </w:t>
      </w:r>
      <w:r w:rsidR="00817E2E">
        <w:rPr>
          <w:rFonts w:ascii="Arial" w:hAnsi="Arial" w:cs="Arial"/>
          <w:b/>
          <w:bCs/>
        </w:rPr>
        <w:t>REMOTA</w:t>
      </w:r>
      <w:r w:rsidR="00414A4C" w:rsidRPr="000E50EE">
        <w:rPr>
          <w:rFonts w:ascii="Arial" w:hAnsi="Arial" w:cs="Arial"/>
        </w:rPr>
        <w:t xml:space="preserve">, </w:t>
      </w:r>
      <w:r w:rsidR="00817E2E">
        <w:rPr>
          <w:rFonts w:ascii="Arial" w:hAnsi="Arial" w:cs="Arial"/>
        </w:rPr>
        <w:t xml:space="preserve">ya que </w:t>
      </w:r>
      <w:r w:rsidR="00542D4F">
        <w:rPr>
          <w:rFonts w:ascii="Arial" w:hAnsi="Arial" w:cs="Arial"/>
        </w:rPr>
        <w:t>e</w:t>
      </w:r>
      <w:r w:rsidR="00817E2E">
        <w:rPr>
          <w:rFonts w:ascii="Arial" w:hAnsi="Arial" w:cs="Arial"/>
        </w:rPr>
        <w:t>l presunto</w:t>
      </w:r>
      <w:r w:rsidR="0024294D">
        <w:rPr>
          <w:rFonts w:ascii="Arial" w:hAnsi="Arial" w:cs="Arial"/>
        </w:rPr>
        <w:t xml:space="preserve"> detrimento </w:t>
      </w:r>
      <w:r w:rsidR="00542D4F">
        <w:rPr>
          <w:rFonts w:ascii="Arial" w:hAnsi="Arial" w:cs="Arial"/>
        </w:rPr>
        <w:t xml:space="preserve">fue desvirtuado con las versiones libres y los documentos anexados a ellas. Aunado a esto las pólizas </w:t>
      </w:r>
      <w:r w:rsidR="00542D4F" w:rsidRPr="00542D4F">
        <w:rPr>
          <w:rFonts w:ascii="Arial" w:hAnsi="Arial" w:cs="Arial"/>
        </w:rPr>
        <w:t>1002366</w:t>
      </w:r>
      <w:r w:rsidR="00542D4F">
        <w:rPr>
          <w:rFonts w:ascii="Arial" w:hAnsi="Arial" w:cs="Arial"/>
        </w:rPr>
        <w:t xml:space="preserve"> y </w:t>
      </w:r>
      <w:r w:rsidR="00542D4F" w:rsidRPr="00542D4F">
        <w:rPr>
          <w:rFonts w:ascii="Arial" w:hAnsi="Arial" w:cs="Arial"/>
        </w:rPr>
        <w:t>1002277</w:t>
      </w:r>
      <w:r w:rsidR="00542D4F">
        <w:rPr>
          <w:rFonts w:ascii="Arial" w:hAnsi="Arial" w:cs="Arial"/>
        </w:rPr>
        <w:t xml:space="preserve"> no prestan cobertura para los hechos objeto de controversia.</w:t>
      </w:r>
    </w:p>
    <w:p w14:paraId="758CC33F" w14:textId="2B96B457" w:rsidR="00542D4F" w:rsidRDefault="00542D4F" w:rsidP="00131CF8">
      <w:pPr>
        <w:jc w:val="both"/>
        <w:rPr>
          <w:rFonts w:ascii="Arial" w:hAnsi="Arial" w:cs="Arial"/>
        </w:rPr>
      </w:pPr>
      <w:r>
        <w:rPr>
          <w:rFonts w:ascii="Arial" w:hAnsi="Arial" w:cs="Arial"/>
        </w:rPr>
        <w:t xml:space="preserve">Lo primero que debe decirse es que la </w:t>
      </w:r>
      <w:bookmarkStart w:id="0" w:name="_Hlk206682976"/>
      <w:r>
        <w:rPr>
          <w:rFonts w:ascii="Arial" w:hAnsi="Arial" w:cs="Arial"/>
        </w:rPr>
        <w:t xml:space="preserve">Póliza de Directores y Administradores </w:t>
      </w:r>
      <w:bookmarkEnd w:id="0"/>
      <w:r>
        <w:rPr>
          <w:rFonts w:ascii="Arial" w:hAnsi="Arial" w:cs="Arial"/>
        </w:rPr>
        <w:t xml:space="preserve">No. </w:t>
      </w:r>
      <w:r w:rsidRPr="00542D4F">
        <w:rPr>
          <w:rFonts w:ascii="Arial" w:hAnsi="Arial" w:cs="Arial"/>
        </w:rPr>
        <w:t>1002366</w:t>
      </w:r>
      <w:r>
        <w:rPr>
          <w:rFonts w:ascii="Arial" w:hAnsi="Arial" w:cs="Arial"/>
        </w:rPr>
        <w:t xml:space="preserve">, </w:t>
      </w:r>
      <w:r w:rsidRPr="000174AD">
        <w:rPr>
          <w:rFonts w:ascii="Arial" w:hAnsi="Arial" w:cs="Arial"/>
          <w:u w:val="single"/>
        </w:rPr>
        <w:t>no presta cobertura material</w:t>
      </w:r>
      <w:r>
        <w:rPr>
          <w:rFonts w:ascii="Arial" w:hAnsi="Arial" w:cs="Arial"/>
        </w:rPr>
        <w:t xml:space="preserve">, pues se ampara en ella la responsabilidad de los cargos acordados en la caratula, dentro de los cuales no se encuentra el de “Profesional Universitario” que es el que ostentaba la señora </w:t>
      </w:r>
      <w:r w:rsidRPr="00542D4F">
        <w:rPr>
          <w:rFonts w:ascii="Arial" w:hAnsi="Arial" w:cs="Arial"/>
        </w:rPr>
        <w:t>Carmenza Buitrago Botero</w:t>
      </w:r>
      <w:r>
        <w:rPr>
          <w:rFonts w:ascii="Arial" w:hAnsi="Arial" w:cs="Arial"/>
        </w:rPr>
        <w:t xml:space="preserve">. Por otra parte, </w:t>
      </w:r>
      <w:r w:rsidRPr="000174AD">
        <w:rPr>
          <w:rFonts w:ascii="Arial" w:hAnsi="Arial" w:cs="Arial"/>
          <w:u w:val="single"/>
        </w:rPr>
        <w:t>no presta cobertura temporal</w:t>
      </w:r>
      <w:r>
        <w:rPr>
          <w:rFonts w:ascii="Arial" w:hAnsi="Arial" w:cs="Arial"/>
        </w:rPr>
        <w:t xml:space="preserve">, pues este seguro fue pactado bajo la modalidad Claims Made, por lo que se exige para su afectación de dos condiciones, que los hechos se hayan presentado dentro de la vigencia y/o la retroactividad, y que la reclamación se dé dentro de la vigencia, en este caso </w:t>
      </w:r>
      <w:r w:rsidRPr="00542D4F">
        <w:rPr>
          <w:rFonts w:ascii="Arial" w:hAnsi="Arial" w:cs="Arial"/>
        </w:rPr>
        <w:t xml:space="preserve">la notificación se dio el 26 de julio de 2024, </w:t>
      </w:r>
      <w:r>
        <w:rPr>
          <w:rFonts w:ascii="Arial" w:hAnsi="Arial" w:cs="Arial"/>
        </w:rPr>
        <w:t xml:space="preserve">mientras que las vigencias </w:t>
      </w:r>
      <w:r w:rsidR="002777EB">
        <w:rPr>
          <w:rFonts w:ascii="Arial" w:hAnsi="Arial" w:cs="Arial"/>
        </w:rPr>
        <w:t>del seguro tuvieron como extremos temporales,</w:t>
      </w:r>
      <w:r>
        <w:rPr>
          <w:rFonts w:ascii="Arial" w:hAnsi="Arial" w:cs="Arial"/>
        </w:rPr>
        <w:t xml:space="preserve"> el</w:t>
      </w:r>
      <w:r w:rsidRPr="00542D4F">
        <w:rPr>
          <w:rFonts w:ascii="Arial" w:hAnsi="Arial" w:cs="Arial"/>
        </w:rPr>
        <w:t xml:space="preserve"> 27 de noviembre de 2019</w:t>
      </w:r>
      <w:r>
        <w:rPr>
          <w:rFonts w:ascii="Arial" w:hAnsi="Arial" w:cs="Arial"/>
        </w:rPr>
        <w:t xml:space="preserve"> (anexo 0) y</w:t>
      </w:r>
      <w:r w:rsidRPr="00542D4F">
        <w:rPr>
          <w:rFonts w:ascii="Arial" w:hAnsi="Arial" w:cs="Arial"/>
        </w:rPr>
        <w:t xml:space="preserve"> el 08 de junio de 2021</w:t>
      </w:r>
      <w:r>
        <w:rPr>
          <w:rFonts w:ascii="Arial" w:hAnsi="Arial" w:cs="Arial"/>
        </w:rPr>
        <w:t xml:space="preserve"> (anexo 2), por lo que es dable concluir que la reclamación se dio fuera de la vigencia, y por tanto</w:t>
      </w:r>
      <w:r w:rsidR="002777EB">
        <w:rPr>
          <w:rFonts w:ascii="Arial" w:hAnsi="Arial" w:cs="Arial"/>
        </w:rPr>
        <w:t>,</w:t>
      </w:r>
      <w:r>
        <w:rPr>
          <w:rFonts w:ascii="Arial" w:hAnsi="Arial" w:cs="Arial"/>
        </w:rPr>
        <w:t xml:space="preserve"> no existe cobertura temporal.</w:t>
      </w:r>
    </w:p>
    <w:p w14:paraId="38340262" w14:textId="145674DC" w:rsidR="005701BC" w:rsidRDefault="005701BC" w:rsidP="00131CF8">
      <w:pPr>
        <w:jc w:val="both"/>
        <w:rPr>
          <w:rFonts w:ascii="Arial" w:hAnsi="Arial" w:cs="Arial"/>
        </w:rPr>
      </w:pPr>
      <w:r>
        <w:rPr>
          <w:rFonts w:ascii="Arial" w:hAnsi="Arial" w:cs="Arial"/>
        </w:rPr>
        <w:t xml:space="preserve">En consonancia con lo anterior debe decirse que la Póliza </w:t>
      </w:r>
      <w:r w:rsidRPr="005701BC">
        <w:rPr>
          <w:rFonts w:ascii="Arial" w:hAnsi="Arial" w:cs="Arial"/>
        </w:rPr>
        <w:t xml:space="preserve">de manejo </w:t>
      </w:r>
      <w:r>
        <w:rPr>
          <w:rFonts w:ascii="Arial" w:hAnsi="Arial" w:cs="Arial"/>
        </w:rPr>
        <w:t xml:space="preserve">No. </w:t>
      </w:r>
      <w:r w:rsidRPr="005701BC">
        <w:rPr>
          <w:rFonts w:ascii="Arial" w:hAnsi="Arial" w:cs="Arial"/>
        </w:rPr>
        <w:t>1002277</w:t>
      </w:r>
      <w:r w:rsidR="000174AD">
        <w:rPr>
          <w:rFonts w:ascii="Arial" w:hAnsi="Arial" w:cs="Arial"/>
        </w:rPr>
        <w:t xml:space="preserve">, </w:t>
      </w:r>
      <w:r w:rsidR="000174AD" w:rsidRPr="00055B20">
        <w:rPr>
          <w:rFonts w:ascii="Arial" w:hAnsi="Arial" w:cs="Arial"/>
          <w:u w:val="single"/>
        </w:rPr>
        <w:t>sí presta cobertura material</w:t>
      </w:r>
      <w:r w:rsidR="000174AD">
        <w:rPr>
          <w:rFonts w:ascii="Arial" w:hAnsi="Arial" w:cs="Arial"/>
        </w:rPr>
        <w:t xml:space="preserve">, pues ampara las pérdidas patrimoniales causados por </w:t>
      </w:r>
      <w:r w:rsidR="002777EB">
        <w:rPr>
          <w:rFonts w:ascii="Arial" w:hAnsi="Arial" w:cs="Arial"/>
        </w:rPr>
        <w:t>empleados</w:t>
      </w:r>
      <w:r w:rsidR="000174AD">
        <w:rPr>
          <w:rFonts w:ascii="Arial" w:hAnsi="Arial" w:cs="Arial"/>
        </w:rPr>
        <w:t xml:space="preserve"> de la entidad</w:t>
      </w:r>
      <w:r w:rsidR="002777EB">
        <w:rPr>
          <w:rFonts w:ascii="Arial" w:hAnsi="Arial" w:cs="Arial"/>
        </w:rPr>
        <w:t xml:space="preserve">, situación que se adapta al cargo de </w:t>
      </w:r>
      <w:r w:rsidR="002777EB" w:rsidRPr="002777EB">
        <w:rPr>
          <w:rFonts w:ascii="Arial" w:hAnsi="Arial" w:cs="Arial"/>
        </w:rPr>
        <w:t>“Profesional Universitario” que ostentaba la señora Carmenza Buitrago Botero</w:t>
      </w:r>
      <w:r w:rsidR="002777EB">
        <w:rPr>
          <w:rFonts w:ascii="Arial" w:hAnsi="Arial" w:cs="Arial"/>
        </w:rPr>
        <w:t xml:space="preserve">. Por otra parte, </w:t>
      </w:r>
      <w:r w:rsidR="002777EB" w:rsidRPr="00055B20">
        <w:rPr>
          <w:rFonts w:ascii="Arial" w:hAnsi="Arial" w:cs="Arial"/>
          <w:u w:val="single"/>
        </w:rPr>
        <w:t>no presta cobertura temporal</w:t>
      </w:r>
      <w:r w:rsidR="002777EB">
        <w:rPr>
          <w:rFonts w:ascii="Arial" w:hAnsi="Arial" w:cs="Arial"/>
        </w:rPr>
        <w:t xml:space="preserve">, pues esta fue pactada en modalidad descubrimiento, por lo que para su afectación se debe tener en cuenta el momento en que se descubrió la pérdida, momento que, según los conceptos del Consejo de Estado, debe entenderse con la expedición del auto de apertura, situación que en el presente caso se dio con el Auto </w:t>
      </w:r>
      <w:r w:rsidR="002777EB" w:rsidRPr="002777EB">
        <w:rPr>
          <w:rFonts w:ascii="Arial" w:hAnsi="Arial" w:cs="Arial"/>
        </w:rPr>
        <w:t>No. 78 del 20 de abril del 2022</w:t>
      </w:r>
      <w:r w:rsidR="002777EB">
        <w:rPr>
          <w:rFonts w:ascii="Arial" w:hAnsi="Arial" w:cs="Arial"/>
        </w:rPr>
        <w:t xml:space="preserve">, </w:t>
      </w:r>
      <w:r w:rsidR="002777EB">
        <w:rPr>
          <w:rFonts w:ascii="Arial" w:hAnsi="Arial" w:cs="Arial"/>
        </w:rPr>
        <w:t>mientras que las vigencias del seguro tuvieron como extremos temporales, el</w:t>
      </w:r>
      <w:r w:rsidR="002777EB" w:rsidRPr="00542D4F">
        <w:rPr>
          <w:rFonts w:ascii="Arial" w:hAnsi="Arial" w:cs="Arial"/>
        </w:rPr>
        <w:t xml:space="preserve"> </w:t>
      </w:r>
      <w:r w:rsidR="002777EB">
        <w:rPr>
          <w:rFonts w:ascii="Arial" w:hAnsi="Arial" w:cs="Arial"/>
        </w:rPr>
        <w:t xml:space="preserve">27 de noviembre de 2019 (anexo 0) y el 08 de junio de 2021 (anexo 1), </w:t>
      </w:r>
      <w:r w:rsidR="002777EB">
        <w:rPr>
          <w:rFonts w:ascii="Arial" w:hAnsi="Arial" w:cs="Arial"/>
        </w:rPr>
        <w:t>por lo que es dable concluir que la reclamación se dio fuera de la vigencia, y por tanto</w:t>
      </w:r>
      <w:r w:rsidR="002777EB">
        <w:rPr>
          <w:rFonts w:ascii="Arial" w:hAnsi="Arial" w:cs="Arial"/>
        </w:rPr>
        <w:t>,</w:t>
      </w:r>
      <w:r w:rsidR="002777EB">
        <w:rPr>
          <w:rFonts w:ascii="Arial" w:hAnsi="Arial" w:cs="Arial"/>
        </w:rPr>
        <w:t xml:space="preserve"> no existe cobertura temporal</w:t>
      </w:r>
      <w:r w:rsidR="00055B20">
        <w:rPr>
          <w:rFonts w:ascii="Arial" w:hAnsi="Arial" w:cs="Arial"/>
        </w:rPr>
        <w:t>.</w:t>
      </w:r>
    </w:p>
    <w:p w14:paraId="4888C5FE" w14:textId="66C83554" w:rsidR="00542D4F" w:rsidRDefault="00055B20" w:rsidP="00131CF8">
      <w:pPr>
        <w:jc w:val="both"/>
        <w:rPr>
          <w:rFonts w:ascii="Arial" w:hAnsi="Arial" w:cs="Arial"/>
        </w:rPr>
      </w:pPr>
      <w:r>
        <w:rPr>
          <w:rFonts w:ascii="Arial" w:hAnsi="Arial" w:cs="Arial"/>
        </w:rPr>
        <w:t xml:space="preserve">Ahora bien, frente a la responsabilidad de la vinculada, debe decirse que en sus versiones libres ha manifestado que está soportada la entrega de todos los productos contratados, y aunque tras la primera versión estaba pendiente la aclaración de dos municipios, en la audiencia llevada a cabo el 20 de agosto de 2025, manifestó que obtuvo una </w:t>
      </w:r>
      <w:r w:rsidRPr="00055B20">
        <w:rPr>
          <w:rFonts w:ascii="Arial" w:hAnsi="Arial" w:cs="Arial"/>
        </w:rPr>
        <w:t xml:space="preserve">carta </w:t>
      </w:r>
      <w:r>
        <w:rPr>
          <w:rFonts w:ascii="Arial" w:hAnsi="Arial" w:cs="Arial"/>
        </w:rPr>
        <w:t xml:space="preserve">de </w:t>
      </w:r>
      <w:r w:rsidRPr="00055B20">
        <w:rPr>
          <w:rFonts w:ascii="Arial" w:hAnsi="Arial" w:cs="Arial"/>
        </w:rPr>
        <w:t>25 de junio de 2020</w:t>
      </w:r>
      <w:r>
        <w:rPr>
          <w:rFonts w:ascii="Arial" w:hAnsi="Arial" w:cs="Arial"/>
        </w:rPr>
        <w:t>, en la cual se observan</w:t>
      </w:r>
      <w:r w:rsidRPr="00055B20">
        <w:rPr>
          <w:rFonts w:ascii="Arial" w:hAnsi="Arial" w:cs="Arial"/>
        </w:rPr>
        <w:t xml:space="preserve"> los registros de todas las personas que recibieron las ayudas en Santa Rosa y Quinchía</w:t>
      </w:r>
      <w:r w:rsidR="00D560FA">
        <w:rPr>
          <w:rFonts w:ascii="Arial" w:hAnsi="Arial" w:cs="Arial"/>
        </w:rPr>
        <w:t>, que son los municipios</w:t>
      </w:r>
      <w:r w:rsidRPr="00055B20">
        <w:rPr>
          <w:rFonts w:ascii="Arial" w:hAnsi="Arial" w:cs="Arial"/>
        </w:rPr>
        <w:t xml:space="preserve"> que </w:t>
      </w:r>
      <w:r w:rsidR="00D560FA">
        <w:rPr>
          <w:rFonts w:ascii="Arial" w:hAnsi="Arial" w:cs="Arial"/>
        </w:rPr>
        <w:t xml:space="preserve">presuntamente </w:t>
      </w:r>
      <w:r w:rsidRPr="00055B20">
        <w:rPr>
          <w:rFonts w:ascii="Arial" w:hAnsi="Arial" w:cs="Arial"/>
        </w:rPr>
        <w:t xml:space="preserve">no </w:t>
      </w:r>
      <w:r w:rsidRPr="00055B20">
        <w:rPr>
          <w:rFonts w:ascii="Arial" w:hAnsi="Arial" w:cs="Arial"/>
        </w:rPr>
        <w:lastRenderedPageBreak/>
        <w:t>aparecen</w:t>
      </w:r>
      <w:r w:rsidR="00D560FA">
        <w:rPr>
          <w:rFonts w:ascii="Arial" w:hAnsi="Arial" w:cs="Arial"/>
        </w:rPr>
        <w:t xml:space="preserve"> dentro de los receptores de los productos. Sobre dicha carta se generó el compromiso de ser allegada al despacho para su análisis. Sumado a ello, el representante legal de la empresa contratista manifestó que, mediante escrito del </w:t>
      </w:r>
      <w:r w:rsidR="00D560FA">
        <w:rPr>
          <w:rFonts w:ascii="Arial" w:hAnsi="Arial" w:cs="Arial"/>
        </w:rPr>
        <w:t>viernes 15 de agosto</w:t>
      </w:r>
      <w:r w:rsidR="00D560FA">
        <w:rPr>
          <w:rFonts w:ascii="Arial" w:hAnsi="Arial" w:cs="Arial"/>
        </w:rPr>
        <w:t xml:space="preserve"> de 2025, acercó al despacho las pruebas de haber entregado todos los elementos contratados (inclusive 8 de más), y aclaró que su compromiso era el de entregar los paquetes, más no distribuirlos, por lo que no puede cuestionarse el cumplimiento de sus obligaciones contractuales.</w:t>
      </w:r>
    </w:p>
    <w:p w14:paraId="5EC9F573" w14:textId="01A30A21" w:rsidR="00414A4C" w:rsidRDefault="00D560FA" w:rsidP="00131CF8">
      <w:pPr>
        <w:jc w:val="both"/>
        <w:rPr>
          <w:rFonts w:ascii="Arial" w:hAnsi="Arial" w:cs="Arial"/>
        </w:rPr>
      </w:pPr>
      <w:r>
        <w:rPr>
          <w:rFonts w:ascii="Arial" w:hAnsi="Arial" w:cs="Arial"/>
        </w:rPr>
        <w:t>P</w:t>
      </w:r>
      <w:r w:rsidR="002F6D9C">
        <w:rPr>
          <w:rFonts w:ascii="Arial" w:hAnsi="Arial" w:cs="Arial"/>
        </w:rPr>
        <w:t>or</w:t>
      </w:r>
      <w:r w:rsidR="000B1F71" w:rsidRPr="0002316D">
        <w:rPr>
          <w:rFonts w:ascii="Arial" w:hAnsi="Arial" w:cs="Arial"/>
        </w:rPr>
        <w:t xml:space="preserve"> tal</w:t>
      </w:r>
      <w:r>
        <w:rPr>
          <w:rFonts w:ascii="Arial" w:hAnsi="Arial" w:cs="Arial"/>
        </w:rPr>
        <w:t>es</w:t>
      </w:r>
      <w:r w:rsidR="000B1F71" w:rsidRPr="0002316D">
        <w:rPr>
          <w:rFonts w:ascii="Arial" w:hAnsi="Arial" w:cs="Arial"/>
        </w:rPr>
        <w:t xml:space="preserve"> motivo</w:t>
      </w:r>
      <w:r>
        <w:rPr>
          <w:rFonts w:ascii="Arial" w:hAnsi="Arial" w:cs="Arial"/>
        </w:rPr>
        <w:t>s</w:t>
      </w:r>
      <w:r w:rsidR="000B1F71" w:rsidRPr="0002316D">
        <w:rPr>
          <w:rFonts w:ascii="Arial" w:hAnsi="Arial" w:cs="Arial"/>
        </w:rPr>
        <w:t xml:space="preserve"> la contingencia se califica como </w:t>
      </w:r>
      <w:r>
        <w:rPr>
          <w:rFonts w:ascii="Arial" w:hAnsi="Arial" w:cs="Arial"/>
          <w:b/>
        </w:rPr>
        <w:t>REMOTA</w:t>
      </w:r>
      <w:r w:rsidR="00F622E7">
        <w:rPr>
          <w:rFonts w:ascii="Arial" w:hAnsi="Arial" w:cs="Arial"/>
        </w:rPr>
        <w:t>.</w:t>
      </w:r>
    </w:p>
    <w:p w14:paraId="3EAC7E1E" w14:textId="6CEC309D" w:rsidR="00F622E7" w:rsidRPr="0002316D" w:rsidRDefault="00A33E7C" w:rsidP="00131CF8">
      <w:pPr>
        <w:jc w:val="both"/>
        <w:rPr>
          <w:rFonts w:ascii="Arial" w:hAnsi="Arial" w:cs="Arial"/>
        </w:rPr>
      </w:pPr>
      <w:r>
        <w:rPr>
          <w:rFonts w:ascii="Arial" w:hAnsi="Arial" w:cs="Arial"/>
        </w:rPr>
        <w:t xml:space="preserve"> </w:t>
      </w:r>
    </w:p>
    <w:p w14:paraId="55744D67" w14:textId="77777777" w:rsidR="00131CF8" w:rsidRDefault="00414A4C" w:rsidP="00131CF8">
      <w:pPr>
        <w:jc w:val="both"/>
        <w:rPr>
          <w:rFonts w:ascii="Arial" w:hAnsi="Arial" w:cs="Arial"/>
        </w:rPr>
      </w:pPr>
      <w:r w:rsidRPr="0002316D">
        <w:rPr>
          <w:rFonts w:ascii="Arial" w:hAnsi="Arial" w:cs="Arial"/>
          <w:b/>
          <w:bCs/>
        </w:rPr>
        <w:t>LIQUIDACIÓN OBJETIVA</w:t>
      </w:r>
      <w:r w:rsidRPr="0002316D">
        <w:rPr>
          <w:rFonts w:ascii="Arial" w:hAnsi="Arial" w:cs="Arial"/>
        </w:rPr>
        <w:t>:</w:t>
      </w:r>
    </w:p>
    <w:p w14:paraId="0171EA6F" w14:textId="63DDF1E9" w:rsidR="00135EE5" w:rsidRDefault="00131CF8" w:rsidP="00131CF8">
      <w:pPr>
        <w:jc w:val="both"/>
        <w:rPr>
          <w:rFonts w:ascii="Arial" w:hAnsi="Arial" w:cs="Arial"/>
        </w:rPr>
      </w:pPr>
      <w:r>
        <w:rPr>
          <w:rFonts w:ascii="Arial" w:hAnsi="Arial" w:cs="Arial"/>
        </w:rPr>
        <w:t xml:space="preserve">Frente a la </w:t>
      </w:r>
      <w:r w:rsidRPr="00131CF8">
        <w:rPr>
          <w:rFonts w:ascii="Arial" w:hAnsi="Arial" w:cs="Arial"/>
        </w:rPr>
        <w:t>Póliza de Directores y Administradores No. 1002366</w:t>
      </w:r>
      <w:r>
        <w:rPr>
          <w:rFonts w:ascii="Arial" w:hAnsi="Arial" w:cs="Arial"/>
        </w:rPr>
        <w:t>:</w:t>
      </w:r>
      <w:r w:rsidR="00414A4C" w:rsidRPr="0002316D">
        <w:rPr>
          <w:rFonts w:ascii="Arial" w:hAnsi="Arial" w:cs="Arial"/>
        </w:rPr>
        <w:t xml:space="preserve"> </w:t>
      </w:r>
      <w:r w:rsidRPr="00131CF8">
        <w:rPr>
          <w:rFonts w:ascii="Arial" w:hAnsi="Arial" w:cs="Arial"/>
          <w:b/>
          <w:bCs/>
          <w:u w:val="single"/>
        </w:rPr>
        <w:t>$85.264.400</w:t>
      </w:r>
      <w:r w:rsidR="00414A4C" w:rsidRPr="0002316D">
        <w:rPr>
          <w:rFonts w:ascii="Arial" w:hAnsi="Arial" w:cs="Arial"/>
        </w:rPr>
        <w:t xml:space="preserve">. A este valor se llegó tomando el total de la pérdida de </w:t>
      </w:r>
      <w:r>
        <w:rPr>
          <w:rFonts w:ascii="Arial" w:hAnsi="Arial" w:cs="Arial"/>
        </w:rPr>
        <w:t>$</w:t>
      </w:r>
      <w:r w:rsidRPr="00131CF8">
        <w:rPr>
          <w:rFonts w:ascii="Arial" w:hAnsi="Arial" w:cs="Arial"/>
        </w:rPr>
        <w:t>213.161.000</w:t>
      </w:r>
      <w:r w:rsidR="00D810D7">
        <w:rPr>
          <w:rFonts w:ascii="Arial" w:hAnsi="Arial" w:cs="Arial"/>
        </w:rPr>
        <w:t xml:space="preserve">, cifra </w:t>
      </w:r>
      <w:r>
        <w:rPr>
          <w:rFonts w:ascii="Arial" w:hAnsi="Arial" w:cs="Arial"/>
        </w:rPr>
        <w:t xml:space="preserve">de la que se extrae el porcentaje de participación de la compañía, que para el caso es de 40%, por lo </w:t>
      </w:r>
      <w:r w:rsidR="00C5312A">
        <w:rPr>
          <w:rFonts w:ascii="Arial" w:hAnsi="Arial" w:cs="Arial"/>
        </w:rPr>
        <w:t>que,</w:t>
      </w:r>
      <w:r>
        <w:rPr>
          <w:rFonts w:ascii="Arial" w:hAnsi="Arial" w:cs="Arial"/>
        </w:rPr>
        <w:t xml:space="preserve"> para este </w:t>
      </w:r>
      <w:r w:rsidR="00256F5B">
        <w:rPr>
          <w:rFonts w:ascii="Arial" w:hAnsi="Arial" w:cs="Arial"/>
        </w:rPr>
        <w:t>seguro,</w:t>
      </w:r>
      <w:r>
        <w:rPr>
          <w:rFonts w:ascii="Arial" w:hAnsi="Arial" w:cs="Arial"/>
        </w:rPr>
        <w:t xml:space="preserve"> el total a cargo de la Aseguradora Solidaria sería de $85.264.400</w:t>
      </w:r>
      <w:r w:rsidR="009A0C03">
        <w:rPr>
          <w:rFonts w:ascii="Arial" w:hAnsi="Arial" w:cs="Arial"/>
        </w:rPr>
        <w:t>.</w:t>
      </w:r>
    </w:p>
    <w:p w14:paraId="7275301F" w14:textId="7FB338F6" w:rsidR="00026E5C" w:rsidRDefault="00026E5C" w:rsidP="00131CF8">
      <w:pPr>
        <w:pStyle w:val="Prrafodelista"/>
        <w:numPr>
          <w:ilvl w:val="0"/>
          <w:numId w:val="3"/>
        </w:numPr>
        <w:jc w:val="both"/>
        <w:rPr>
          <w:rFonts w:ascii="Arial" w:hAnsi="Arial" w:cs="Arial"/>
        </w:rPr>
      </w:pPr>
      <w:r>
        <w:rPr>
          <w:rFonts w:ascii="Arial" w:hAnsi="Arial" w:cs="Arial"/>
        </w:rPr>
        <w:t xml:space="preserve">En </w:t>
      </w:r>
      <w:r w:rsidR="005A5B50">
        <w:rPr>
          <w:rFonts w:ascii="Arial" w:hAnsi="Arial" w:cs="Arial"/>
        </w:rPr>
        <w:t>este</w:t>
      </w:r>
      <w:r>
        <w:rPr>
          <w:rFonts w:ascii="Arial" w:hAnsi="Arial" w:cs="Arial"/>
        </w:rPr>
        <w:t xml:space="preserve"> </w:t>
      </w:r>
      <w:r w:rsidR="005A5B50">
        <w:rPr>
          <w:rFonts w:ascii="Arial" w:hAnsi="Arial" w:cs="Arial"/>
        </w:rPr>
        <w:t>seguro</w:t>
      </w:r>
      <w:r>
        <w:rPr>
          <w:rFonts w:ascii="Arial" w:hAnsi="Arial" w:cs="Arial"/>
        </w:rPr>
        <w:t xml:space="preserve"> no existe </w:t>
      </w:r>
      <w:r w:rsidR="005A5B50">
        <w:rPr>
          <w:rFonts w:ascii="Arial" w:hAnsi="Arial" w:cs="Arial"/>
        </w:rPr>
        <w:t>deducible</w:t>
      </w:r>
    </w:p>
    <w:p w14:paraId="1ECDA2BF" w14:textId="6702B6C0" w:rsidR="009A0C03" w:rsidRDefault="005A5B50" w:rsidP="005A5B50">
      <w:pPr>
        <w:jc w:val="both"/>
        <w:rPr>
          <w:rFonts w:ascii="Arial" w:hAnsi="Arial" w:cs="Arial"/>
        </w:rPr>
      </w:pPr>
      <w:r>
        <w:rPr>
          <w:rFonts w:ascii="Arial" w:hAnsi="Arial" w:cs="Arial"/>
        </w:rPr>
        <w:t>Se recomienda como reserva el 10% de la suma correspondiente dada la contingencia remota, es decir la suma de $8.</w:t>
      </w:r>
      <w:r w:rsidR="004E0121">
        <w:rPr>
          <w:rFonts w:ascii="Arial" w:hAnsi="Arial" w:cs="Arial"/>
        </w:rPr>
        <w:t>526.440.</w:t>
      </w:r>
    </w:p>
    <w:p w14:paraId="55B6D4B6" w14:textId="2A3E9FFD" w:rsidR="00256F5B" w:rsidRDefault="00256F5B" w:rsidP="00256F5B">
      <w:pPr>
        <w:jc w:val="both"/>
        <w:rPr>
          <w:rFonts w:ascii="Arial" w:hAnsi="Arial" w:cs="Arial"/>
        </w:rPr>
      </w:pPr>
      <w:r>
        <w:rPr>
          <w:rFonts w:ascii="Arial" w:hAnsi="Arial" w:cs="Arial"/>
        </w:rPr>
        <w:t xml:space="preserve">Frente a la </w:t>
      </w:r>
      <w:r w:rsidRPr="00131CF8">
        <w:rPr>
          <w:rFonts w:ascii="Arial" w:hAnsi="Arial" w:cs="Arial"/>
        </w:rPr>
        <w:t>Póliza de Directores y Administradores No. 1002</w:t>
      </w:r>
      <w:r>
        <w:rPr>
          <w:rFonts w:ascii="Arial" w:hAnsi="Arial" w:cs="Arial"/>
        </w:rPr>
        <w:t>277</w:t>
      </w:r>
      <w:r>
        <w:rPr>
          <w:rFonts w:ascii="Arial" w:hAnsi="Arial" w:cs="Arial"/>
        </w:rPr>
        <w:t>:</w:t>
      </w:r>
      <w:r w:rsidRPr="0002316D">
        <w:rPr>
          <w:rFonts w:ascii="Arial" w:hAnsi="Arial" w:cs="Arial"/>
        </w:rPr>
        <w:t xml:space="preserve"> </w:t>
      </w:r>
      <w:r w:rsidRPr="00256F5B">
        <w:rPr>
          <w:rFonts w:ascii="Arial" w:hAnsi="Arial" w:cs="Arial"/>
          <w:b/>
          <w:bCs/>
          <w:u w:val="single"/>
        </w:rPr>
        <w:t>$84.174.169</w:t>
      </w:r>
      <w:r w:rsidRPr="0002316D">
        <w:rPr>
          <w:rFonts w:ascii="Arial" w:hAnsi="Arial" w:cs="Arial"/>
        </w:rPr>
        <w:t xml:space="preserve">. A este valor se llegó tomando el total de la pérdida de </w:t>
      </w:r>
      <w:r>
        <w:rPr>
          <w:rFonts w:ascii="Arial" w:hAnsi="Arial" w:cs="Arial"/>
        </w:rPr>
        <w:t>$</w:t>
      </w:r>
      <w:r w:rsidRPr="00131CF8">
        <w:rPr>
          <w:rFonts w:ascii="Arial" w:hAnsi="Arial" w:cs="Arial"/>
        </w:rPr>
        <w:t>213.161.000</w:t>
      </w:r>
      <w:r>
        <w:rPr>
          <w:rFonts w:ascii="Arial" w:hAnsi="Arial" w:cs="Arial"/>
        </w:rPr>
        <w:t xml:space="preserve">, cifra de la que se </w:t>
      </w:r>
      <w:r>
        <w:rPr>
          <w:rFonts w:ascii="Arial" w:hAnsi="Arial" w:cs="Arial"/>
        </w:rPr>
        <w:t>resta el valor del deducible, en este caso se pactó el 1% de la pérdida o mínimo 3 SMMLV (de 2021 que es el año del anexo a afectar), por ello se toman los 3 SMMLV porque arrojan un valor mayor</w:t>
      </w:r>
      <w:r>
        <w:rPr>
          <w:rStyle w:val="Refdenotaalpie"/>
          <w:rFonts w:ascii="Arial" w:hAnsi="Arial" w:cs="Arial"/>
        </w:rPr>
        <w:footnoteReference w:id="1"/>
      </w:r>
      <w:r>
        <w:rPr>
          <w:rFonts w:ascii="Arial" w:hAnsi="Arial" w:cs="Arial"/>
        </w:rPr>
        <w:t xml:space="preserve"> que el que arroja el 1% de la perdida.</w:t>
      </w:r>
      <w:r>
        <w:rPr>
          <w:rStyle w:val="Refdenotaalpie"/>
          <w:rFonts w:ascii="Arial" w:hAnsi="Arial" w:cs="Arial"/>
        </w:rPr>
        <w:footnoteReference w:id="2"/>
      </w:r>
      <w:r>
        <w:rPr>
          <w:rFonts w:ascii="Arial" w:hAnsi="Arial" w:cs="Arial"/>
        </w:rPr>
        <w:t xml:space="preserve"> Así entonces, $213.161.000 - $2</w:t>
      </w:r>
      <w:r w:rsidR="00C5312A">
        <w:rPr>
          <w:rFonts w:ascii="Arial" w:hAnsi="Arial" w:cs="Arial"/>
        </w:rPr>
        <w:t>.</w:t>
      </w:r>
      <w:r>
        <w:rPr>
          <w:rFonts w:ascii="Arial" w:hAnsi="Arial" w:cs="Arial"/>
        </w:rPr>
        <w:t xml:space="preserve">725.578 = $210.435.422, de este valor </w:t>
      </w:r>
      <w:r>
        <w:rPr>
          <w:rFonts w:ascii="Arial" w:hAnsi="Arial" w:cs="Arial"/>
        </w:rPr>
        <w:t>extrae el porcentaje de participación de la compañía, que para el caso es de 40%, por lo que</w:t>
      </w:r>
      <w:r w:rsidR="00C5312A">
        <w:rPr>
          <w:rFonts w:ascii="Arial" w:hAnsi="Arial" w:cs="Arial"/>
        </w:rPr>
        <w:t>,</w:t>
      </w:r>
      <w:r>
        <w:rPr>
          <w:rFonts w:ascii="Arial" w:hAnsi="Arial" w:cs="Arial"/>
        </w:rPr>
        <w:t xml:space="preserve"> para este </w:t>
      </w:r>
      <w:r>
        <w:rPr>
          <w:rFonts w:ascii="Arial" w:hAnsi="Arial" w:cs="Arial"/>
        </w:rPr>
        <w:t>seguro,</w:t>
      </w:r>
      <w:r>
        <w:rPr>
          <w:rFonts w:ascii="Arial" w:hAnsi="Arial" w:cs="Arial"/>
        </w:rPr>
        <w:t xml:space="preserve"> el total a cargo de la Aseguradora Solidaria sería de $8</w:t>
      </w:r>
      <w:r>
        <w:rPr>
          <w:rFonts w:ascii="Arial" w:hAnsi="Arial" w:cs="Arial"/>
        </w:rPr>
        <w:t>4</w:t>
      </w:r>
      <w:r>
        <w:rPr>
          <w:rFonts w:ascii="Arial" w:hAnsi="Arial" w:cs="Arial"/>
        </w:rPr>
        <w:t>.</w:t>
      </w:r>
      <w:r>
        <w:rPr>
          <w:rFonts w:ascii="Arial" w:hAnsi="Arial" w:cs="Arial"/>
        </w:rPr>
        <w:t>17</w:t>
      </w:r>
      <w:r>
        <w:rPr>
          <w:rFonts w:ascii="Arial" w:hAnsi="Arial" w:cs="Arial"/>
        </w:rPr>
        <w:t>4.</w:t>
      </w:r>
      <w:r>
        <w:rPr>
          <w:rFonts w:ascii="Arial" w:hAnsi="Arial" w:cs="Arial"/>
        </w:rPr>
        <w:t>169.</w:t>
      </w:r>
    </w:p>
    <w:p w14:paraId="7430A16D" w14:textId="71278AEC" w:rsidR="00256F5B" w:rsidRPr="005A5B50" w:rsidRDefault="00256F5B" w:rsidP="00256F5B">
      <w:pPr>
        <w:jc w:val="both"/>
        <w:rPr>
          <w:rFonts w:ascii="Arial" w:hAnsi="Arial" w:cs="Arial"/>
        </w:rPr>
      </w:pPr>
      <w:r>
        <w:rPr>
          <w:rFonts w:ascii="Arial" w:hAnsi="Arial" w:cs="Arial"/>
        </w:rPr>
        <w:t>Se recomienda como reserva el 10% de la suma correspondiente dada la contingencia remota, es decir la suma de $8.</w:t>
      </w:r>
      <w:r>
        <w:rPr>
          <w:rFonts w:ascii="Arial" w:hAnsi="Arial" w:cs="Arial"/>
        </w:rPr>
        <w:t>417</w:t>
      </w:r>
      <w:r>
        <w:rPr>
          <w:rFonts w:ascii="Arial" w:hAnsi="Arial" w:cs="Arial"/>
        </w:rPr>
        <w:t>.</w:t>
      </w:r>
      <w:r>
        <w:rPr>
          <w:rFonts w:ascii="Arial" w:hAnsi="Arial" w:cs="Arial"/>
        </w:rPr>
        <w:t>417</w:t>
      </w:r>
      <w:r>
        <w:rPr>
          <w:rFonts w:ascii="Arial" w:hAnsi="Arial" w:cs="Arial"/>
        </w:rPr>
        <w:t>.</w:t>
      </w:r>
    </w:p>
    <w:sectPr w:rsidR="00256F5B" w:rsidRPr="005A5B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AAEB" w14:textId="77777777" w:rsidR="00C20E35" w:rsidRDefault="00C20E35" w:rsidP="00E94632">
      <w:pPr>
        <w:spacing w:after="0" w:line="240" w:lineRule="auto"/>
      </w:pPr>
      <w:r>
        <w:separator/>
      </w:r>
    </w:p>
  </w:endnote>
  <w:endnote w:type="continuationSeparator" w:id="0">
    <w:p w14:paraId="448EC828" w14:textId="77777777" w:rsidR="00C20E35" w:rsidRDefault="00C20E35"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450D" w14:textId="77777777" w:rsidR="00C20E35" w:rsidRDefault="00C20E35" w:rsidP="00E94632">
      <w:pPr>
        <w:spacing w:after="0" w:line="240" w:lineRule="auto"/>
      </w:pPr>
      <w:r>
        <w:separator/>
      </w:r>
    </w:p>
  </w:footnote>
  <w:footnote w:type="continuationSeparator" w:id="0">
    <w:p w14:paraId="57424643" w14:textId="77777777" w:rsidR="00C20E35" w:rsidRDefault="00C20E35" w:rsidP="00E94632">
      <w:pPr>
        <w:spacing w:after="0" w:line="240" w:lineRule="auto"/>
      </w:pPr>
      <w:r>
        <w:continuationSeparator/>
      </w:r>
    </w:p>
  </w:footnote>
  <w:footnote w:id="1">
    <w:p w14:paraId="40E60779" w14:textId="36991AAA" w:rsidR="00256F5B" w:rsidRDefault="00256F5B">
      <w:pPr>
        <w:pStyle w:val="Textonotapie"/>
      </w:pPr>
      <w:r>
        <w:rPr>
          <w:rStyle w:val="Refdenotaalpie"/>
        </w:rPr>
        <w:footnoteRef/>
      </w:r>
      <w:r>
        <w:t xml:space="preserve"> </w:t>
      </w:r>
      <w:r w:rsidRPr="00256F5B">
        <w:t>$2.725.578</w:t>
      </w:r>
    </w:p>
  </w:footnote>
  <w:footnote w:id="2">
    <w:p w14:paraId="087C5722" w14:textId="07E96C84" w:rsidR="00256F5B" w:rsidRDefault="00256F5B">
      <w:pPr>
        <w:pStyle w:val="Textonotapie"/>
      </w:pPr>
      <w:r>
        <w:rPr>
          <w:rStyle w:val="Refdenotaalpie"/>
        </w:rPr>
        <w:footnoteRef/>
      </w:r>
      <w:r>
        <w:t xml:space="preserve"> $2.131.610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15:restartNumberingAfterBreak="0">
    <w:nsid w:val="6EFF03B3"/>
    <w:multiLevelType w:val="hybridMultilevel"/>
    <w:tmpl w:val="CE983A34"/>
    <w:lvl w:ilvl="0" w:tplc="7AE4E1C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6991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833321">
    <w:abstractNumId w:val="1"/>
  </w:num>
  <w:num w:numId="3" w16cid:durableId="213170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7"/>
    <w:rsid w:val="000174AD"/>
    <w:rsid w:val="0002316D"/>
    <w:rsid w:val="00026E5C"/>
    <w:rsid w:val="00030C2E"/>
    <w:rsid w:val="00031B15"/>
    <w:rsid w:val="00055B20"/>
    <w:rsid w:val="000606D2"/>
    <w:rsid w:val="000965DB"/>
    <w:rsid w:val="000A0DDF"/>
    <w:rsid w:val="000B1F71"/>
    <w:rsid w:val="000E50EE"/>
    <w:rsid w:val="0011438C"/>
    <w:rsid w:val="001149F2"/>
    <w:rsid w:val="001160B8"/>
    <w:rsid w:val="00121BE2"/>
    <w:rsid w:val="00131CF8"/>
    <w:rsid w:val="00135EE5"/>
    <w:rsid w:val="001801C8"/>
    <w:rsid w:val="00186AF7"/>
    <w:rsid w:val="001B1362"/>
    <w:rsid w:val="001B7C2F"/>
    <w:rsid w:val="00203926"/>
    <w:rsid w:val="0024294D"/>
    <w:rsid w:val="00244333"/>
    <w:rsid w:val="00256138"/>
    <w:rsid w:val="00256F5B"/>
    <w:rsid w:val="0026447D"/>
    <w:rsid w:val="0026608F"/>
    <w:rsid w:val="002777EB"/>
    <w:rsid w:val="00286869"/>
    <w:rsid w:val="002911B7"/>
    <w:rsid w:val="002F6D9C"/>
    <w:rsid w:val="00326763"/>
    <w:rsid w:val="00333F61"/>
    <w:rsid w:val="0033485E"/>
    <w:rsid w:val="00336C63"/>
    <w:rsid w:val="003537D3"/>
    <w:rsid w:val="0038553D"/>
    <w:rsid w:val="0039161F"/>
    <w:rsid w:val="00396A74"/>
    <w:rsid w:val="003A08E6"/>
    <w:rsid w:val="003D566F"/>
    <w:rsid w:val="003E3007"/>
    <w:rsid w:val="00401B94"/>
    <w:rsid w:val="00414A4C"/>
    <w:rsid w:val="00490C04"/>
    <w:rsid w:val="00495842"/>
    <w:rsid w:val="004A6EE8"/>
    <w:rsid w:val="004C02E8"/>
    <w:rsid w:val="004E0121"/>
    <w:rsid w:val="004E2EAD"/>
    <w:rsid w:val="00502567"/>
    <w:rsid w:val="00531834"/>
    <w:rsid w:val="00542D4F"/>
    <w:rsid w:val="005701BC"/>
    <w:rsid w:val="005A5B50"/>
    <w:rsid w:val="005F41BD"/>
    <w:rsid w:val="005F61F0"/>
    <w:rsid w:val="006224D3"/>
    <w:rsid w:val="00632F2A"/>
    <w:rsid w:val="006369CB"/>
    <w:rsid w:val="006A14A5"/>
    <w:rsid w:val="006C2B72"/>
    <w:rsid w:val="006C7732"/>
    <w:rsid w:val="006F1D5C"/>
    <w:rsid w:val="00712B90"/>
    <w:rsid w:val="007411F0"/>
    <w:rsid w:val="00742D04"/>
    <w:rsid w:val="007457C4"/>
    <w:rsid w:val="00751EB4"/>
    <w:rsid w:val="00752865"/>
    <w:rsid w:val="00753BF0"/>
    <w:rsid w:val="0077546F"/>
    <w:rsid w:val="0078618E"/>
    <w:rsid w:val="00791634"/>
    <w:rsid w:val="00797B2F"/>
    <w:rsid w:val="007D385C"/>
    <w:rsid w:val="00817E2E"/>
    <w:rsid w:val="00821009"/>
    <w:rsid w:val="0082102A"/>
    <w:rsid w:val="00832BAC"/>
    <w:rsid w:val="0083350E"/>
    <w:rsid w:val="00883A4E"/>
    <w:rsid w:val="00894033"/>
    <w:rsid w:val="008B619D"/>
    <w:rsid w:val="008B734F"/>
    <w:rsid w:val="00931A85"/>
    <w:rsid w:val="00964124"/>
    <w:rsid w:val="00966BF1"/>
    <w:rsid w:val="00991DA6"/>
    <w:rsid w:val="009A0C03"/>
    <w:rsid w:val="009A7296"/>
    <w:rsid w:val="009B065A"/>
    <w:rsid w:val="00A07068"/>
    <w:rsid w:val="00A33E7C"/>
    <w:rsid w:val="00A453E5"/>
    <w:rsid w:val="00A55675"/>
    <w:rsid w:val="00A60E6D"/>
    <w:rsid w:val="00A86620"/>
    <w:rsid w:val="00A91AC9"/>
    <w:rsid w:val="00AD676A"/>
    <w:rsid w:val="00AE7F03"/>
    <w:rsid w:val="00AF7884"/>
    <w:rsid w:val="00B40404"/>
    <w:rsid w:val="00B44322"/>
    <w:rsid w:val="00B50E6A"/>
    <w:rsid w:val="00B76C4D"/>
    <w:rsid w:val="00BA4FFC"/>
    <w:rsid w:val="00BD0C77"/>
    <w:rsid w:val="00BE57BC"/>
    <w:rsid w:val="00C20E35"/>
    <w:rsid w:val="00C36A67"/>
    <w:rsid w:val="00C42CDF"/>
    <w:rsid w:val="00C46E0C"/>
    <w:rsid w:val="00C5312A"/>
    <w:rsid w:val="00C647D9"/>
    <w:rsid w:val="00C83751"/>
    <w:rsid w:val="00C907FA"/>
    <w:rsid w:val="00CA2BA4"/>
    <w:rsid w:val="00CA4C69"/>
    <w:rsid w:val="00CC5B16"/>
    <w:rsid w:val="00CF5DF6"/>
    <w:rsid w:val="00CF6005"/>
    <w:rsid w:val="00D06FD2"/>
    <w:rsid w:val="00D12CB3"/>
    <w:rsid w:val="00D21FE4"/>
    <w:rsid w:val="00D560FA"/>
    <w:rsid w:val="00D57E2C"/>
    <w:rsid w:val="00D62742"/>
    <w:rsid w:val="00D810D7"/>
    <w:rsid w:val="00DB1D2F"/>
    <w:rsid w:val="00DD6845"/>
    <w:rsid w:val="00E034B4"/>
    <w:rsid w:val="00E25AE4"/>
    <w:rsid w:val="00E55B54"/>
    <w:rsid w:val="00E921CA"/>
    <w:rsid w:val="00E94632"/>
    <w:rsid w:val="00E96D59"/>
    <w:rsid w:val="00EB4DAD"/>
    <w:rsid w:val="00ED1F2E"/>
    <w:rsid w:val="00F16F66"/>
    <w:rsid w:val="00F176E6"/>
    <w:rsid w:val="00F40CF3"/>
    <w:rsid w:val="00F461F2"/>
    <w:rsid w:val="00F622E7"/>
    <w:rsid w:val="00F93492"/>
    <w:rsid w:val="00FA1648"/>
    <w:rsid w:val="00FC0589"/>
    <w:rsid w:val="00FD4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5B"/>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 w:type="paragraph" w:styleId="Textodeglobo">
    <w:name w:val="Balloon Text"/>
    <w:basedOn w:val="Normal"/>
    <w:link w:val="TextodegloboCar"/>
    <w:uiPriority w:val="99"/>
    <w:semiHidden/>
    <w:unhideWhenUsed/>
    <w:rsid w:val="00BD0C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2AA0-C29E-4BD1-AF5E-0B97E98C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74</cp:revision>
  <dcterms:created xsi:type="dcterms:W3CDTF">2024-11-21T23:31:00Z</dcterms:created>
  <dcterms:modified xsi:type="dcterms:W3CDTF">2025-08-21T21:08:00Z</dcterms:modified>
</cp:coreProperties>
</file>