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322BB" w14:textId="77777777" w:rsidR="0057097F" w:rsidRDefault="000B7A27">
      <w:pPr>
        <w:jc w:val="center"/>
        <w:rPr>
          <w:b/>
        </w:rPr>
      </w:pPr>
      <w:r>
        <w:rPr>
          <w:b/>
        </w:rPr>
        <w:t>INFORME INICIAL DEL PROCESO</w:t>
      </w:r>
    </w:p>
    <w:tbl>
      <w:tblPr>
        <w:tblStyle w:val="a"/>
        <w:tblW w:w="10410" w:type="dxa"/>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0"/>
        <w:gridCol w:w="4410"/>
      </w:tblGrid>
      <w:tr w:rsidR="0057097F" w14:paraId="500322BE" w14:textId="77777777" w:rsidTr="357EB3F4">
        <w:tc>
          <w:tcPr>
            <w:tcW w:w="6000" w:type="dxa"/>
            <w:shd w:val="clear" w:color="auto" w:fill="D9D9D9" w:themeFill="background1" w:themeFillShade="D9"/>
          </w:tcPr>
          <w:p w14:paraId="500322BC" w14:textId="77777777" w:rsidR="0057097F" w:rsidRDefault="000B7A27">
            <w:pPr>
              <w:rPr>
                <w:b/>
                <w:sz w:val="20"/>
                <w:szCs w:val="20"/>
              </w:rPr>
            </w:pPr>
            <w:r>
              <w:rPr>
                <w:b/>
                <w:sz w:val="20"/>
                <w:szCs w:val="20"/>
              </w:rPr>
              <w:t>Apoderado:</w:t>
            </w:r>
          </w:p>
        </w:tc>
        <w:tc>
          <w:tcPr>
            <w:tcW w:w="4410" w:type="dxa"/>
          </w:tcPr>
          <w:p w14:paraId="500322BD" w14:textId="77777777" w:rsidR="0057097F" w:rsidRDefault="000B7A27">
            <w:pPr>
              <w:jc w:val="both"/>
            </w:pPr>
            <w:r>
              <w:t>GUSTAVO ALBERTO HERRERA ÁVILA</w:t>
            </w:r>
          </w:p>
        </w:tc>
      </w:tr>
      <w:tr w:rsidR="0057097F" w14:paraId="500322C1" w14:textId="77777777" w:rsidTr="357EB3F4">
        <w:tc>
          <w:tcPr>
            <w:tcW w:w="6000" w:type="dxa"/>
            <w:shd w:val="clear" w:color="auto" w:fill="D9D9D9" w:themeFill="background1" w:themeFillShade="D9"/>
          </w:tcPr>
          <w:p w14:paraId="500322BF" w14:textId="77777777" w:rsidR="0057097F" w:rsidRDefault="000B7A27">
            <w:pPr>
              <w:rPr>
                <w:b/>
                <w:sz w:val="20"/>
                <w:szCs w:val="20"/>
              </w:rPr>
            </w:pPr>
            <w:r>
              <w:rPr>
                <w:b/>
                <w:sz w:val="20"/>
                <w:szCs w:val="20"/>
              </w:rPr>
              <w:t>Tipo y # de Póliza:</w:t>
            </w:r>
          </w:p>
        </w:tc>
        <w:tc>
          <w:tcPr>
            <w:tcW w:w="4410" w:type="dxa"/>
          </w:tcPr>
          <w:p w14:paraId="500322C0" w14:textId="5414B8CC" w:rsidR="0057097F" w:rsidRDefault="007176EB">
            <w:pPr>
              <w:jc w:val="both"/>
            </w:pPr>
            <w:r>
              <w:t>PÓLIZA SEGURO DE AUTOMÓVILES - 497218</w:t>
            </w:r>
          </w:p>
        </w:tc>
      </w:tr>
      <w:tr w:rsidR="0057097F" w14:paraId="500322C4" w14:textId="77777777" w:rsidTr="357EB3F4">
        <w:tc>
          <w:tcPr>
            <w:tcW w:w="6000" w:type="dxa"/>
            <w:shd w:val="clear" w:color="auto" w:fill="D9D9D9" w:themeFill="background1" w:themeFillShade="D9"/>
          </w:tcPr>
          <w:p w14:paraId="500322C2" w14:textId="77777777" w:rsidR="0057097F" w:rsidRDefault="000B7A27">
            <w:pPr>
              <w:rPr>
                <w:b/>
                <w:sz w:val="20"/>
                <w:szCs w:val="20"/>
              </w:rPr>
            </w:pPr>
            <w:r>
              <w:rPr>
                <w:b/>
                <w:sz w:val="20"/>
                <w:szCs w:val="20"/>
              </w:rPr>
              <w:t>Amparos afectados:</w:t>
            </w:r>
          </w:p>
        </w:tc>
        <w:tc>
          <w:tcPr>
            <w:tcW w:w="4410" w:type="dxa"/>
          </w:tcPr>
          <w:p w14:paraId="500322C3" w14:textId="47FAF4EC" w:rsidR="0057097F" w:rsidRDefault="00EE5ADD">
            <w:pPr>
              <w:jc w:val="both"/>
            </w:pPr>
            <w:r>
              <w:t>Responsabilidad Civil Extracontractual</w:t>
            </w:r>
          </w:p>
        </w:tc>
      </w:tr>
      <w:tr w:rsidR="0057097F" w14:paraId="500322C7" w14:textId="77777777" w:rsidTr="357EB3F4">
        <w:tc>
          <w:tcPr>
            <w:tcW w:w="6000" w:type="dxa"/>
            <w:shd w:val="clear" w:color="auto" w:fill="D9D9D9" w:themeFill="background1" w:themeFillShade="D9"/>
          </w:tcPr>
          <w:p w14:paraId="500322C5" w14:textId="77777777" w:rsidR="0057097F" w:rsidRDefault="000B7A27">
            <w:pPr>
              <w:rPr>
                <w:b/>
                <w:sz w:val="20"/>
                <w:szCs w:val="20"/>
              </w:rPr>
            </w:pPr>
            <w:r>
              <w:rPr>
                <w:b/>
                <w:sz w:val="20"/>
                <w:szCs w:val="20"/>
              </w:rPr>
              <w:t>Tomador:</w:t>
            </w:r>
          </w:p>
        </w:tc>
        <w:tc>
          <w:tcPr>
            <w:tcW w:w="4410" w:type="dxa"/>
          </w:tcPr>
          <w:p w14:paraId="500322C6" w14:textId="44D187B7" w:rsidR="0057097F" w:rsidRDefault="00EE5ADD">
            <w:pPr>
              <w:jc w:val="both"/>
            </w:pPr>
            <w:r>
              <w:t>BANCO DE OCCIDENTE S.A.</w:t>
            </w:r>
          </w:p>
        </w:tc>
      </w:tr>
      <w:tr w:rsidR="0057097F" w14:paraId="500322CA" w14:textId="77777777" w:rsidTr="357EB3F4">
        <w:tc>
          <w:tcPr>
            <w:tcW w:w="6000" w:type="dxa"/>
            <w:shd w:val="clear" w:color="auto" w:fill="D9D9D9" w:themeFill="background1" w:themeFillShade="D9"/>
          </w:tcPr>
          <w:p w14:paraId="500322C8" w14:textId="77777777" w:rsidR="0057097F" w:rsidRDefault="000B7A27">
            <w:pPr>
              <w:rPr>
                <w:b/>
                <w:sz w:val="20"/>
                <w:szCs w:val="20"/>
              </w:rPr>
            </w:pPr>
            <w:r>
              <w:rPr>
                <w:b/>
                <w:sz w:val="20"/>
                <w:szCs w:val="20"/>
              </w:rPr>
              <w:t>Asegurado:</w:t>
            </w:r>
          </w:p>
        </w:tc>
        <w:tc>
          <w:tcPr>
            <w:tcW w:w="4410" w:type="dxa"/>
          </w:tcPr>
          <w:p w14:paraId="500322C9" w14:textId="5B54BCB8" w:rsidR="0057097F" w:rsidRDefault="00EE5ADD">
            <w:pPr>
              <w:jc w:val="both"/>
            </w:pPr>
            <w:r>
              <w:t>JHON ALFONSO CALLE PALACIO</w:t>
            </w:r>
          </w:p>
        </w:tc>
      </w:tr>
      <w:tr w:rsidR="0057097F" w14:paraId="500322CD" w14:textId="77777777" w:rsidTr="357EB3F4">
        <w:tc>
          <w:tcPr>
            <w:tcW w:w="6000" w:type="dxa"/>
            <w:shd w:val="clear" w:color="auto" w:fill="D9D9D9" w:themeFill="background1" w:themeFillShade="D9"/>
          </w:tcPr>
          <w:p w14:paraId="500322CB" w14:textId="77777777" w:rsidR="0057097F" w:rsidRDefault="000B7A27">
            <w:pPr>
              <w:rPr>
                <w:b/>
                <w:sz w:val="20"/>
                <w:szCs w:val="20"/>
              </w:rPr>
            </w:pPr>
            <w:r>
              <w:rPr>
                <w:b/>
                <w:sz w:val="20"/>
                <w:szCs w:val="20"/>
              </w:rPr>
              <w:t>Tipo de Proceso:</w:t>
            </w:r>
          </w:p>
        </w:tc>
        <w:tc>
          <w:tcPr>
            <w:tcW w:w="4410" w:type="dxa"/>
          </w:tcPr>
          <w:p w14:paraId="500322CC" w14:textId="11A37305" w:rsidR="0057097F" w:rsidRDefault="00303634">
            <w:pPr>
              <w:jc w:val="both"/>
            </w:pPr>
            <w:r>
              <w:t>VERBA ORDINARIO DE RCE</w:t>
            </w:r>
          </w:p>
        </w:tc>
      </w:tr>
      <w:tr w:rsidR="0057097F" w14:paraId="500322D0" w14:textId="77777777" w:rsidTr="357EB3F4">
        <w:tc>
          <w:tcPr>
            <w:tcW w:w="6000" w:type="dxa"/>
            <w:shd w:val="clear" w:color="auto" w:fill="D9D9D9" w:themeFill="background1" w:themeFillShade="D9"/>
          </w:tcPr>
          <w:p w14:paraId="500322CE" w14:textId="77777777" w:rsidR="0057097F" w:rsidRDefault="000B7A27">
            <w:pPr>
              <w:rPr>
                <w:b/>
                <w:sz w:val="20"/>
                <w:szCs w:val="20"/>
              </w:rPr>
            </w:pPr>
            <w:r>
              <w:rPr>
                <w:b/>
                <w:sz w:val="20"/>
                <w:szCs w:val="20"/>
              </w:rPr>
              <w:t>Jurisdicción:</w:t>
            </w:r>
          </w:p>
        </w:tc>
        <w:tc>
          <w:tcPr>
            <w:tcW w:w="4410" w:type="dxa"/>
          </w:tcPr>
          <w:p w14:paraId="500322CF" w14:textId="04386336" w:rsidR="0057097F" w:rsidRDefault="00303634">
            <w:pPr>
              <w:jc w:val="both"/>
            </w:pPr>
            <w:r>
              <w:t>CIVIL</w:t>
            </w:r>
          </w:p>
        </w:tc>
      </w:tr>
      <w:tr w:rsidR="0057097F" w14:paraId="500322D3" w14:textId="77777777" w:rsidTr="357EB3F4">
        <w:tc>
          <w:tcPr>
            <w:tcW w:w="6000" w:type="dxa"/>
            <w:shd w:val="clear" w:color="auto" w:fill="D9D9D9" w:themeFill="background1" w:themeFillShade="D9"/>
          </w:tcPr>
          <w:p w14:paraId="500322D1" w14:textId="77777777" w:rsidR="0057097F" w:rsidRDefault="000B7A27">
            <w:pPr>
              <w:rPr>
                <w:b/>
                <w:sz w:val="20"/>
                <w:szCs w:val="20"/>
              </w:rPr>
            </w:pPr>
            <w:r>
              <w:rPr>
                <w:b/>
                <w:sz w:val="20"/>
                <w:szCs w:val="20"/>
              </w:rPr>
              <w:t>Despacho:</w:t>
            </w:r>
          </w:p>
        </w:tc>
        <w:tc>
          <w:tcPr>
            <w:tcW w:w="4410" w:type="dxa"/>
          </w:tcPr>
          <w:p w14:paraId="500322D2" w14:textId="6EA7368F" w:rsidR="0057097F" w:rsidRDefault="004D16BA">
            <w:pPr>
              <w:jc w:val="both"/>
            </w:pPr>
            <w:r>
              <w:t>JUZGADO 07 CIVIL DEL CIRCUITO DE CALI</w:t>
            </w:r>
          </w:p>
        </w:tc>
      </w:tr>
      <w:tr w:rsidR="0057097F" w14:paraId="500322D6" w14:textId="77777777" w:rsidTr="357EB3F4">
        <w:tc>
          <w:tcPr>
            <w:tcW w:w="6000" w:type="dxa"/>
            <w:shd w:val="clear" w:color="auto" w:fill="D9D9D9" w:themeFill="background1" w:themeFillShade="D9"/>
          </w:tcPr>
          <w:p w14:paraId="500322D4" w14:textId="77777777" w:rsidR="0057097F" w:rsidRDefault="000B7A27">
            <w:pPr>
              <w:rPr>
                <w:b/>
                <w:sz w:val="20"/>
                <w:szCs w:val="20"/>
              </w:rPr>
            </w:pPr>
            <w:r>
              <w:rPr>
                <w:b/>
                <w:sz w:val="20"/>
                <w:szCs w:val="20"/>
              </w:rPr>
              <w:t>Ciudad:</w:t>
            </w:r>
          </w:p>
        </w:tc>
        <w:tc>
          <w:tcPr>
            <w:tcW w:w="4410" w:type="dxa"/>
          </w:tcPr>
          <w:p w14:paraId="500322D5" w14:textId="3080159E" w:rsidR="0057097F" w:rsidRDefault="004D16BA">
            <w:pPr>
              <w:jc w:val="both"/>
            </w:pPr>
            <w:r>
              <w:t>CALI (VALLE DEL CAUCA)</w:t>
            </w:r>
          </w:p>
        </w:tc>
      </w:tr>
      <w:tr w:rsidR="0057097F" w14:paraId="500322D9" w14:textId="77777777" w:rsidTr="357EB3F4">
        <w:tc>
          <w:tcPr>
            <w:tcW w:w="6000" w:type="dxa"/>
            <w:shd w:val="clear" w:color="auto" w:fill="D9D9D9" w:themeFill="background1" w:themeFillShade="D9"/>
          </w:tcPr>
          <w:p w14:paraId="500322D7" w14:textId="77777777" w:rsidR="0057097F" w:rsidRDefault="000B7A27">
            <w:pPr>
              <w:rPr>
                <w:b/>
                <w:sz w:val="20"/>
                <w:szCs w:val="20"/>
              </w:rPr>
            </w:pPr>
            <w:r>
              <w:rPr>
                <w:b/>
                <w:sz w:val="20"/>
                <w:szCs w:val="20"/>
              </w:rPr>
              <w:t>Radicado (23 dígitos):</w:t>
            </w:r>
          </w:p>
        </w:tc>
        <w:tc>
          <w:tcPr>
            <w:tcW w:w="4410" w:type="dxa"/>
          </w:tcPr>
          <w:p w14:paraId="500322D8" w14:textId="3C16C2F8" w:rsidR="0057097F" w:rsidRDefault="004D16BA">
            <w:r>
              <w:t>76001 3103 007 2024 00042 00</w:t>
            </w:r>
          </w:p>
        </w:tc>
      </w:tr>
      <w:tr w:rsidR="0057097F" w14:paraId="500322DC" w14:textId="77777777" w:rsidTr="357EB3F4">
        <w:tc>
          <w:tcPr>
            <w:tcW w:w="6000" w:type="dxa"/>
            <w:shd w:val="clear" w:color="auto" w:fill="D9D9D9" w:themeFill="background1" w:themeFillShade="D9"/>
          </w:tcPr>
          <w:p w14:paraId="500322DA" w14:textId="77777777" w:rsidR="0057097F" w:rsidRDefault="000B7A27">
            <w:pPr>
              <w:rPr>
                <w:b/>
                <w:sz w:val="20"/>
                <w:szCs w:val="20"/>
              </w:rPr>
            </w:pPr>
            <w:r>
              <w:rPr>
                <w:b/>
                <w:sz w:val="20"/>
                <w:szCs w:val="20"/>
              </w:rPr>
              <w:t>Demandantes:</w:t>
            </w:r>
          </w:p>
        </w:tc>
        <w:tc>
          <w:tcPr>
            <w:tcW w:w="4410" w:type="dxa"/>
          </w:tcPr>
          <w:p w14:paraId="3846906D" w14:textId="77777777" w:rsidR="0057097F" w:rsidRDefault="004D16BA">
            <w:pPr>
              <w:jc w:val="both"/>
              <w:rPr>
                <w:lang w:val="es-419"/>
              </w:rPr>
            </w:pPr>
            <w:r>
              <w:rPr>
                <w:lang w:val="es-419"/>
              </w:rPr>
              <w:t>ANYI JOHANNA GAMBOA SIABATO</w:t>
            </w:r>
          </w:p>
          <w:p w14:paraId="4DE9DE77" w14:textId="77777777" w:rsidR="004D16BA" w:rsidRDefault="00074C20">
            <w:pPr>
              <w:jc w:val="both"/>
              <w:rPr>
                <w:lang w:val="es-419"/>
              </w:rPr>
            </w:pPr>
            <w:r>
              <w:rPr>
                <w:lang w:val="es-419"/>
              </w:rPr>
              <w:t>MARCELA RINCÓN SIABATO</w:t>
            </w:r>
          </w:p>
          <w:p w14:paraId="500322DB" w14:textId="22F4D6E1" w:rsidR="00074C20" w:rsidRPr="005A4426" w:rsidRDefault="00074C20">
            <w:pPr>
              <w:jc w:val="both"/>
              <w:rPr>
                <w:lang w:val="es-419"/>
              </w:rPr>
            </w:pPr>
            <w:r>
              <w:rPr>
                <w:lang w:val="es-419"/>
              </w:rPr>
              <w:t>ENRIQUE RINCÓN MARÍN</w:t>
            </w:r>
          </w:p>
        </w:tc>
      </w:tr>
      <w:tr w:rsidR="0057097F" w14:paraId="500322DF" w14:textId="77777777" w:rsidTr="357EB3F4">
        <w:tc>
          <w:tcPr>
            <w:tcW w:w="6000" w:type="dxa"/>
            <w:shd w:val="clear" w:color="auto" w:fill="D9D9D9" w:themeFill="background1" w:themeFillShade="D9"/>
          </w:tcPr>
          <w:p w14:paraId="500322DD" w14:textId="77777777" w:rsidR="0057097F" w:rsidRDefault="000B7A27">
            <w:pPr>
              <w:rPr>
                <w:b/>
                <w:sz w:val="20"/>
                <w:szCs w:val="20"/>
              </w:rPr>
            </w:pPr>
            <w:r>
              <w:rPr>
                <w:b/>
                <w:sz w:val="20"/>
                <w:szCs w:val="20"/>
              </w:rPr>
              <w:t>Demandados:</w:t>
            </w:r>
          </w:p>
        </w:tc>
        <w:tc>
          <w:tcPr>
            <w:tcW w:w="4410" w:type="dxa"/>
          </w:tcPr>
          <w:p w14:paraId="6AC288A2" w14:textId="77777777" w:rsidR="0057097F" w:rsidRDefault="00074C20">
            <w:pPr>
              <w:jc w:val="both"/>
            </w:pPr>
            <w:r>
              <w:t>LIBERTY SEGUROS S.A.</w:t>
            </w:r>
          </w:p>
          <w:p w14:paraId="64714EDD" w14:textId="77777777" w:rsidR="00074C20" w:rsidRDefault="00074C20">
            <w:pPr>
              <w:jc w:val="both"/>
            </w:pPr>
            <w:r>
              <w:t>PAULA ANDREA SUÁREZ JARAMILLO</w:t>
            </w:r>
          </w:p>
          <w:p w14:paraId="500322DE" w14:textId="0F7B9AA6" w:rsidR="00074C20" w:rsidRDefault="00074C20">
            <w:pPr>
              <w:jc w:val="both"/>
            </w:pPr>
            <w:r>
              <w:t>JOHN ALFONSO CALLE PALACIO</w:t>
            </w:r>
          </w:p>
        </w:tc>
      </w:tr>
      <w:tr w:rsidR="0057097F" w14:paraId="500322E2" w14:textId="77777777" w:rsidTr="357EB3F4">
        <w:tc>
          <w:tcPr>
            <w:tcW w:w="6000" w:type="dxa"/>
            <w:shd w:val="clear" w:color="auto" w:fill="D9D9D9" w:themeFill="background1" w:themeFillShade="D9"/>
          </w:tcPr>
          <w:p w14:paraId="500322E0" w14:textId="77777777" w:rsidR="0057097F" w:rsidRDefault="000B7A27">
            <w:pPr>
              <w:rPr>
                <w:b/>
                <w:sz w:val="20"/>
                <w:szCs w:val="20"/>
              </w:rPr>
            </w:pPr>
            <w:r>
              <w:rPr>
                <w:b/>
                <w:sz w:val="20"/>
                <w:szCs w:val="20"/>
              </w:rPr>
              <w:t>Tipo de vinculación de Liberty (directa, llamamiento en garantía, litisconsorte):</w:t>
            </w:r>
          </w:p>
        </w:tc>
        <w:tc>
          <w:tcPr>
            <w:tcW w:w="4410" w:type="dxa"/>
          </w:tcPr>
          <w:p w14:paraId="500322E1" w14:textId="4C225563" w:rsidR="0057097F" w:rsidRDefault="00074C20">
            <w:pPr>
              <w:jc w:val="both"/>
            </w:pPr>
            <w:r>
              <w:t>Directa</w:t>
            </w:r>
          </w:p>
        </w:tc>
      </w:tr>
      <w:tr w:rsidR="0057097F" w14:paraId="500322E5" w14:textId="77777777" w:rsidTr="357EB3F4">
        <w:tc>
          <w:tcPr>
            <w:tcW w:w="6000" w:type="dxa"/>
            <w:shd w:val="clear" w:color="auto" w:fill="D9D9D9" w:themeFill="background1" w:themeFillShade="D9"/>
          </w:tcPr>
          <w:p w14:paraId="500322E3" w14:textId="77777777" w:rsidR="0057097F" w:rsidRDefault="000B7A27">
            <w:pPr>
              <w:rPr>
                <w:b/>
                <w:sz w:val="20"/>
                <w:szCs w:val="20"/>
              </w:rPr>
            </w:pPr>
            <w:r>
              <w:rPr>
                <w:b/>
                <w:sz w:val="20"/>
                <w:szCs w:val="20"/>
              </w:rPr>
              <w:t>Resumen de los hechos:</w:t>
            </w:r>
          </w:p>
        </w:tc>
        <w:tc>
          <w:tcPr>
            <w:tcW w:w="4410" w:type="dxa"/>
          </w:tcPr>
          <w:p w14:paraId="4469B306" w14:textId="77777777" w:rsidR="0057097F" w:rsidRDefault="00B61985">
            <w:pPr>
              <w:jc w:val="both"/>
            </w:pPr>
            <w:r>
              <w:t xml:space="preserve">El 19 de enero de 2024 alrededor de las </w:t>
            </w:r>
            <w:r w:rsidR="00635EF1">
              <w:t xml:space="preserve">16:40 horas se presentó un accidente de tránsito sobre la vía Buenaventura – Buga Kilómetro 41+424, donde estuvo involucrado el vehículo de placas LES 925 conducido por la señora Paula Andrea Suárez Jaramillo, y la señora Gloria Siabato Gil como peatona. </w:t>
            </w:r>
          </w:p>
          <w:p w14:paraId="43E51CB1" w14:textId="77777777" w:rsidR="008838F7" w:rsidRDefault="008838F7">
            <w:pPr>
              <w:jc w:val="both"/>
            </w:pPr>
          </w:p>
          <w:p w14:paraId="1B9BFCF6" w14:textId="77777777" w:rsidR="008838F7" w:rsidRDefault="008838F7">
            <w:pPr>
              <w:jc w:val="both"/>
            </w:pPr>
            <w:r>
              <w:t xml:space="preserve">Según el Informe Policial de Accidente de Tránsito, el vehículo de placas LES 925 fue codificado </w:t>
            </w:r>
            <w:r w:rsidR="002277CA">
              <w:t xml:space="preserve">con el código 157 </w:t>
            </w:r>
            <w:r w:rsidR="00445F37">
              <w:t xml:space="preserve">“Transitar parcialmente por la berma”. </w:t>
            </w:r>
          </w:p>
          <w:p w14:paraId="7F419CE7" w14:textId="77777777" w:rsidR="007B74BF" w:rsidRDefault="007B74BF">
            <w:pPr>
              <w:jc w:val="both"/>
            </w:pPr>
          </w:p>
          <w:p w14:paraId="4B9B37C5" w14:textId="0AE50648" w:rsidR="007B74BF" w:rsidRDefault="00C87FDB">
            <w:pPr>
              <w:jc w:val="both"/>
            </w:pPr>
            <w:r>
              <w:t xml:space="preserve">La señora Gloria Siabato Gil resultó lesionada, y fue trasladada en ambulancia al hospital “José Rufino Vivan” del municipio de Dagua (Valle), pero por la gravedad de sus lesiones tuvo que ser remitida al Hospital Universitario del Valle “Evaristo García” </w:t>
            </w:r>
            <w:proofErr w:type="spellStart"/>
            <w:r>
              <w:t>E.S.E</w:t>
            </w:r>
            <w:proofErr w:type="spellEnd"/>
            <w:r>
              <w:t xml:space="preserve">. de la ciudad de Cali, donde fue internada en la Unidad de Cuidados Intensivos. </w:t>
            </w:r>
          </w:p>
          <w:p w14:paraId="7B60F5BE" w14:textId="77777777" w:rsidR="00401EDB" w:rsidRDefault="00401EDB">
            <w:pPr>
              <w:jc w:val="both"/>
            </w:pPr>
          </w:p>
          <w:p w14:paraId="606E5132" w14:textId="7F105369" w:rsidR="00401EDB" w:rsidRDefault="00401EDB">
            <w:pPr>
              <w:jc w:val="both"/>
            </w:pPr>
            <w:r>
              <w:t>Según lo narrado en la demanda, la señora Siabato Gil estuvo hospitalizada en la UCI CRÍTICOS QUIRÚRGICO, del Hospital Universitario del Valle, desde el día del accidente de tránsito</w:t>
            </w:r>
            <w:r w:rsidR="001142F7">
              <w:t xml:space="preserve">. Desde el día del accidente la señora Siabato Gil </w:t>
            </w:r>
            <w:r w:rsidR="00787589">
              <w:t xml:space="preserve">ha sido objeto </w:t>
            </w:r>
            <w:r w:rsidR="00787589">
              <w:lastRenderedPageBreak/>
              <w:t xml:space="preserve">de diferentes </w:t>
            </w:r>
            <w:r w:rsidR="004A7CA8">
              <w:t>procedimientos quirúrgicos</w:t>
            </w:r>
            <w:r w:rsidR="00787589">
              <w:t xml:space="preserve"> en intentos por salvarle la vida. </w:t>
            </w:r>
          </w:p>
          <w:p w14:paraId="500322E4" w14:textId="2DFF0628" w:rsidR="00445F37" w:rsidRDefault="00445F37">
            <w:pPr>
              <w:jc w:val="both"/>
            </w:pPr>
          </w:p>
        </w:tc>
      </w:tr>
      <w:tr w:rsidR="0057097F" w14:paraId="500322E8" w14:textId="77777777" w:rsidTr="357EB3F4">
        <w:tc>
          <w:tcPr>
            <w:tcW w:w="6000" w:type="dxa"/>
            <w:shd w:val="clear" w:color="auto" w:fill="D9D9D9" w:themeFill="background1" w:themeFillShade="D9"/>
          </w:tcPr>
          <w:p w14:paraId="500322E6" w14:textId="77777777" w:rsidR="0057097F" w:rsidRDefault="000B7A27">
            <w:pPr>
              <w:rPr>
                <w:b/>
                <w:sz w:val="20"/>
                <w:szCs w:val="20"/>
              </w:rPr>
            </w:pPr>
            <w:r>
              <w:rPr>
                <w:b/>
                <w:sz w:val="20"/>
                <w:szCs w:val="20"/>
              </w:rPr>
              <w:lastRenderedPageBreak/>
              <w:t>Descripción de las pretensiones:</w:t>
            </w:r>
          </w:p>
        </w:tc>
        <w:tc>
          <w:tcPr>
            <w:tcW w:w="4410" w:type="dxa"/>
          </w:tcPr>
          <w:p w14:paraId="1F9351B5" w14:textId="77777777" w:rsidR="0057097F" w:rsidRDefault="0018697E">
            <w:pPr>
              <w:jc w:val="both"/>
            </w:pPr>
            <w:r>
              <w:t xml:space="preserve">Hay pretensiones de orden declarativo, es decir, solicitando que se declare civil y extracontractualmente responsables a los demandados por los graves perjuicios materiales e inmateriales causados a los demandantes. </w:t>
            </w:r>
          </w:p>
          <w:p w14:paraId="62397C5B" w14:textId="77777777" w:rsidR="0018697E" w:rsidRDefault="0018697E">
            <w:pPr>
              <w:jc w:val="both"/>
            </w:pPr>
          </w:p>
          <w:p w14:paraId="483ACD8A" w14:textId="163E9BC4" w:rsidR="0018697E" w:rsidRDefault="00920A7D">
            <w:pPr>
              <w:jc w:val="both"/>
            </w:pPr>
            <w:r>
              <w:t>Además,</w:t>
            </w:r>
            <w:r w:rsidR="0018697E">
              <w:t xml:space="preserve"> se solicita que se condene de manera directa a la compañía aseguradora con sustento en el contrato de seguro.</w:t>
            </w:r>
          </w:p>
          <w:p w14:paraId="04C58CEC" w14:textId="77777777" w:rsidR="0018697E" w:rsidRDefault="0018697E">
            <w:pPr>
              <w:jc w:val="both"/>
            </w:pPr>
          </w:p>
          <w:p w14:paraId="2735F843" w14:textId="77777777" w:rsidR="0018697E" w:rsidRDefault="0018697E">
            <w:pPr>
              <w:jc w:val="both"/>
            </w:pPr>
            <w:r>
              <w:t>En cuanto a los rubros solicitados se solicitaron:</w:t>
            </w:r>
          </w:p>
          <w:p w14:paraId="7E89A6D9" w14:textId="77777777" w:rsidR="0018697E" w:rsidRDefault="0018697E">
            <w:pPr>
              <w:jc w:val="both"/>
            </w:pPr>
          </w:p>
          <w:p w14:paraId="30EA8212" w14:textId="77777777" w:rsidR="0018697E" w:rsidRDefault="0018697E" w:rsidP="0018697E">
            <w:pPr>
              <w:pStyle w:val="Prrafodelista"/>
              <w:numPr>
                <w:ilvl w:val="0"/>
                <w:numId w:val="4"/>
              </w:numPr>
              <w:jc w:val="both"/>
            </w:pPr>
            <w:r>
              <w:t>Perjuicio moral</w:t>
            </w:r>
          </w:p>
          <w:p w14:paraId="6A68184E" w14:textId="77777777" w:rsidR="0018697E" w:rsidRDefault="0018697E" w:rsidP="0018697E">
            <w:pPr>
              <w:pStyle w:val="Prrafodelista"/>
              <w:numPr>
                <w:ilvl w:val="0"/>
                <w:numId w:val="4"/>
              </w:numPr>
              <w:jc w:val="both"/>
            </w:pPr>
            <w:r>
              <w:t xml:space="preserve">Perjuicio a la vida de relación </w:t>
            </w:r>
          </w:p>
          <w:p w14:paraId="346C4365" w14:textId="77777777" w:rsidR="0018697E" w:rsidRDefault="0018697E" w:rsidP="0018697E">
            <w:pPr>
              <w:pStyle w:val="Prrafodelista"/>
              <w:numPr>
                <w:ilvl w:val="0"/>
                <w:numId w:val="4"/>
              </w:numPr>
              <w:jc w:val="both"/>
            </w:pPr>
            <w:r>
              <w:t xml:space="preserve">Daño a la pérdida de oportunidad </w:t>
            </w:r>
          </w:p>
          <w:p w14:paraId="11544A04" w14:textId="77777777" w:rsidR="0018697E" w:rsidRDefault="0018697E" w:rsidP="0018697E">
            <w:pPr>
              <w:jc w:val="both"/>
            </w:pPr>
          </w:p>
          <w:p w14:paraId="66250664" w14:textId="777D1520" w:rsidR="0018697E" w:rsidRDefault="0018697E" w:rsidP="0018697E">
            <w:pPr>
              <w:jc w:val="both"/>
            </w:pPr>
            <w:r>
              <w:t>Además, la parte demandante solicita condena a la compañía aseguradora por intereses de mora, de acuerdo con lo previsto en el artículo 1080 del Código de Comercio, alegando que, los mismos se causaron a partir del mes siguiente a la fecha de presentación de la reclamación extrajudicial, la radicación de la demanda o la notificación del auto admisorio.</w:t>
            </w:r>
          </w:p>
          <w:p w14:paraId="1B9B72F4" w14:textId="77777777" w:rsidR="0018697E" w:rsidRDefault="0018697E" w:rsidP="0018697E">
            <w:pPr>
              <w:jc w:val="both"/>
            </w:pPr>
          </w:p>
          <w:p w14:paraId="500322E7" w14:textId="65C852DE" w:rsidR="0018697E" w:rsidRDefault="0018697E" w:rsidP="0018697E">
            <w:pPr>
              <w:jc w:val="both"/>
            </w:pPr>
            <w:r>
              <w:t xml:space="preserve">Finalmente se solicita la condena de intereses moratorios a todos los demandados, y la condena en costas y agencias en derecho.  </w:t>
            </w:r>
          </w:p>
        </w:tc>
      </w:tr>
      <w:tr w:rsidR="0057097F" w14:paraId="500322EB" w14:textId="77777777" w:rsidTr="357EB3F4">
        <w:tc>
          <w:tcPr>
            <w:tcW w:w="6000" w:type="dxa"/>
            <w:shd w:val="clear" w:color="auto" w:fill="D9D9D9" w:themeFill="background1" w:themeFillShade="D9"/>
          </w:tcPr>
          <w:p w14:paraId="500322E9" w14:textId="77777777" w:rsidR="0057097F" w:rsidRDefault="000B7A27">
            <w:pPr>
              <w:rPr>
                <w:b/>
                <w:sz w:val="20"/>
                <w:szCs w:val="20"/>
              </w:rPr>
            </w:pPr>
            <w:r>
              <w:rPr>
                <w:b/>
                <w:sz w:val="20"/>
                <w:szCs w:val="20"/>
              </w:rPr>
              <w:t>Pretensiones cuantificadas ($):</w:t>
            </w:r>
          </w:p>
        </w:tc>
        <w:tc>
          <w:tcPr>
            <w:tcW w:w="4410" w:type="dxa"/>
          </w:tcPr>
          <w:p w14:paraId="596CE742" w14:textId="77777777" w:rsidR="0057097F" w:rsidRDefault="00D96D92">
            <w:pPr>
              <w:jc w:val="both"/>
            </w:pPr>
            <w:r>
              <w:rPr>
                <w:b/>
                <w:bCs/>
              </w:rPr>
              <w:t xml:space="preserve">Daño moral: </w:t>
            </w:r>
            <w:r>
              <w:t>$390.000.000</w:t>
            </w:r>
          </w:p>
          <w:p w14:paraId="747E0D9D" w14:textId="77777777" w:rsidR="00D96D92" w:rsidRDefault="00D96D92">
            <w:pPr>
              <w:jc w:val="both"/>
            </w:pPr>
            <w:r>
              <w:rPr>
                <w:b/>
                <w:bCs/>
              </w:rPr>
              <w:t xml:space="preserve">Daño a la vida de relación: </w:t>
            </w:r>
            <w:r w:rsidRPr="00D96D92">
              <w:t>$390.000.000</w:t>
            </w:r>
          </w:p>
          <w:p w14:paraId="4D8EAB66" w14:textId="77777777" w:rsidR="004D6F5F" w:rsidRDefault="004D6F5F">
            <w:pPr>
              <w:jc w:val="both"/>
            </w:pPr>
            <w:r>
              <w:rPr>
                <w:b/>
                <w:bCs/>
              </w:rPr>
              <w:t xml:space="preserve">Perdida de oportunidad: </w:t>
            </w:r>
            <w:r>
              <w:t>$130.000.000</w:t>
            </w:r>
          </w:p>
          <w:p w14:paraId="6EFB5A98" w14:textId="77777777" w:rsidR="00070EA9" w:rsidRDefault="00070EA9">
            <w:pPr>
              <w:jc w:val="both"/>
            </w:pPr>
          </w:p>
          <w:p w14:paraId="500322EA" w14:textId="464C011E" w:rsidR="00070EA9" w:rsidRPr="00BE63E0" w:rsidRDefault="00070EA9">
            <w:pPr>
              <w:jc w:val="both"/>
            </w:pPr>
            <w:r>
              <w:rPr>
                <w:b/>
                <w:bCs/>
              </w:rPr>
              <w:t xml:space="preserve">Total: </w:t>
            </w:r>
            <w:r w:rsidR="00BE63E0">
              <w:t>$910.000.000</w:t>
            </w:r>
          </w:p>
        </w:tc>
      </w:tr>
      <w:tr w:rsidR="0057097F" w14:paraId="500322EE" w14:textId="77777777" w:rsidTr="357EB3F4">
        <w:tc>
          <w:tcPr>
            <w:tcW w:w="6000" w:type="dxa"/>
            <w:shd w:val="clear" w:color="auto" w:fill="D9D9D9" w:themeFill="background1" w:themeFillShade="D9"/>
          </w:tcPr>
          <w:p w14:paraId="500322EC" w14:textId="77777777" w:rsidR="0057097F" w:rsidRDefault="000B7A27">
            <w:pPr>
              <w:rPr>
                <w:b/>
                <w:sz w:val="20"/>
                <w:szCs w:val="20"/>
              </w:rPr>
            </w:pPr>
            <w:r>
              <w:rPr>
                <w:b/>
                <w:sz w:val="20"/>
                <w:szCs w:val="20"/>
              </w:rPr>
              <w:t>Valor asegurado amparos afectados:</w:t>
            </w:r>
          </w:p>
        </w:tc>
        <w:tc>
          <w:tcPr>
            <w:tcW w:w="4410" w:type="dxa"/>
          </w:tcPr>
          <w:p w14:paraId="500322ED" w14:textId="635C96EF" w:rsidR="0057097F" w:rsidRPr="004D6F5F" w:rsidRDefault="004D6F5F" w:rsidP="357EB3F4">
            <w:r w:rsidRPr="004D6F5F">
              <w:t>$</w:t>
            </w:r>
            <w:r w:rsidR="00F83A74" w:rsidRPr="004D6F5F">
              <w:t>4.400.000.000</w:t>
            </w:r>
          </w:p>
        </w:tc>
      </w:tr>
      <w:tr w:rsidR="0057097F" w14:paraId="500322F1" w14:textId="77777777" w:rsidTr="357EB3F4">
        <w:tc>
          <w:tcPr>
            <w:tcW w:w="6000" w:type="dxa"/>
            <w:shd w:val="clear" w:color="auto" w:fill="D9D9D9" w:themeFill="background1" w:themeFillShade="D9"/>
          </w:tcPr>
          <w:p w14:paraId="500322EF" w14:textId="77777777" w:rsidR="0057097F" w:rsidRDefault="000B7A27">
            <w:pPr>
              <w:rPr>
                <w:b/>
                <w:sz w:val="20"/>
                <w:szCs w:val="20"/>
              </w:rPr>
            </w:pPr>
            <w:r>
              <w:rPr>
                <w:b/>
                <w:sz w:val="20"/>
                <w:szCs w:val="20"/>
              </w:rPr>
              <w:t>Valoración objetiva de las pretensiones:</w:t>
            </w:r>
          </w:p>
        </w:tc>
        <w:tc>
          <w:tcPr>
            <w:tcW w:w="4410" w:type="dxa"/>
          </w:tcPr>
          <w:p w14:paraId="23143485" w14:textId="77777777" w:rsidR="0057097F" w:rsidRDefault="000E3D07" w:rsidP="357EB3F4">
            <w:r>
              <w:t xml:space="preserve">Las pretensiones valoran objetivamente teniendo en cuenta la poca información disponible, en este caso, </w:t>
            </w:r>
            <w:r w:rsidR="00FF0768">
              <w:t xml:space="preserve">como resultado de una resonancia magnética practicada a la demandante se encontró que tenía una lesión </w:t>
            </w:r>
            <w:r w:rsidR="002A65D9">
              <w:t>axonal</w:t>
            </w:r>
            <w:r w:rsidR="00FF0768">
              <w:t xml:space="preserve"> difusa grado II; ahora, </w:t>
            </w:r>
            <w:r w:rsidR="002A65D9">
              <w:t xml:space="preserve">la literatura especializada indica que esta lesión se trata de daños generalizados en los axones, que forman parte de las células nerviosas cerebrales (neuronas), y que pueden tener </w:t>
            </w:r>
            <w:r w:rsidR="002A65D9">
              <w:lastRenderedPageBreak/>
              <w:t>lugar tras un traumatismo craneoencefálico</w:t>
            </w:r>
            <w:r w:rsidR="0083015C">
              <w:t>, teniendo en cuenta que el daño axonal difuso deja secuela como la disminución de la capacidad de realizar nuevos aprendizajes y alteraciones en la atención, de la velocidad de procesamiento de la información y de las funciones ejecutivas</w:t>
            </w:r>
            <w:r w:rsidR="003773CB">
              <w:t xml:space="preserve">. A lo anterior debe añadirse la </w:t>
            </w:r>
            <w:proofErr w:type="spellStart"/>
            <w:r w:rsidR="003773CB">
              <w:t>PCL</w:t>
            </w:r>
            <w:proofErr w:type="spellEnd"/>
            <w:r w:rsidR="003773CB">
              <w:t xml:space="preserve"> estimada de la demandante, que se encuentra en un 70% aunque </w:t>
            </w:r>
            <w:proofErr w:type="spellStart"/>
            <w:r w:rsidR="003773CB">
              <w:t>aun</w:t>
            </w:r>
            <w:proofErr w:type="spellEnd"/>
            <w:r w:rsidR="003773CB">
              <w:t xml:space="preserve"> no se ha aportado dictamen en tal sentido, así las cosas, se toma precedente </w:t>
            </w:r>
            <w:r w:rsidR="00786BA7">
              <w:t xml:space="preserve">la Sentencia SC12994-2016 de la CSJ, y se estiman los perjuicios morales en $60.000.000 millones para cada uno de los demandantes, para un total de </w:t>
            </w:r>
            <w:r w:rsidR="00786BA7" w:rsidRPr="00786BA7">
              <w:rPr>
                <w:b/>
                <w:bCs/>
                <w:u w:val="single"/>
              </w:rPr>
              <w:t>$180.000.000</w:t>
            </w:r>
            <w:r w:rsidR="00786BA7">
              <w:t>, esto teniendo en cuenta que los demandantes son hijas y compañero permanente respectivamente de la víctima directa del daño.</w:t>
            </w:r>
          </w:p>
          <w:p w14:paraId="11D2EFE6" w14:textId="77777777" w:rsidR="00786BA7" w:rsidRDefault="00786BA7" w:rsidP="357EB3F4"/>
          <w:p w14:paraId="06F0B1F7" w14:textId="77777777" w:rsidR="00786BA7" w:rsidRDefault="00786BA7" w:rsidP="357EB3F4">
            <w:pPr>
              <w:rPr>
                <w:b/>
                <w:bCs/>
                <w:u w:val="single"/>
              </w:rPr>
            </w:pPr>
            <w:r>
              <w:t xml:space="preserve">En cuanto al daño a la vida en relación </w:t>
            </w:r>
            <w:r w:rsidR="00F56185">
              <w:t xml:space="preserve">se toma precedentes la Sentencia SC5885-2016, en tanto que en la misma se hace referencia a una perturbación psíquica, deformidad física permanente y </w:t>
            </w:r>
            <w:proofErr w:type="spellStart"/>
            <w:r w:rsidR="00F56185">
              <w:t>PCL</w:t>
            </w:r>
            <w:proofErr w:type="spellEnd"/>
            <w:r w:rsidR="00F56185">
              <w:t xml:space="preserve"> del 20.65%, y se reconoció $20.000.000 para la víctima directa. </w:t>
            </w:r>
            <w:r w:rsidR="001B1EF2">
              <w:t xml:space="preserve">Por lo tanto, por ser los demandantes hijas y compañero permanente de la víctima directa (están en primer grado de parentesco), se fija el daño a la vida en relación en $20.000.000 para cada uno, para un total de </w:t>
            </w:r>
            <w:r w:rsidR="001B1EF2" w:rsidRPr="001B1EF2">
              <w:rPr>
                <w:b/>
                <w:bCs/>
                <w:u w:val="single"/>
              </w:rPr>
              <w:t>$60.000.000 por concepto de daño a la vida en relación</w:t>
            </w:r>
          </w:p>
          <w:p w14:paraId="123B33D3" w14:textId="77777777" w:rsidR="001B1EF2" w:rsidRDefault="001B1EF2" w:rsidP="357EB3F4">
            <w:pPr>
              <w:rPr>
                <w:b/>
                <w:bCs/>
                <w:u w:val="single"/>
              </w:rPr>
            </w:pPr>
          </w:p>
          <w:p w14:paraId="2947D74C" w14:textId="77777777" w:rsidR="001B1EF2" w:rsidRDefault="001B1EF2" w:rsidP="357EB3F4">
            <w:r>
              <w:rPr>
                <w:b/>
                <w:bCs/>
              </w:rPr>
              <w:t xml:space="preserve">Daño moral: </w:t>
            </w:r>
            <w:r>
              <w:t>$180.000.000</w:t>
            </w:r>
          </w:p>
          <w:p w14:paraId="1719584E" w14:textId="77777777" w:rsidR="001B1EF2" w:rsidRDefault="001B1EF2" w:rsidP="357EB3F4">
            <w:r>
              <w:rPr>
                <w:b/>
                <w:bCs/>
              </w:rPr>
              <w:t xml:space="preserve">Daño a la vida en relación: </w:t>
            </w:r>
            <w:r>
              <w:t>$60.000.000</w:t>
            </w:r>
          </w:p>
          <w:p w14:paraId="139220FC" w14:textId="77777777" w:rsidR="001B1EF2" w:rsidRDefault="001B1EF2" w:rsidP="357EB3F4"/>
          <w:p w14:paraId="7C221CE2" w14:textId="77777777" w:rsidR="001B1EF2" w:rsidRDefault="001B1EF2" w:rsidP="357EB3F4">
            <w:r>
              <w:rPr>
                <w:b/>
                <w:bCs/>
              </w:rPr>
              <w:t xml:space="preserve">Total: </w:t>
            </w:r>
            <w:r>
              <w:t xml:space="preserve">$240.000.000. </w:t>
            </w:r>
          </w:p>
          <w:p w14:paraId="7642A9A3" w14:textId="77777777" w:rsidR="001B1EF2" w:rsidRDefault="001B1EF2" w:rsidP="357EB3F4"/>
          <w:p w14:paraId="500322F0" w14:textId="46F489B8" w:rsidR="001B1EF2" w:rsidRPr="001B1EF2" w:rsidRDefault="001B1EF2" w:rsidP="357EB3F4">
            <w:r>
              <w:rPr>
                <w:b/>
                <w:bCs/>
              </w:rPr>
              <w:t xml:space="preserve">Nota: </w:t>
            </w:r>
            <w:r>
              <w:t>esto está sujeto a cambio en tanto que, los elementos de conocimiento aportados con la demanda son insuficientes para generar una estimación objetiva de</w:t>
            </w:r>
            <w:r w:rsidR="00142C08">
              <w:t xml:space="preserve"> las pretensiones, pues no se aporta un dictamen </w:t>
            </w:r>
            <w:proofErr w:type="spellStart"/>
            <w:r w:rsidR="00142C08">
              <w:t>PCL</w:t>
            </w:r>
            <w:proofErr w:type="spellEnd"/>
            <w:r w:rsidR="00142C08">
              <w:t xml:space="preserve">, un </w:t>
            </w:r>
            <w:proofErr w:type="spellStart"/>
            <w:r w:rsidR="00142C08">
              <w:t>DPML</w:t>
            </w:r>
            <w:proofErr w:type="spellEnd"/>
            <w:r w:rsidR="00142C08">
              <w:t xml:space="preserve">, o una copia más completa de la historia clínica donde se observan diagnósticos, incapacidades, procedimientos quirúrgicos y demás. </w:t>
            </w:r>
          </w:p>
        </w:tc>
      </w:tr>
      <w:tr w:rsidR="0057097F" w14:paraId="500322F4" w14:textId="77777777" w:rsidTr="357EB3F4">
        <w:tc>
          <w:tcPr>
            <w:tcW w:w="6000" w:type="dxa"/>
            <w:shd w:val="clear" w:color="auto" w:fill="D9D9D9" w:themeFill="background1" w:themeFillShade="D9"/>
          </w:tcPr>
          <w:p w14:paraId="500322F2" w14:textId="77777777" w:rsidR="0057097F" w:rsidRDefault="000B7A27">
            <w:pPr>
              <w:rPr>
                <w:b/>
                <w:sz w:val="20"/>
                <w:szCs w:val="20"/>
              </w:rPr>
            </w:pPr>
            <w:r>
              <w:rPr>
                <w:b/>
                <w:sz w:val="20"/>
                <w:szCs w:val="20"/>
              </w:rPr>
              <w:lastRenderedPageBreak/>
              <w:t>Calificación de la contingencia:</w:t>
            </w:r>
          </w:p>
        </w:tc>
        <w:tc>
          <w:tcPr>
            <w:tcW w:w="4410" w:type="dxa"/>
          </w:tcPr>
          <w:p w14:paraId="500322F3" w14:textId="5A4BB197" w:rsidR="0057097F" w:rsidRDefault="00F83A74">
            <w:pPr>
              <w:jc w:val="both"/>
            </w:pPr>
            <w:r>
              <w:t>PROBABLE</w:t>
            </w:r>
          </w:p>
        </w:tc>
      </w:tr>
      <w:tr w:rsidR="0057097F" w:rsidRPr="000B7A27" w14:paraId="500322F7" w14:textId="77777777" w:rsidTr="357EB3F4">
        <w:tc>
          <w:tcPr>
            <w:tcW w:w="6000" w:type="dxa"/>
            <w:shd w:val="clear" w:color="auto" w:fill="D9D9D9" w:themeFill="background1" w:themeFillShade="D9"/>
          </w:tcPr>
          <w:p w14:paraId="500322F5" w14:textId="77777777" w:rsidR="0057097F" w:rsidRPr="000B7A27" w:rsidRDefault="000B7A27">
            <w:pPr>
              <w:rPr>
                <w:rFonts w:asciiTheme="minorHAnsi" w:hAnsiTheme="minorHAnsi" w:cstheme="minorHAnsi"/>
                <w:b/>
              </w:rPr>
            </w:pPr>
            <w:r w:rsidRPr="000B7A27">
              <w:rPr>
                <w:rFonts w:asciiTheme="minorHAnsi" w:hAnsiTheme="minorHAnsi" w:cstheme="minorHAnsi"/>
                <w:b/>
              </w:rPr>
              <w:lastRenderedPageBreak/>
              <w:t>Motivos de la calificación:</w:t>
            </w:r>
          </w:p>
        </w:tc>
        <w:tc>
          <w:tcPr>
            <w:tcW w:w="4410" w:type="dxa"/>
          </w:tcPr>
          <w:p w14:paraId="55E9CF7E" w14:textId="77777777" w:rsidR="0057097F" w:rsidRDefault="009C7FB8" w:rsidP="357EB3F4">
            <w:pPr>
              <w:spacing w:line="276" w:lineRule="auto"/>
              <w:jc w:val="both"/>
              <w:rPr>
                <w:rFonts w:asciiTheme="minorHAnsi" w:eastAsia="Arial" w:hAnsiTheme="minorHAnsi" w:cstheme="minorBidi"/>
              </w:rPr>
            </w:pPr>
            <w:r>
              <w:rPr>
                <w:rFonts w:asciiTheme="minorHAnsi" w:eastAsia="Arial" w:hAnsiTheme="minorHAnsi" w:cstheme="minorBidi"/>
              </w:rPr>
              <w:t xml:space="preserve">La contingencia se califica como probable, teniendo en cuenta que nos encontramos en el marco de un régimen de responsabilidad por actividades peligrosas, por la conducción de vehículos automotores, por tanto, un régimen de culpa presunta, además de ello, la póliza por la cual se vinculó a la compañía aseguradora prestaba cobertura tanto material como temporal a los hechos materia de litigio. </w:t>
            </w:r>
          </w:p>
          <w:p w14:paraId="32B941D5" w14:textId="77777777" w:rsidR="009C7FB8" w:rsidRDefault="009C7FB8" w:rsidP="357EB3F4">
            <w:pPr>
              <w:spacing w:line="276" w:lineRule="auto"/>
              <w:jc w:val="both"/>
              <w:rPr>
                <w:rFonts w:asciiTheme="minorHAnsi" w:eastAsia="Arial" w:hAnsiTheme="minorHAnsi" w:cstheme="minorBidi"/>
              </w:rPr>
            </w:pPr>
          </w:p>
          <w:p w14:paraId="173E9217" w14:textId="23700B1B" w:rsidR="009C7FB8" w:rsidRDefault="0066274A" w:rsidP="357EB3F4">
            <w:pPr>
              <w:spacing w:line="276" w:lineRule="auto"/>
              <w:jc w:val="both"/>
              <w:rPr>
                <w:rFonts w:asciiTheme="minorHAnsi" w:eastAsia="Arial" w:hAnsiTheme="minorHAnsi" w:cstheme="minorBidi"/>
              </w:rPr>
            </w:pPr>
            <w:r>
              <w:rPr>
                <w:rFonts w:asciiTheme="minorHAnsi" w:eastAsia="Arial" w:hAnsiTheme="minorHAnsi" w:cstheme="minorBidi"/>
              </w:rPr>
              <w:t>En cuanto a la póliza de seguro, la misma presta cobertura tanto material como temporal para los hechos materia</w:t>
            </w:r>
            <w:r w:rsidR="006E70B2">
              <w:rPr>
                <w:rFonts w:asciiTheme="minorHAnsi" w:eastAsia="Arial" w:hAnsiTheme="minorHAnsi" w:cstheme="minorBidi"/>
              </w:rPr>
              <w:t xml:space="preserve"> de litigio; </w:t>
            </w:r>
            <w:r w:rsidR="006E70B2">
              <w:rPr>
                <w:rFonts w:asciiTheme="minorHAnsi" w:eastAsia="Arial" w:hAnsiTheme="minorHAnsi" w:cstheme="minorBidi"/>
                <w:b/>
                <w:bCs/>
              </w:rPr>
              <w:t xml:space="preserve">en cuanto a la cobertura temporal, </w:t>
            </w:r>
            <w:r w:rsidR="006E70B2">
              <w:rPr>
                <w:rFonts w:asciiTheme="minorHAnsi" w:eastAsia="Arial" w:hAnsiTheme="minorHAnsi" w:cstheme="minorBidi"/>
              </w:rPr>
              <w:t xml:space="preserve">la póliza </w:t>
            </w:r>
            <w:r w:rsidR="001D01A1">
              <w:rPr>
                <w:rFonts w:asciiTheme="minorHAnsi" w:eastAsia="Arial" w:hAnsiTheme="minorHAnsi" w:cstheme="minorBidi"/>
              </w:rPr>
              <w:t>tenía</w:t>
            </w:r>
            <w:r w:rsidR="006E70B2">
              <w:rPr>
                <w:rFonts w:asciiTheme="minorHAnsi" w:eastAsia="Arial" w:hAnsiTheme="minorHAnsi" w:cstheme="minorBidi"/>
              </w:rPr>
              <w:t xml:space="preserve"> una vigencia entre el 24 de agosto de 2023 y el 24 de agosto de 2024, y los hechos ocurrieron el 19 de enero de 2024, es decir, dentro de la vigencia de la póliza, frente a la </w:t>
            </w:r>
            <w:r w:rsidR="006E70B2">
              <w:rPr>
                <w:rFonts w:asciiTheme="minorHAnsi" w:eastAsia="Arial" w:hAnsiTheme="minorHAnsi" w:cstheme="minorBidi"/>
                <w:b/>
                <w:bCs/>
              </w:rPr>
              <w:t>cobertura material</w:t>
            </w:r>
            <w:r w:rsidR="006E70B2">
              <w:rPr>
                <w:rFonts w:asciiTheme="minorHAnsi" w:eastAsia="Arial" w:hAnsiTheme="minorHAnsi" w:cstheme="minorBidi"/>
              </w:rPr>
              <w:t>, en la caratula de la póliza se puede observar un</w:t>
            </w:r>
            <w:r w:rsidR="00A14850">
              <w:rPr>
                <w:rFonts w:asciiTheme="minorHAnsi" w:eastAsia="Arial" w:hAnsiTheme="minorHAnsi" w:cstheme="minorBidi"/>
              </w:rPr>
              <w:t xml:space="preserve"> amparo de responsabilidad civil extracontractual</w:t>
            </w:r>
            <w:r w:rsidR="004401EB">
              <w:rPr>
                <w:rFonts w:asciiTheme="minorHAnsi" w:eastAsia="Arial" w:hAnsiTheme="minorHAnsi" w:cstheme="minorBidi"/>
              </w:rPr>
              <w:t xml:space="preserve">, y revisada las condiciones generales de la póliza, no se observa ningún exclusión pactada que sea aplicable. </w:t>
            </w:r>
          </w:p>
          <w:p w14:paraId="356A3071" w14:textId="77777777" w:rsidR="00AA2481" w:rsidRDefault="00AA2481" w:rsidP="357EB3F4">
            <w:pPr>
              <w:spacing w:line="276" w:lineRule="auto"/>
              <w:jc w:val="both"/>
              <w:rPr>
                <w:rFonts w:asciiTheme="minorHAnsi" w:eastAsia="Arial" w:hAnsiTheme="minorHAnsi" w:cstheme="minorBidi"/>
              </w:rPr>
            </w:pPr>
          </w:p>
          <w:p w14:paraId="286AF8FB" w14:textId="77777777" w:rsidR="00AA2481" w:rsidRDefault="00AA2481" w:rsidP="357EB3F4">
            <w:pPr>
              <w:spacing w:line="276" w:lineRule="auto"/>
              <w:jc w:val="both"/>
              <w:rPr>
                <w:rFonts w:asciiTheme="minorHAnsi" w:eastAsia="Arial" w:hAnsiTheme="minorHAnsi" w:cstheme="minorBidi"/>
              </w:rPr>
            </w:pPr>
            <w:r>
              <w:rPr>
                <w:rFonts w:asciiTheme="minorHAnsi" w:eastAsia="Arial" w:hAnsiTheme="minorHAnsi" w:cstheme="minorBidi"/>
              </w:rPr>
              <w:t xml:space="preserve">Frente a la responsabilidad, por tratarse de un accidente de tránsito entre un peatón y un vehículo, le es aplicable el régimen de responsabilidad de actividades peligrosas regulado por el artículo 2356 del Código Civil, es decir, un régimen de culpa presunta, y los demandados solo se podrán exonerar de responsabilidad </w:t>
            </w:r>
            <w:r w:rsidR="00155ED6">
              <w:rPr>
                <w:rFonts w:asciiTheme="minorHAnsi" w:eastAsia="Arial" w:hAnsiTheme="minorHAnsi" w:cstheme="minorBidi"/>
              </w:rPr>
              <w:t xml:space="preserve">probando causa extraña que destruya el nexo de causalidad entre la actividad y el daño (hecho de la víctima, hecho de un tercero, fuerza mayor). </w:t>
            </w:r>
          </w:p>
          <w:p w14:paraId="35755E1F" w14:textId="77777777" w:rsidR="00F41389" w:rsidRDefault="00F41389" w:rsidP="357EB3F4">
            <w:pPr>
              <w:spacing w:line="276" w:lineRule="auto"/>
              <w:jc w:val="both"/>
              <w:rPr>
                <w:rFonts w:asciiTheme="minorHAnsi" w:eastAsia="Arial" w:hAnsiTheme="minorHAnsi" w:cstheme="minorBidi"/>
              </w:rPr>
            </w:pPr>
          </w:p>
          <w:p w14:paraId="500322F6" w14:textId="1FAD2C72" w:rsidR="00F41389" w:rsidRPr="00F41389" w:rsidRDefault="00F41389" w:rsidP="357EB3F4">
            <w:pPr>
              <w:spacing w:line="276" w:lineRule="auto"/>
              <w:jc w:val="both"/>
              <w:rPr>
                <w:rFonts w:asciiTheme="minorHAnsi" w:eastAsia="Arial" w:hAnsiTheme="minorHAnsi" w:cstheme="minorBidi"/>
              </w:rPr>
            </w:pPr>
            <w:r>
              <w:rPr>
                <w:rFonts w:asciiTheme="minorHAnsi" w:eastAsia="Arial" w:hAnsiTheme="minorHAnsi" w:cstheme="minorBidi"/>
              </w:rPr>
              <w:t xml:space="preserve">Por las razones expuestas, reiteramos entonces, que la calificación de la contingencia es </w:t>
            </w:r>
            <w:r>
              <w:rPr>
                <w:rFonts w:asciiTheme="minorHAnsi" w:eastAsia="Arial" w:hAnsiTheme="minorHAnsi" w:cstheme="minorBidi"/>
                <w:b/>
                <w:bCs/>
                <w:u w:val="single"/>
              </w:rPr>
              <w:t>PROBABLE</w:t>
            </w:r>
            <w:r>
              <w:rPr>
                <w:rFonts w:asciiTheme="minorHAnsi" w:eastAsia="Arial" w:hAnsiTheme="minorHAnsi" w:cstheme="minorBidi"/>
              </w:rPr>
              <w:t xml:space="preserve">; en tanto que, por un lado, la póliza a afectar prestaba cobertura material y temporal a los hechos, y que el no se observa </w:t>
            </w:r>
            <w:r>
              <w:rPr>
                <w:rFonts w:asciiTheme="minorHAnsi" w:eastAsia="Arial" w:hAnsiTheme="minorHAnsi" w:cstheme="minorBidi"/>
              </w:rPr>
              <w:lastRenderedPageBreak/>
              <w:t xml:space="preserve">en el plenario ninguna causal eximente de responsabilidad. </w:t>
            </w:r>
          </w:p>
        </w:tc>
      </w:tr>
      <w:tr w:rsidR="0057097F" w:rsidRPr="000B7A27" w14:paraId="50032300" w14:textId="77777777" w:rsidTr="357EB3F4">
        <w:tc>
          <w:tcPr>
            <w:tcW w:w="6000" w:type="dxa"/>
            <w:shd w:val="clear" w:color="auto" w:fill="D9D9D9" w:themeFill="background1" w:themeFillShade="D9"/>
          </w:tcPr>
          <w:p w14:paraId="500322F8" w14:textId="77777777" w:rsidR="0057097F" w:rsidRPr="000B7A27" w:rsidRDefault="000B7A27">
            <w:pPr>
              <w:rPr>
                <w:rFonts w:asciiTheme="minorHAnsi" w:hAnsiTheme="minorHAnsi" w:cstheme="minorHAnsi"/>
                <w:b/>
              </w:rPr>
            </w:pPr>
            <w:r w:rsidRPr="000B7A27">
              <w:rPr>
                <w:rFonts w:asciiTheme="minorHAnsi" w:hAnsiTheme="minorHAnsi" w:cstheme="minorHAnsi"/>
                <w:b/>
              </w:rPr>
              <w:lastRenderedPageBreak/>
              <w:t>Excepciones propuestas:</w:t>
            </w:r>
          </w:p>
        </w:tc>
        <w:tc>
          <w:tcPr>
            <w:tcW w:w="4410" w:type="dxa"/>
          </w:tcPr>
          <w:p w14:paraId="32D5DAB4" w14:textId="6F78732E" w:rsidR="000B7A27" w:rsidRDefault="000B7A27" w:rsidP="357EB3F4">
            <w:pPr>
              <w:jc w:val="both"/>
              <w:rPr>
                <w:rFonts w:asciiTheme="minorHAnsi" w:hAnsiTheme="minorHAnsi" w:cstheme="minorBidi"/>
              </w:rPr>
            </w:pPr>
            <w:r w:rsidRPr="357EB3F4">
              <w:rPr>
                <w:rFonts w:asciiTheme="minorHAnsi" w:hAnsiTheme="minorHAnsi" w:cstheme="minorBidi"/>
              </w:rPr>
              <w:t>EXCEPCIONES DE FONDO FRENTE A LA DEMANDA</w:t>
            </w:r>
            <w:r w:rsidR="0BAEC5E2" w:rsidRPr="357EB3F4">
              <w:rPr>
                <w:rFonts w:asciiTheme="minorHAnsi" w:hAnsiTheme="minorHAnsi" w:cstheme="minorBidi"/>
              </w:rPr>
              <w:t>:</w:t>
            </w:r>
          </w:p>
          <w:p w14:paraId="500322FA" w14:textId="77777777" w:rsidR="0057097F" w:rsidRDefault="0057097F">
            <w:pPr>
              <w:jc w:val="both"/>
              <w:rPr>
                <w:rFonts w:asciiTheme="minorHAnsi" w:hAnsiTheme="minorHAnsi" w:cstheme="minorHAnsi"/>
                <w:b/>
              </w:rPr>
            </w:pPr>
          </w:p>
          <w:p w14:paraId="13A0E6CA" w14:textId="30E7096A" w:rsidR="0022674B" w:rsidRPr="00586AF2" w:rsidRDefault="00586AF2" w:rsidP="00586AF2">
            <w:pPr>
              <w:pStyle w:val="Prrafodelista"/>
              <w:numPr>
                <w:ilvl w:val="0"/>
                <w:numId w:val="3"/>
              </w:numPr>
              <w:jc w:val="both"/>
              <w:rPr>
                <w:rFonts w:asciiTheme="minorHAnsi" w:hAnsiTheme="minorHAnsi" w:cstheme="minorHAnsi"/>
                <w:b/>
              </w:rPr>
            </w:pPr>
            <w:r>
              <w:rPr>
                <w:rFonts w:asciiTheme="minorHAnsi" w:hAnsiTheme="minorHAnsi" w:cstheme="minorHAnsi"/>
                <w:bCs/>
              </w:rPr>
              <w:t>Inexistencia de responsabilidad a cargo de los demandados por la falta de acreditación del nexo causal</w:t>
            </w:r>
          </w:p>
          <w:p w14:paraId="66A8A310" w14:textId="1BB3A1B8" w:rsidR="00586AF2" w:rsidRPr="00586AF2" w:rsidRDefault="00586AF2" w:rsidP="00586AF2">
            <w:pPr>
              <w:pStyle w:val="Prrafodelista"/>
              <w:numPr>
                <w:ilvl w:val="0"/>
                <w:numId w:val="3"/>
              </w:numPr>
              <w:jc w:val="both"/>
              <w:rPr>
                <w:rFonts w:asciiTheme="minorHAnsi" w:hAnsiTheme="minorHAnsi" w:cstheme="minorHAnsi"/>
                <w:b/>
              </w:rPr>
            </w:pPr>
            <w:r>
              <w:rPr>
                <w:rFonts w:asciiTheme="minorHAnsi" w:hAnsiTheme="minorHAnsi" w:cstheme="minorHAnsi"/>
                <w:bCs/>
              </w:rPr>
              <w:t>Reducción de la indemnización como consecuencia de la incidencia de la conducta de la señora GLORIA SIABATO GIL</w:t>
            </w:r>
          </w:p>
          <w:p w14:paraId="71A2DFD6" w14:textId="498969F5" w:rsidR="00586AF2" w:rsidRPr="00586AF2" w:rsidRDefault="00586AF2" w:rsidP="00586AF2">
            <w:pPr>
              <w:pStyle w:val="Prrafodelista"/>
              <w:numPr>
                <w:ilvl w:val="0"/>
                <w:numId w:val="3"/>
              </w:numPr>
              <w:jc w:val="both"/>
              <w:rPr>
                <w:rFonts w:asciiTheme="minorHAnsi" w:hAnsiTheme="minorHAnsi" w:cstheme="minorHAnsi"/>
                <w:b/>
              </w:rPr>
            </w:pPr>
            <w:r>
              <w:rPr>
                <w:rFonts w:asciiTheme="minorHAnsi" w:hAnsiTheme="minorHAnsi" w:cstheme="minorHAnsi"/>
                <w:bCs/>
              </w:rPr>
              <w:t>Improcedencia de reconocimiento y tasación exorbitante del daño moral</w:t>
            </w:r>
          </w:p>
          <w:p w14:paraId="1DC72B1B" w14:textId="471846CC" w:rsidR="00586AF2" w:rsidRPr="00586AF2" w:rsidRDefault="00586AF2" w:rsidP="00586AF2">
            <w:pPr>
              <w:pStyle w:val="Prrafodelista"/>
              <w:numPr>
                <w:ilvl w:val="0"/>
                <w:numId w:val="3"/>
              </w:numPr>
              <w:jc w:val="both"/>
              <w:rPr>
                <w:rFonts w:asciiTheme="minorHAnsi" w:hAnsiTheme="minorHAnsi" w:cstheme="minorHAnsi"/>
                <w:b/>
              </w:rPr>
            </w:pPr>
            <w:r>
              <w:rPr>
                <w:rFonts w:asciiTheme="minorHAnsi" w:hAnsiTheme="minorHAnsi" w:cstheme="minorHAnsi"/>
                <w:bCs/>
              </w:rPr>
              <w:t>Improcedencia del reconocimiento del daño a la vida en relación al extremo actor</w:t>
            </w:r>
          </w:p>
          <w:p w14:paraId="61402BD9" w14:textId="15B9B91D" w:rsidR="00586AF2" w:rsidRPr="00586AF2" w:rsidRDefault="00586AF2" w:rsidP="00586AF2">
            <w:pPr>
              <w:pStyle w:val="Prrafodelista"/>
              <w:numPr>
                <w:ilvl w:val="0"/>
                <w:numId w:val="3"/>
              </w:numPr>
              <w:jc w:val="both"/>
              <w:rPr>
                <w:rFonts w:asciiTheme="minorHAnsi" w:hAnsiTheme="minorHAnsi" w:cstheme="minorHAnsi"/>
                <w:b/>
              </w:rPr>
            </w:pPr>
            <w:r>
              <w:rPr>
                <w:rFonts w:asciiTheme="minorHAnsi" w:hAnsiTheme="minorHAnsi" w:cstheme="minorHAnsi"/>
                <w:bCs/>
              </w:rPr>
              <w:t xml:space="preserve">Inexistencia de la pérdida de oportunidad, consecuentemente no se puede ordenar su indemnización </w:t>
            </w:r>
          </w:p>
          <w:p w14:paraId="2EE05A0F" w14:textId="571E81E1" w:rsidR="00586AF2" w:rsidRPr="00586AF2" w:rsidRDefault="00F70C73" w:rsidP="00586AF2">
            <w:pPr>
              <w:pStyle w:val="Prrafodelista"/>
              <w:numPr>
                <w:ilvl w:val="0"/>
                <w:numId w:val="3"/>
              </w:numPr>
              <w:jc w:val="both"/>
              <w:rPr>
                <w:rFonts w:asciiTheme="minorHAnsi" w:hAnsiTheme="minorHAnsi" w:cstheme="minorHAnsi"/>
                <w:b/>
              </w:rPr>
            </w:pPr>
            <w:r>
              <w:rPr>
                <w:rFonts w:asciiTheme="minorHAnsi" w:hAnsiTheme="minorHAnsi" w:cstheme="minorHAnsi"/>
                <w:bCs/>
              </w:rPr>
              <w:t>Inexistencia</w:t>
            </w:r>
            <w:r w:rsidR="00586AF2">
              <w:rPr>
                <w:rFonts w:asciiTheme="minorHAnsi" w:hAnsiTheme="minorHAnsi" w:cstheme="minorHAnsi"/>
                <w:bCs/>
              </w:rPr>
              <w:t xml:space="preserve"> de obligación de HDI SEGUROS COLOMBIA S.A. (antes LIBERTY SEGUROS S.A.) de pagar intereses de mora en virtud del artículo 1080 del Código de Comercio</w:t>
            </w:r>
          </w:p>
          <w:p w14:paraId="556AFA6A" w14:textId="4309EBF7" w:rsidR="00586AF2" w:rsidRPr="00586AF2" w:rsidRDefault="00586AF2" w:rsidP="00586AF2">
            <w:pPr>
              <w:pStyle w:val="Prrafodelista"/>
              <w:numPr>
                <w:ilvl w:val="0"/>
                <w:numId w:val="3"/>
              </w:numPr>
              <w:jc w:val="both"/>
              <w:rPr>
                <w:rFonts w:asciiTheme="minorHAnsi" w:hAnsiTheme="minorHAnsi" w:cstheme="minorHAnsi"/>
                <w:b/>
              </w:rPr>
            </w:pPr>
            <w:r>
              <w:rPr>
                <w:rFonts w:asciiTheme="minorHAnsi" w:hAnsiTheme="minorHAnsi" w:cstheme="minorHAnsi"/>
                <w:bCs/>
              </w:rPr>
              <w:t>Falta de legitimación en la causa por activa del señor Enrique Rincón Marín</w:t>
            </w:r>
          </w:p>
          <w:p w14:paraId="500322FB" w14:textId="77777777" w:rsidR="0057097F" w:rsidRPr="000B7A27" w:rsidRDefault="0057097F">
            <w:pPr>
              <w:jc w:val="both"/>
              <w:rPr>
                <w:rFonts w:asciiTheme="minorHAnsi" w:hAnsiTheme="minorHAnsi" w:cstheme="minorHAnsi"/>
                <w:b/>
              </w:rPr>
            </w:pPr>
          </w:p>
          <w:p w14:paraId="500322FC" w14:textId="77777777" w:rsidR="0057097F" w:rsidRPr="000B7A27" w:rsidRDefault="0057097F">
            <w:pPr>
              <w:jc w:val="both"/>
              <w:rPr>
                <w:rFonts w:asciiTheme="minorHAnsi" w:hAnsiTheme="minorHAnsi" w:cstheme="minorHAnsi"/>
                <w:b/>
              </w:rPr>
            </w:pPr>
          </w:p>
          <w:p w14:paraId="500322FD" w14:textId="453C29C4" w:rsidR="0057097F" w:rsidRDefault="000B7A27">
            <w:pPr>
              <w:jc w:val="both"/>
              <w:rPr>
                <w:rFonts w:asciiTheme="minorHAnsi" w:hAnsiTheme="minorHAnsi" w:cstheme="minorBidi"/>
              </w:rPr>
            </w:pPr>
            <w:r w:rsidRPr="357EB3F4">
              <w:rPr>
                <w:rFonts w:asciiTheme="minorHAnsi" w:hAnsiTheme="minorHAnsi" w:cstheme="minorBidi"/>
              </w:rPr>
              <w:t xml:space="preserve">EXCEPCIONES </w:t>
            </w:r>
            <w:r w:rsidR="00B51959">
              <w:rPr>
                <w:rFonts w:asciiTheme="minorHAnsi" w:hAnsiTheme="minorHAnsi" w:cstheme="minorBidi"/>
              </w:rPr>
              <w:t>DE FONDO FRENTE AL CONTRATO DE SEGURO:</w:t>
            </w:r>
          </w:p>
          <w:p w14:paraId="1B1480E7" w14:textId="77777777" w:rsidR="00B51959" w:rsidRDefault="00B51959">
            <w:pPr>
              <w:jc w:val="both"/>
              <w:rPr>
                <w:rFonts w:asciiTheme="minorHAnsi" w:hAnsiTheme="minorHAnsi" w:cstheme="minorBidi"/>
              </w:rPr>
            </w:pPr>
          </w:p>
          <w:p w14:paraId="6ACA94BE" w14:textId="24A0A515" w:rsidR="00B51959" w:rsidRDefault="00B51959" w:rsidP="00B51959">
            <w:pPr>
              <w:pStyle w:val="Prrafodelista"/>
              <w:numPr>
                <w:ilvl w:val="0"/>
                <w:numId w:val="3"/>
              </w:numPr>
              <w:jc w:val="both"/>
              <w:rPr>
                <w:rFonts w:asciiTheme="minorHAnsi" w:hAnsiTheme="minorHAnsi" w:cstheme="minorHAnsi"/>
              </w:rPr>
            </w:pPr>
            <w:r>
              <w:rPr>
                <w:rFonts w:asciiTheme="minorHAnsi" w:hAnsiTheme="minorHAnsi" w:cstheme="minorHAnsi"/>
              </w:rPr>
              <w:t>Inexistencia de obligación de indemnizar por incumplimiento de las cargas del artículo 1077 del Código de Comercio</w:t>
            </w:r>
          </w:p>
          <w:p w14:paraId="412EFD27" w14:textId="0033DB3C" w:rsidR="00B51959" w:rsidRDefault="00B51959" w:rsidP="00B51959">
            <w:pPr>
              <w:pStyle w:val="Prrafodelista"/>
              <w:numPr>
                <w:ilvl w:val="0"/>
                <w:numId w:val="3"/>
              </w:numPr>
              <w:jc w:val="both"/>
              <w:rPr>
                <w:rFonts w:asciiTheme="minorHAnsi" w:hAnsiTheme="minorHAnsi" w:cstheme="minorHAnsi"/>
              </w:rPr>
            </w:pPr>
            <w:r>
              <w:rPr>
                <w:rFonts w:asciiTheme="minorHAnsi" w:hAnsiTheme="minorHAnsi" w:cstheme="minorHAnsi"/>
              </w:rPr>
              <w:t>Carácter meramente indemnizatorio que revisten los contratos de seguros</w:t>
            </w:r>
          </w:p>
          <w:p w14:paraId="7F3A5F65" w14:textId="46F8C007" w:rsidR="00B51959" w:rsidRDefault="00B51959" w:rsidP="00B51959">
            <w:pPr>
              <w:pStyle w:val="Prrafodelista"/>
              <w:numPr>
                <w:ilvl w:val="0"/>
                <w:numId w:val="3"/>
              </w:numPr>
              <w:jc w:val="both"/>
              <w:rPr>
                <w:rFonts w:asciiTheme="minorHAnsi" w:hAnsiTheme="minorHAnsi" w:cstheme="minorHAnsi"/>
              </w:rPr>
            </w:pPr>
            <w:r>
              <w:rPr>
                <w:rFonts w:asciiTheme="minorHAnsi" w:hAnsiTheme="minorHAnsi" w:cstheme="minorHAnsi"/>
              </w:rPr>
              <w:t>En cualquier caso, de ninguna forma se podrá exceder el límite del valor asegurado en la póliza No. 497218</w:t>
            </w:r>
          </w:p>
          <w:p w14:paraId="64F8760B" w14:textId="59686B8A" w:rsidR="000665D7" w:rsidRDefault="000665D7" w:rsidP="00B51959">
            <w:pPr>
              <w:pStyle w:val="Prrafodelista"/>
              <w:numPr>
                <w:ilvl w:val="0"/>
                <w:numId w:val="3"/>
              </w:numPr>
              <w:jc w:val="both"/>
              <w:rPr>
                <w:rFonts w:asciiTheme="minorHAnsi" w:hAnsiTheme="minorHAnsi" w:cstheme="minorHAnsi"/>
              </w:rPr>
            </w:pPr>
            <w:r>
              <w:rPr>
                <w:rFonts w:asciiTheme="minorHAnsi" w:hAnsiTheme="minorHAnsi" w:cstheme="minorHAnsi"/>
              </w:rPr>
              <w:t>La eventual obligación de HDI SEGUROS COLOMBIA S.A. (ANTES LIBERTY SEGUROS S.A.), se circunscribe en proporción a la cuantía</w:t>
            </w:r>
            <w:r w:rsidR="00245726">
              <w:rPr>
                <w:rFonts w:asciiTheme="minorHAnsi" w:hAnsiTheme="minorHAnsi" w:cstheme="minorHAnsi"/>
              </w:rPr>
              <w:t xml:space="preserve"> de su participación porcentual, de acuerdo con el coaseguro concertado en la </w:t>
            </w:r>
            <w:r w:rsidR="00245726">
              <w:rPr>
                <w:rFonts w:asciiTheme="minorHAnsi" w:hAnsiTheme="minorHAnsi" w:cstheme="minorHAnsi"/>
              </w:rPr>
              <w:lastRenderedPageBreak/>
              <w:t xml:space="preserve">póliza de automóviles número 497218 con seguros alfa. </w:t>
            </w:r>
          </w:p>
          <w:p w14:paraId="0D5F1E08" w14:textId="68CE5DB2" w:rsidR="00806434" w:rsidRDefault="00806434" w:rsidP="00B51959">
            <w:pPr>
              <w:pStyle w:val="Prrafodelista"/>
              <w:numPr>
                <w:ilvl w:val="0"/>
                <w:numId w:val="3"/>
              </w:numPr>
              <w:jc w:val="both"/>
              <w:rPr>
                <w:rFonts w:asciiTheme="minorHAnsi" w:hAnsiTheme="minorHAnsi" w:cstheme="minorHAnsi"/>
              </w:rPr>
            </w:pPr>
            <w:r>
              <w:rPr>
                <w:rFonts w:asciiTheme="minorHAnsi" w:hAnsiTheme="minorHAnsi" w:cstheme="minorHAnsi"/>
              </w:rPr>
              <w:t>Disponibilidad de la suma asegurada</w:t>
            </w:r>
          </w:p>
          <w:p w14:paraId="6020C1BD" w14:textId="70FE6827" w:rsidR="00806434" w:rsidRDefault="00806434" w:rsidP="00B51959">
            <w:pPr>
              <w:pStyle w:val="Prrafodelista"/>
              <w:numPr>
                <w:ilvl w:val="0"/>
                <w:numId w:val="3"/>
              </w:numPr>
              <w:jc w:val="both"/>
              <w:rPr>
                <w:rFonts w:asciiTheme="minorHAnsi" w:hAnsiTheme="minorHAnsi" w:cstheme="minorHAnsi"/>
              </w:rPr>
            </w:pPr>
            <w:r>
              <w:rPr>
                <w:rFonts w:asciiTheme="minorHAnsi" w:hAnsiTheme="minorHAnsi" w:cstheme="minorHAnsi"/>
              </w:rPr>
              <w:t>Riesgos expresamente excluidos en la póliza de seguro No. 497218</w:t>
            </w:r>
          </w:p>
          <w:p w14:paraId="5E071FA4" w14:textId="6CC0AE34" w:rsidR="00806434" w:rsidRPr="00B51959" w:rsidRDefault="00806434" w:rsidP="00B51959">
            <w:pPr>
              <w:pStyle w:val="Prrafodelista"/>
              <w:numPr>
                <w:ilvl w:val="0"/>
                <w:numId w:val="3"/>
              </w:numPr>
              <w:jc w:val="both"/>
              <w:rPr>
                <w:rFonts w:asciiTheme="minorHAnsi" w:hAnsiTheme="minorHAnsi" w:cstheme="minorHAnsi"/>
              </w:rPr>
            </w:pPr>
            <w:r>
              <w:rPr>
                <w:rFonts w:asciiTheme="minorHAnsi" w:hAnsiTheme="minorHAnsi" w:cstheme="minorHAnsi"/>
              </w:rPr>
              <w:t xml:space="preserve">Genérica o innominada. </w:t>
            </w:r>
          </w:p>
          <w:p w14:paraId="500322FF" w14:textId="77777777" w:rsidR="0057097F" w:rsidRPr="000B7A27" w:rsidRDefault="0057097F">
            <w:pPr>
              <w:jc w:val="both"/>
              <w:rPr>
                <w:rFonts w:asciiTheme="minorHAnsi" w:hAnsiTheme="minorHAnsi" w:cstheme="minorHAnsi"/>
              </w:rPr>
            </w:pPr>
          </w:p>
        </w:tc>
      </w:tr>
      <w:tr w:rsidR="0057097F" w:rsidRPr="000B7A27" w14:paraId="50032303" w14:textId="77777777" w:rsidTr="357EB3F4">
        <w:tc>
          <w:tcPr>
            <w:tcW w:w="6000" w:type="dxa"/>
            <w:shd w:val="clear" w:color="auto" w:fill="D9D9D9" w:themeFill="background1" w:themeFillShade="D9"/>
          </w:tcPr>
          <w:p w14:paraId="50032301" w14:textId="77777777" w:rsidR="0057097F" w:rsidRPr="000B7A27" w:rsidRDefault="000B7A27">
            <w:pPr>
              <w:rPr>
                <w:rFonts w:asciiTheme="minorHAnsi" w:hAnsiTheme="minorHAnsi" w:cstheme="minorHAnsi"/>
                <w:b/>
              </w:rPr>
            </w:pPr>
            <w:r w:rsidRPr="000B7A27">
              <w:rPr>
                <w:rFonts w:asciiTheme="minorHAnsi" w:hAnsiTheme="minorHAnsi" w:cstheme="minorHAnsi"/>
                <w:b/>
              </w:rPr>
              <w:lastRenderedPageBreak/>
              <w:t>Concepto del abogado sobre la posibilidad de conciliar el caso y valor de una propuesta conciliatoria:</w:t>
            </w:r>
          </w:p>
        </w:tc>
        <w:tc>
          <w:tcPr>
            <w:tcW w:w="4410" w:type="dxa"/>
          </w:tcPr>
          <w:p w14:paraId="50032302" w14:textId="77777777" w:rsidR="0057097F" w:rsidRPr="000B7A27" w:rsidRDefault="0057097F">
            <w:pPr>
              <w:jc w:val="both"/>
              <w:rPr>
                <w:rFonts w:asciiTheme="minorHAnsi" w:hAnsiTheme="minorHAnsi" w:cstheme="minorHAnsi"/>
                <w:b/>
              </w:rPr>
            </w:pPr>
          </w:p>
        </w:tc>
      </w:tr>
    </w:tbl>
    <w:p w14:paraId="50032304" w14:textId="77777777" w:rsidR="0057097F" w:rsidRPr="000B7A27" w:rsidRDefault="0057097F">
      <w:pPr>
        <w:rPr>
          <w:rFonts w:asciiTheme="minorHAnsi" w:hAnsiTheme="minorHAnsi" w:cstheme="minorHAnsi"/>
          <w:b/>
        </w:rPr>
      </w:pPr>
    </w:p>
    <w:p w14:paraId="50032305" w14:textId="77777777" w:rsidR="0057097F" w:rsidRPr="000B7A27" w:rsidRDefault="0057097F">
      <w:pPr>
        <w:rPr>
          <w:rFonts w:asciiTheme="minorHAnsi" w:hAnsiTheme="minorHAnsi" w:cstheme="minorHAnsi"/>
          <w:b/>
        </w:rPr>
      </w:pPr>
    </w:p>
    <w:p w14:paraId="50032306" w14:textId="77777777" w:rsidR="0057097F" w:rsidRPr="000B7A27" w:rsidRDefault="000B7A27">
      <w:pPr>
        <w:rPr>
          <w:rFonts w:asciiTheme="minorHAnsi" w:hAnsiTheme="minorHAnsi" w:cstheme="minorHAnsi"/>
          <w:b/>
        </w:rPr>
      </w:pPr>
      <w:r w:rsidRPr="000B7A27">
        <w:rPr>
          <w:rFonts w:asciiTheme="minorHAnsi" w:hAnsiTheme="minorHAnsi" w:cstheme="minorHAnsi"/>
          <w:b/>
        </w:rPr>
        <w:t>INFORMACIÓN PARA LA AUDIENCIA DE CONCILIACIÓN:</w:t>
      </w:r>
    </w:p>
    <w:tbl>
      <w:tblPr>
        <w:tblStyle w:val="a0"/>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7097F" w:rsidRPr="000B7A27" w14:paraId="50032309" w14:textId="77777777">
        <w:trPr>
          <w:trHeight w:val="238"/>
        </w:trPr>
        <w:tc>
          <w:tcPr>
            <w:tcW w:w="4414" w:type="dxa"/>
            <w:shd w:val="clear" w:color="auto" w:fill="D9D9D9"/>
          </w:tcPr>
          <w:p w14:paraId="50032307" w14:textId="77777777" w:rsidR="0057097F" w:rsidRPr="000B7A27" w:rsidRDefault="000B7A27">
            <w:pPr>
              <w:rPr>
                <w:rFonts w:asciiTheme="minorHAnsi" w:hAnsiTheme="minorHAnsi" w:cstheme="minorHAnsi"/>
                <w:b/>
              </w:rPr>
            </w:pPr>
            <w:r w:rsidRPr="000B7A27">
              <w:rPr>
                <w:rFonts w:asciiTheme="minorHAnsi" w:hAnsiTheme="minorHAnsi" w:cstheme="minorHAnsi"/>
                <w:b/>
              </w:rPr>
              <w:t>Fecha y hora de la diligencia:</w:t>
            </w:r>
          </w:p>
        </w:tc>
        <w:tc>
          <w:tcPr>
            <w:tcW w:w="4414" w:type="dxa"/>
          </w:tcPr>
          <w:p w14:paraId="50032308" w14:textId="4DE052B6" w:rsidR="0057097F" w:rsidRPr="000B7A27" w:rsidRDefault="0022674B">
            <w:pPr>
              <w:rPr>
                <w:rFonts w:asciiTheme="minorHAnsi" w:hAnsiTheme="minorHAnsi" w:cstheme="minorHAnsi"/>
                <w:b/>
              </w:rPr>
            </w:pPr>
            <w:r>
              <w:rPr>
                <w:rFonts w:asciiTheme="minorHAnsi" w:hAnsiTheme="minorHAnsi" w:cstheme="minorHAnsi"/>
                <w:b/>
              </w:rPr>
              <w:t>N/A</w:t>
            </w:r>
          </w:p>
        </w:tc>
      </w:tr>
      <w:tr w:rsidR="0057097F" w:rsidRPr="000B7A27" w14:paraId="5003230C" w14:textId="77777777">
        <w:tc>
          <w:tcPr>
            <w:tcW w:w="4414" w:type="dxa"/>
            <w:shd w:val="clear" w:color="auto" w:fill="D9D9D9"/>
          </w:tcPr>
          <w:p w14:paraId="5003230A" w14:textId="77777777" w:rsidR="0057097F" w:rsidRPr="000B7A27" w:rsidRDefault="000B7A27">
            <w:pPr>
              <w:rPr>
                <w:rFonts w:asciiTheme="minorHAnsi" w:hAnsiTheme="minorHAnsi" w:cstheme="minorHAnsi"/>
                <w:b/>
              </w:rPr>
            </w:pPr>
            <w:r w:rsidRPr="000B7A27">
              <w:rPr>
                <w:rFonts w:asciiTheme="minorHAnsi" w:hAnsiTheme="minorHAnsi" w:cstheme="minorHAnsi"/>
                <w:b/>
              </w:rPr>
              <w:t>Síntesis de los argumentos de la Compañía:</w:t>
            </w:r>
          </w:p>
        </w:tc>
        <w:tc>
          <w:tcPr>
            <w:tcW w:w="4414" w:type="dxa"/>
          </w:tcPr>
          <w:p w14:paraId="5003230B" w14:textId="5F135CAF" w:rsidR="0057097F" w:rsidRPr="000B7A27" w:rsidRDefault="0022674B" w:rsidP="0022674B">
            <w:pPr>
              <w:pBdr>
                <w:top w:val="nil"/>
                <w:left w:val="nil"/>
                <w:bottom w:val="nil"/>
                <w:right w:val="nil"/>
                <w:between w:val="nil"/>
              </w:pBdr>
              <w:spacing w:after="160" w:line="259" w:lineRule="auto"/>
              <w:jc w:val="both"/>
              <w:rPr>
                <w:rFonts w:asciiTheme="minorHAnsi" w:hAnsiTheme="minorHAnsi" w:cstheme="minorHAnsi"/>
                <w:color w:val="000000"/>
              </w:rPr>
            </w:pPr>
            <w:r>
              <w:rPr>
                <w:rFonts w:asciiTheme="minorHAnsi" w:hAnsiTheme="minorHAnsi" w:cstheme="minorHAnsi"/>
                <w:color w:val="000000"/>
              </w:rPr>
              <w:t>N/A</w:t>
            </w:r>
          </w:p>
        </w:tc>
      </w:tr>
      <w:tr w:rsidR="0057097F" w:rsidRPr="000B7A27" w14:paraId="5003230F" w14:textId="77777777">
        <w:tc>
          <w:tcPr>
            <w:tcW w:w="4414" w:type="dxa"/>
            <w:shd w:val="clear" w:color="auto" w:fill="D9D9D9"/>
          </w:tcPr>
          <w:p w14:paraId="5003230D" w14:textId="77777777" w:rsidR="0057097F" w:rsidRPr="000B7A27" w:rsidRDefault="000B7A27">
            <w:pPr>
              <w:rPr>
                <w:rFonts w:asciiTheme="minorHAnsi" w:hAnsiTheme="minorHAnsi" w:cstheme="minorHAnsi"/>
                <w:b/>
              </w:rPr>
            </w:pPr>
            <w:r w:rsidRPr="000B7A27">
              <w:rPr>
                <w:rFonts w:asciiTheme="minorHAnsi" w:hAnsiTheme="minorHAnsi" w:cstheme="minorHAnsi"/>
                <w:b/>
              </w:rPr>
              <w:t>Recomendaciones para la diligencia:</w:t>
            </w:r>
          </w:p>
        </w:tc>
        <w:tc>
          <w:tcPr>
            <w:tcW w:w="4414" w:type="dxa"/>
          </w:tcPr>
          <w:p w14:paraId="5003230E" w14:textId="10F842F1" w:rsidR="0057097F" w:rsidRPr="000B7A27" w:rsidRDefault="0022674B">
            <w:pPr>
              <w:jc w:val="both"/>
              <w:rPr>
                <w:rFonts w:asciiTheme="minorHAnsi" w:hAnsiTheme="minorHAnsi" w:cstheme="minorHAnsi"/>
              </w:rPr>
            </w:pPr>
            <w:r>
              <w:rPr>
                <w:rFonts w:asciiTheme="minorHAnsi" w:hAnsiTheme="minorHAnsi" w:cstheme="minorHAnsi"/>
              </w:rPr>
              <w:t>N/A</w:t>
            </w:r>
          </w:p>
        </w:tc>
      </w:tr>
    </w:tbl>
    <w:p w14:paraId="50032310" w14:textId="77777777" w:rsidR="0057097F" w:rsidRPr="000B7A27" w:rsidRDefault="0057097F">
      <w:pPr>
        <w:rPr>
          <w:rFonts w:asciiTheme="minorHAnsi" w:hAnsiTheme="minorHAnsi" w:cstheme="minorHAnsi"/>
          <w:b/>
        </w:rPr>
      </w:pPr>
    </w:p>
    <w:sectPr w:rsidR="0057097F" w:rsidRPr="000B7A27">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3231B" w14:textId="77777777" w:rsidR="006D2A84" w:rsidRDefault="000B7A27">
      <w:pPr>
        <w:spacing w:after="0" w:line="240" w:lineRule="auto"/>
      </w:pPr>
      <w:r>
        <w:separator/>
      </w:r>
    </w:p>
  </w:endnote>
  <w:endnote w:type="continuationSeparator" w:id="0">
    <w:p w14:paraId="5003231D" w14:textId="77777777" w:rsidR="006D2A84" w:rsidRDefault="000B7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2313"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2314"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2316"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32317" w14:textId="77777777" w:rsidR="006D2A84" w:rsidRDefault="000B7A27">
      <w:pPr>
        <w:spacing w:after="0" w:line="240" w:lineRule="auto"/>
      </w:pPr>
      <w:r>
        <w:separator/>
      </w:r>
    </w:p>
  </w:footnote>
  <w:footnote w:type="continuationSeparator" w:id="0">
    <w:p w14:paraId="50032319" w14:textId="77777777" w:rsidR="006D2A84" w:rsidRDefault="000B7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2311"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2312"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2315"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02E43"/>
    <w:multiLevelType w:val="hybridMultilevel"/>
    <w:tmpl w:val="5D78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55E72"/>
    <w:multiLevelType w:val="hybridMultilevel"/>
    <w:tmpl w:val="A45CD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A25DEB"/>
    <w:multiLevelType w:val="hybridMultilevel"/>
    <w:tmpl w:val="FB548528"/>
    <w:lvl w:ilvl="0" w:tplc="825ED80C">
      <w:numFmt w:val="bullet"/>
      <w:lvlText w:val="-"/>
      <w:lvlJc w:val="left"/>
      <w:pPr>
        <w:ind w:left="405" w:hanging="360"/>
      </w:pPr>
      <w:rPr>
        <w:rFonts w:ascii="Calibri" w:eastAsia="Calibri" w:hAnsi="Calibri" w:cs="Calibri" w:hint="default"/>
      </w:rPr>
    </w:lvl>
    <w:lvl w:ilvl="1" w:tplc="2C0A0003" w:tentative="1">
      <w:start w:val="1"/>
      <w:numFmt w:val="bullet"/>
      <w:lvlText w:val="o"/>
      <w:lvlJc w:val="left"/>
      <w:pPr>
        <w:ind w:left="1125" w:hanging="360"/>
      </w:pPr>
      <w:rPr>
        <w:rFonts w:ascii="Courier New" w:hAnsi="Courier New" w:cs="Courier New" w:hint="default"/>
      </w:rPr>
    </w:lvl>
    <w:lvl w:ilvl="2" w:tplc="2C0A0005" w:tentative="1">
      <w:start w:val="1"/>
      <w:numFmt w:val="bullet"/>
      <w:lvlText w:val=""/>
      <w:lvlJc w:val="left"/>
      <w:pPr>
        <w:ind w:left="1845" w:hanging="360"/>
      </w:pPr>
      <w:rPr>
        <w:rFonts w:ascii="Wingdings" w:hAnsi="Wingdings" w:hint="default"/>
      </w:rPr>
    </w:lvl>
    <w:lvl w:ilvl="3" w:tplc="2C0A0001" w:tentative="1">
      <w:start w:val="1"/>
      <w:numFmt w:val="bullet"/>
      <w:lvlText w:val=""/>
      <w:lvlJc w:val="left"/>
      <w:pPr>
        <w:ind w:left="2565" w:hanging="360"/>
      </w:pPr>
      <w:rPr>
        <w:rFonts w:ascii="Symbol" w:hAnsi="Symbol" w:hint="default"/>
      </w:rPr>
    </w:lvl>
    <w:lvl w:ilvl="4" w:tplc="2C0A0003" w:tentative="1">
      <w:start w:val="1"/>
      <w:numFmt w:val="bullet"/>
      <w:lvlText w:val="o"/>
      <w:lvlJc w:val="left"/>
      <w:pPr>
        <w:ind w:left="3285" w:hanging="360"/>
      </w:pPr>
      <w:rPr>
        <w:rFonts w:ascii="Courier New" w:hAnsi="Courier New" w:cs="Courier New" w:hint="default"/>
      </w:rPr>
    </w:lvl>
    <w:lvl w:ilvl="5" w:tplc="2C0A0005" w:tentative="1">
      <w:start w:val="1"/>
      <w:numFmt w:val="bullet"/>
      <w:lvlText w:val=""/>
      <w:lvlJc w:val="left"/>
      <w:pPr>
        <w:ind w:left="4005" w:hanging="360"/>
      </w:pPr>
      <w:rPr>
        <w:rFonts w:ascii="Wingdings" w:hAnsi="Wingdings" w:hint="default"/>
      </w:rPr>
    </w:lvl>
    <w:lvl w:ilvl="6" w:tplc="2C0A0001" w:tentative="1">
      <w:start w:val="1"/>
      <w:numFmt w:val="bullet"/>
      <w:lvlText w:val=""/>
      <w:lvlJc w:val="left"/>
      <w:pPr>
        <w:ind w:left="4725" w:hanging="360"/>
      </w:pPr>
      <w:rPr>
        <w:rFonts w:ascii="Symbol" w:hAnsi="Symbol" w:hint="default"/>
      </w:rPr>
    </w:lvl>
    <w:lvl w:ilvl="7" w:tplc="2C0A0003" w:tentative="1">
      <w:start w:val="1"/>
      <w:numFmt w:val="bullet"/>
      <w:lvlText w:val="o"/>
      <w:lvlJc w:val="left"/>
      <w:pPr>
        <w:ind w:left="5445" w:hanging="360"/>
      </w:pPr>
      <w:rPr>
        <w:rFonts w:ascii="Courier New" w:hAnsi="Courier New" w:cs="Courier New" w:hint="default"/>
      </w:rPr>
    </w:lvl>
    <w:lvl w:ilvl="8" w:tplc="2C0A0005" w:tentative="1">
      <w:start w:val="1"/>
      <w:numFmt w:val="bullet"/>
      <w:lvlText w:val=""/>
      <w:lvlJc w:val="left"/>
      <w:pPr>
        <w:ind w:left="6165" w:hanging="360"/>
      </w:pPr>
      <w:rPr>
        <w:rFonts w:ascii="Wingdings" w:hAnsi="Wingdings" w:hint="default"/>
      </w:rPr>
    </w:lvl>
  </w:abstractNum>
  <w:abstractNum w:abstractNumId="3" w15:restartNumberingAfterBreak="0">
    <w:nsid w:val="6A784ACB"/>
    <w:multiLevelType w:val="hybridMultilevel"/>
    <w:tmpl w:val="8256B4AC"/>
    <w:lvl w:ilvl="0" w:tplc="B86EED2E">
      <w:start w:val="4"/>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557593865">
    <w:abstractNumId w:val="1"/>
  </w:num>
  <w:num w:numId="2" w16cid:durableId="324867110">
    <w:abstractNumId w:val="0"/>
  </w:num>
  <w:num w:numId="3" w16cid:durableId="200482439">
    <w:abstractNumId w:val="3"/>
  </w:num>
  <w:num w:numId="4" w16cid:durableId="1039664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74"/>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7F"/>
    <w:rsid w:val="000665D7"/>
    <w:rsid w:val="00070EA9"/>
    <w:rsid w:val="00074C20"/>
    <w:rsid w:val="000B7A27"/>
    <w:rsid w:val="000E3D07"/>
    <w:rsid w:val="001142F7"/>
    <w:rsid w:val="00142C08"/>
    <w:rsid w:val="00155ED6"/>
    <w:rsid w:val="0018697E"/>
    <w:rsid w:val="001B1EF2"/>
    <w:rsid w:val="001D01A1"/>
    <w:rsid w:val="0022674B"/>
    <w:rsid w:val="002277CA"/>
    <w:rsid w:val="00245726"/>
    <w:rsid w:val="002A65D9"/>
    <w:rsid w:val="00303634"/>
    <w:rsid w:val="003773CB"/>
    <w:rsid w:val="00401EDB"/>
    <w:rsid w:val="004401EB"/>
    <w:rsid w:val="00445F37"/>
    <w:rsid w:val="004A7CA8"/>
    <w:rsid w:val="004D16BA"/>
    <w:rsid w:val="004D6F5F"/>
    <w:rsid w:val="0057097F"/>
    <w:rsid w:val="00586AF2"/>
    <w:rsid w:val="005A4426"/>
    <w:rsid w:val="00635EF1"/>
    <w:rsid w:val="0066274A"/>
    <w:rsid w:val="006D2A84"/>
    <w:rsid w:val="006E70B2"/>
    <w:rsid w:val="007176EB"/>
    <w:rsid w:val="00786BA7"/>
    <w:rsid w:val="00787589"/>
    <w:rsid w:val="007A7EE5"/>
    <w:rsid w:val="007B74BF"/>
    <w:rsid w:val="00806434"/>
    <w:rsid w:val="0083015C"/>
    <w:rsid w:val="00851CCF"/>
    <w:rsid w:val="008838F7"/>
    <w:rsid w:val="00920A7D"/>
    <w:rsid w:val="009C7FB8"/>
    <w:rsid w:val="00A14850"/>
    <w:rsid w:val="00AA2481"/>
    <w:rsid w:val="00B51959"/>
    <w:rsid w:val="00B61985"/>
    <w:rsid w:val="00BB0F7C"/>
    <w:rsid w:val="00BE63E0"/>
    <w:rsid w:val="00C87FDB"/>
    <w:rsid w:val="00D96D92"/>
    <w:rsid w:val="00DF3AA9"/>
    <w:rsid w:val="00EE5ADD"/>
    <w:rsid w:val="00F41389"/>
    <w:rsid w:val="00F56185"/>
    <w:rsid w:val="00F70C73"/>
    <w:rsid w:val="00F83A74"/>
    <w:rsid w:val="00FF0768"/>
    <w:rsid w:val="0BAEC5E2"/>
    <w:rsid w:val="357EB3F4"/>
    <w:rsid w:val="581B405C"/>
    <w:rsid w:val="61A8F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22BB"/>
  <w15:docId w15:val="{8209F675-AF01-42B7-AC89-68E16290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C4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basedOn w:val="Normal"/>
    <w:uiPriority w:val="34"/>
    <w:qFormat/>
    <w:rsid w:val="00D807C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PEUXHpEkv6iNTPmMNv4mUtGELTw==">AMUW2mXw6yEd+9jWibgHWl34ppno8nsJ/6Dwq+AtQPE9U9XoSaUr6pNgv0IAKB/5tTZmXD6xK5H6AEJ5QRToCpORh+NvibipJpHI24CTVTCo2fCevPH7Y0Q=</go:docsCustomData>
</go:gDocsCustomXmlDataStorage>
</file>

<file path=customXml/itemProps1.xml><?xml version="1.0" encoding="utf-8"?>
<ds:datastoreItem xmlns:ds="http://schemas.openxmlformats.org/officeDocument/2006/customXml" ds:itemID="{38E350D5-F0FE-43F8-9FE2-E36570023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193A6-A634-4AEC-AC5B-53D853CD926C}">
  <ds:schemaRefs>
    <ds:schemaRef ds:uri="http://schemas.microsoft.com/sharepoint/v3/contenttype/forms"/>
  </ds:schemaRefs>
</ds:datastoreItem>
</file>

<file path=customXml/itemProps3.xml><?xml version="1.0" encoding="utf-8"?>
<ds:datastoreItem xmlns:ds="http://schemas.openxmlformats.org/officeDocument/2006/customXml" ds:itemID="{AC6CB8E5-BB9B-4117-BCB0-976133B79694}">
  <ds:schemaRefs>
    <ds:schemaRef ds:uri="http://purl.org/dc/elements/1.1/"/>
    <ds:schemaRef ds:uri="http://schemas.microsoft.com/office/2006/metadata/properties"/>
    <ds:schemaRef ds:uri="4382931b-6036-484b-ad41-6810b26eb986"/>
    <ds:schemaRef ds:uri="http://schemas.microsoft.com/office/2006/documentManagement/types"/>
    <ds:schemaRef ds:uri="http://schemas.microsoft.com/office/infopath/2007/PartnerControls"/>
    <ds:schemaRef ds:uri="http://schemas.openxmlformats.org/package/2006/metadata/core-properties"/>
    <ds:schemaRef ds:uri="e7d3d6e7-89cb-4750-b948-5e984f176bb6"/>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1359</Words>
  <Characters>7476</Characters>
  <Application>Microsoft Office Word</Application>
  <DocSecurity>0</DocSecurity>
  <Lines>62</Lines>
  <Paragraphs>17</Paragraphs>
  <ScaleCrop>false</ScaleCrop>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Mejia Guzman, Katy (Colombia)</dc:creator>
  <cp:lastModifiedBy>Juan Manuel Henao Gallego</cp:lastModifiedBy>
  <cp:revision>2</cp:revision>
  <cp:lastPrinted>2023-02-19T22:55:00Z</cp:lastPrinted>
  <dcterms:created xsi:type="dcterms:W3CDTF">2024-09-10T23:29:00Z</dcterms:created>
  <dcterms:modified xsi:type="dcterms:W3CDTF">2024-09-10T23:29:00Z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y fmtid="{D5CDD505-2E9C-101B-9397-08002B2CF9AE}" pid="4" name="ContentTypeId">
    <vt:lpwstr>0x0101002C92A54D8AB3014FADD0201C99992F62</vt:lpwstr>
  </property>
</Properties>
</file>