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0B913CDC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7130F">
        <w:rPr>
          <w:rFonts w:cs="Arial"/>
          <w:sz w:val="18"/>
          <w:szCs w:val="18"/>
          <w:lang w:val="es-CO"/>
        </w:rPr>
        <w:t>EMCALI E.I.C.E. E.S.P.</w:t>
      </w:r>
    </w:p>
    <w:p w14:paraId="47A69283" w14:textId="58122CAD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57130F">
        <w:rPr>
          <w:rFonts w:cs="Arial"/>
          <w:sz w:val="18"/>
          <w:szCs w:val="18"/>
          <w:lang w:val="es-CO"/>
        </w:rPr>
        <w:t>VICTOR HUGO HERNÁNDEZ Y OTRO</w:t>
      </w:r>
    </w:p>
    <w:p w14:paraId="6257F2AA" w14:textId="529BC985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</w:t>
      </w:r>
      <w:r w:rsidR="0057130F">
        <w:rPr>
          <w:rFonts w:cs="Arial"/>
          <w:sz w:val="18"/>
          <w:szCs w:val="18"/>
          <w:lang w:val="es-CO"/>
        </w:rPr>
        <w:t>1642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70897C25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57130F">
        <w:rPr>
          <w:rFonts w:cs="Arial"/>
          <w:sz w:val="16"/>
          <w:szCs w:val="16"/>
          <w:lang w:val="es-CO"/>
        </w:rPr>
        <w:t>49852</w:t>
      </w:r>
    </w:p>
    <w:p w14:paraId="26F32DC2" w14:textId="7BE94E58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57130F">
        <w:rPr>
          <w:rFonts w:cs="Arial"/>
          <w:sz w:val="16"/>
          <w:szCs w:val="16"/>
        </w:rPr>
        <w:t>23</w:t>
      </w:r>
      <w:r w:rsidR="003B7F55">
        <w:rPr>
          <w:rFonts w:cs="Arial"/>
          <w:sz w:val="16"/>
          <w:szCs w:val="16"/>
        </w:rPr>
        <w:t>/0</w:t>
      </w:r>
      <w:r w:rsidR="002343BE">
        <w:rPr>
          <w:rFonts w:cs="Arial"/>
          <w:sz w:val="16"/>
          <w:szCs w:val="16"/>
        </w:rPr>
        <w:t>8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57130F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57130F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3206F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343BE"/>
    <w:rsid w:val="00294359"/>
    <w:rsid w:val="002D447A"/>
    <w:rsid w:val="0033703C"/>
    <w:rsid w:val="0035201A"/>
    <w:rsid w:val="003848D1"/>
    <w:rsid w:val="003B7F55"/>
    <w:rsid w:val="003C2D14"/>
    <w:rsid w:val="003D0189"/>
    <w:rsid w:val="004108C5"/>
    <w:rsid w:val="00463664"/>
    <w:rsid w:val="00473360"/>
    <w:rsid w:val="00485653"/>
    <w:rsid w:val="00520AEE"/>
    <w:rsid w:val="00532C1C"/>
    <w:rsid w:val="00561845"/>
    <w:rsid w:val="0057130F"/>
    <w:rsid w:val="0057239D"/>
    <w:rsid w:val="00595253"/>
    <w:rsid w:val="00595F21"/>
    <w:rsid w:val="005A47CE"/>
    <w:rsid w:val="005A75B3"/>
    <w:rsid w:val="005E5A8C"/>
    <w:rsid w:val="0060766D"/>
    <w:rsid w:val="00642617"/>
    <w:rsid w:val="00687755"/>
    <w:rsid w:val="006D7FA0"/>
    <w:rsid w:val="006F578D"/>
    <w:rsid w:val="007000CB"/>
    <w:rsid w:val="007217FB"/>
    <w:rsid w:val="0074793B"/>
    <w:rsid w:val="00753040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E218D"/>
    <w:rsid w:val="00D27B91"/>
    <w:rsid w:val="00D908CF"/>
    <w:rsid w:val="00DA78D8"/>
    <w:rsid w:val="00DD78DA"/>
    <w:rsid w:val="00DF1250"/>
    <w:rsid w:val="00E57E04"/>
    <w:rsid w:val="00E96D36"/>
    <w:rsid w:val="00EB1E8D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21</cp:revision>
  <dcterms:created xsi:type="dcterms:W3CDTF">2024-05-28T20:04:00Z</dcterms:created>
  <dcterms:modified xsi:type="dcterms:W3CDTF">2024-08-26T20:23:00Z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