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858"/>
      </w:tblGrid>
      <w:tr w:rsidR="00A60A99" w:rsidRPr="00A60A99" w14:paraId="0C8A97A3" w14:textId="77777777" w:rsidTr="00FA5F82">
        <w:trPr>
          <w:trHeight w:val="300"/>
        </w:trPr>
        <w:tc>
          <w:tcPr>
            <w:tcW w:w="8822" w:type="dxa"/>
            <w:gridSpan w:val="2"/>
            <w:tcBorders>
              <w:top w:val="single" w:sz="6" w:space="0" w:color="CFD7DF"/>
              <w:left w:val="single" w:sz="6" w:space="0" w:color="CFD7DF"/>
              <w:bottom w:val="single" w:sz="6" w:space="0" w:color="CFD7DF"/>
              <w:right w:val="single" w:sz="6" w:space="0" w:color="CFD7DF"/>
            </w:tcBorders>
            <w:shd w:val="clear" w:color="auto" w:fill="002060"/>
            <w:hideMark/>
          </w:tcPr>
          <w:p w14:paraId="58B400AB" w14:textId="77777777" w:rsidR="00A60A99" w:rsidRPr="00A60A99" w:rsidRDefault="00A60A99" w:rsidP="00A60A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A60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SOLICITUD ANTECEDENTES</w:t>
            </w:r>
            <w:r w:rsidRPr="00A60A99">
              <w:rPr>
                <w:rFonts w:ascii="Calibri" w:hAnsi="Calibri" w:cs="Calibri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FA5F82" w:rsidRPr="004A3B3E" w14:paraId="6BF7DDB3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E7F0D4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PÓLIZA Y RAMO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EB9B9" w14:textId="0256675A" w:rsidR="00A60A99" w:rsidRPr="004A3B3E" w:rsidRDefault="00C67384" w:rsidP="00C67384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Póliza de Responsabilidad Civil Extracontractual que ampara el vehículo de placas </w:t>
            </w:r>
            <w:r w:rsidR="00AB25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MHQ- 420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(Número no indicado en la demanda y/o anexos) </w:t>
            </w:r>
          </w:p>
        </w:tc>
      </w:tr>
      <w:tr w:rsidR="00FA5F82" w:rsidRPr="004A3B3E" w14:paraId="315AEE4E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0100A9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PLACA (AUTOS)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304C7" w14:textId="6FC19D5E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  <w:r w:rsidR="00850CC7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En el escrito de manda y en los anexos se relaciona como </w:t>
            </w:r>
            <w:r w:rsidR="00AB2553">
              <w:rPr>
                <w:rFonts w:ascii="Calibri" w:hAnsi="Calibri" w:cs="Calibri"/>
                <w:sz w:val="20"/>
                <w:szCs w:val="20"/>
              </w:rPr>
              <w:t>MHQ- 420</w:t>
            </w:r>
            <w:r w:rsidR="00850CC7">
              <w:rPr>
                <w:rFonts w:ascii="Calibri" w:hAnsi="Calibri" w:cs="Calibri"/>
                <w:sz w:val="20"/>
                <w:szCs w:val="20"/>
              </w:rPr>
              <w:t xml:space="preserve"> y HMK-420 (no aportan certificado de tradición para confirmar)</w:t>
            </w:r>
          </w:p>
        </w:tc>
      </w:tr>
      <w:tr w:rsidR="00FA5F82" w:rsidRPr="004A3B3E" w14:paraId="00D9156E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50007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RADICADO PROCESO (23 DÍGITOS)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ED048" w14:textId="05B30A82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  <w:r w:rsidR="00492EC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Pendiente reparto</w:t>
            </w:r>
            <w:r w:rsidR="00C978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5F82" w:rsidRPr="004A3B3E" w14:paraId="1897B05B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7C413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JUZGADO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9DFB3" w14:textId="3C3A2E0D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  <w:r w:rsidR="00492EC2">
              <w:rPr>
                <w:rFonts w:ascii="Calibri" w:hAnsi="Calibri" w:cs="Calibri"/>
                <w:sz w:val="20"/>
                <w:szCs w:val="20"/>
                <w:lang w:eastAsia="es-CO"/>
              </w:rPr>
              <w:t>Pendiente reparto</w:t>
            </w:r>
          </w:p>
        </w:tc>
      </w:tr>
      <w:tr w:rsidR="00FA5F82" w:rsidRPr="004A3B3E" w14:paraId="4CCFEF4F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55872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DEMANDANTE (TODOS)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6F8806" w14:textId="4BFD9188" w:rsidR="00C67384" w:rsidRPr="004A3B3E" w:rsidRDefault="00C978C0" w:rsidP="00C67384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Edgar Cano Valencia </w:t>
            </w:r>
            <w:r w:rsidR="00C67384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(víctima directa)</w:t>
            </w:r>
          </w:p>
          <w:p w14:paraId="620AA002" w14:textId="589A3A42" w:rsidR="00C67384" w:rsidRPr="004A3B3E" w:rsidRDefault="00C978C0" w:rsidP="00C67384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María Yolanda Carmona Bonilla</w:t>
            </w:r>
            <w:r w:rsidR="00C67384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(compañer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C67384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permanente)</w:t>
            </w:r>
          </w:p>
          <w:p w14:paraId="191BA7BB" w14:textId="66401E53" w:rsidR="00C67384" w:rsidRPr="004A3B3E" w:rsidRDefault="00C978C0" w:rsidP="00C67384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Derly Dallana Cano Carmona</w:t>
            </w:r>
            <w:r w:rsidR="00C67384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hija</w:t>
            </w:r>
            <w:r w:rsidR="00C67384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7B2EC887" w14:textId="60D8B5EB" w:rsidR="00A60A99" w:rsidRPr="00C978C0" w:rsidRDefault="00C978C0" w:rsidP="00C978C0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Eduard Andrés Cano Carmona (hijo</w:t>
            </w:r>
            <w:r w:rsidR="00C67384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FA5F82" w:rsidRPr="004A3B3E" w14:paraId="13B1547B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C84BC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DEMANDADO (TODOS)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3D09F" w14:textId="438315DB" w:rsidR="00101EB9" w:rsidRPr="004A3B3E" w:rsidRDefault="00B12AFF" w:rsidP="00BC44EA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Jairo Arturo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Salamando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Ochoa</w:t>
            </w:r>
            <w:r w:rsidR="00101EB9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(Conductor</w:t>
            </w:r>
            <w:r w:rsidR="00A17C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propietari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101EB9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vehículo de placas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MHQ</w:t>
            </w:r>
            <w:r w:rsidR="00101EB9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  <w:r w:rsidR="00101EB9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) </w:t>
            </w:r>
          </w:p>
          <w:p w14:paraId="411D14BC" w14:textId="35EEDE84" w:rsidR="00A60A99" w:rsidRPr="00B12AFF" w:rsidRDefault="00101EB9" w:rsidP="00B12AFF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HDI Seguros S.A </w:t>
            </w:r>
            <w:r w:rsidR="00A60A99" w:rsidRPr="00B12AFF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</w:p>
        </w:tc>
      </w:tr>
      <w:tr w:rsidR="00FA5F82" w:rsidRPr="004A3B3E" w14:paraId="408B4244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02A08B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ASEGURADO E IDENTIFICACION (CEDULA O NIT)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D5AE45" w14:textId="2AF70DF6" w:rsidR="00A60A99" w:rsidRPr="004A3B3E" w:rsidRDefault="00B12AFF" w:rsidP="0040310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Jairo Arturo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Salamando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Ochoa</w:t>
            </w:r>
            <w:r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 </w:t>
            </w:r>
            <w:r w:rsidR="00403108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(C.C.: </w:t>
            </w:r>
            <w:r>
              <w:rPr>
                <w:rFonts w:ascii="Calibri" w:hAnsi="Calibri" w:cs="Calibri"/>
                <w:sz w:val="20"/>
                <w:szCs w:val="20"/>
                <w:lang w:eastAsia="es-CO"/>
              </w:rPr>
              <w:t>16.466.664</w:t>
            </w:r>
            <w:r w:rsidR="00403108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)</w:t>
            </w:r>
          </w:p>
        </w:tc>
      </w:tr>
      <w:tr w:rsidR="00FA5F82" w:rsidRPr="004A3B3E" w14:paraId="65BE4AFA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A0332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RESUMEN DE LOS HECHOS (RESUMEN EJECUTIVO DE LOS HECHOS)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F5E57C" w14:textId="7E2B4DB5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 acuerdo con los hechos narrados con el líbelo introductorio a la demanda, el día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febrero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de 20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se presentó un accidente de tránsito en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las alturas del kilómetro 44 + 800 </w:t>
            </w:r>
            <w:proofErr w:type="spellStart"/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mts</w:t>
            </w:r>
            <w:proofErr w:type="spellEnd"/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vía que conduce de Cali a </w:t>
            </w:r>
            <w:r w:rsidR="00FA5F82">
              <w:rPr>
                <w:rFonts w:ascii="Calibri" w:hAnsi="Calibri" w:cs="Calibri"/>
                <w:color w:val="000000"/>
                <w:sz w:val="20"/>
                <w:szCs w:val="20"/>
              </w:rPr>
              <w:t>Buenaventura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D71A0C9" w14:textId="77777777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B321796" w14:textId="2AC16A5E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accidente de tránsito relacionado se produjo cuando el vehículo </w:t>
            </w:r>
            <w:r w:rsidR="00A17CFE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segurado de placas </w:t>
            </w:r>
            <w:r w:rsidR="00B12AFF">
              <w:rPr>
                <w:rFonts w:ascii="Calibri" w:hAnsi="Calibri" w:cs="Calibri"/>
                <w:sz w:val="20"/>
                <w:szCs w:val="20"/>
              </w:rPr>
              <w:t>MHQ 420</w:t>
            </w:r>
            <w:r w:rsidR="00A17C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conducido por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el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señor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Jairo Arturo </w:t>
            </w:r>
            <w:proofErr w:type="spellStart"/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Salamando</w:t>
            </w:r>
            <w:proofErr w:type="spellEnd"/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Ochoa</w:t>
            </w:r>
            <w:r w:rsidR="00A17C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invade el carril para ingresar al parador “Las Piñas”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colisiona </w:t>
            </w:r>
            <w:r w:rsidR="00492E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la motocicleta de placas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QEX67D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la cual era conducida </w:t>
            </w:r>
            <w:r w:rsidR="00B12AFF">
              <w:rPr>
                <w:rFonts w:ascii="Calibri" w:hAnsi="Calibri" w:cs="Calibri"/>
                <w:color w:val="000000"/>
                <w:sz w:val="20"/>
                <w:szCs w:val="20"/>
              </w:rPr>
              <w:t>por el señor Edgar Cano Valencia.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BBFA3CA" w14:textId="77777777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1FB7577" w14:textId="2374190C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Según se describe en la historia clínica la víctima fue diagnosticada con “</w:t>
            </w:r>
            <w:r w:rsidRPr="004A3B3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fractura </w:t>
            </w:r>
            <w:r w:rsidR="00B12AF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 la epífisis inferior del radio, fractura del fémur, parte no especificada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”. </w:t>
            </w:r>
            <w:r w:rsidR="00485226">
              <w:rPr>
                <w:rFonts w:ascii="Calibri" w:hAnsi="Calibri" w:cs="Calibri"/>
                <w:color w:val="000000"/>
                <w:sz w:val="20"/>
                <w:szCs w:val="20"/>
              </w:rPr>
              <w:t>Adicionalmente, sufrió pérdida de capacidad laboral del 43.79%, según el dictamen de la Junta Regional de Calificación de Invalidez del Valle del Cauca</w:t>
            </w:r>
            <w:r w:rsidR="00492EC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06D64474" w14:textId="77777777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50CD108" w14:textId="055619BB" w:rsidR="00BC44EA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Ahora bien, en relación al perfil de</w:t>
            </w:r>
            <w:r w:rsidR="004852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 señor Jairo Arturo </w:t>
            </w:r>
            <w:proofErr w:type="spellStart"/>
            <w:r w:rsidR="00485226">
              <w:rPr>
                <w:rFonts w:ascii="Calibri" w:hAnsi="Calibri" w:cs="Calibri"/>
                <w:color w:val="000000"/>
                <w:sz w:val="20"/>
                <w:szCs w:val="20"/>
              </w:rPr>
              <w:t>Salamando</w:t>
            </w:r>
            <w:proofErr w:type="spellEnd"/>
            <w:r w:rsidR="004852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Ochoa</w:t>
            </w:r>
            <w:r w:rsidR="00485226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indica que al momento del accidente tenía </w:t>
            </w:r>
            <w:r w:rsidR="00355A78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 </w:t>
            </w:r>
            <w:r w:rsidR="00355A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 se dedicaba a actividades agrícolas. No obstante, no se señaló los ingresos causados en ejercicio de sus labores. </w:t>
            </w:r>
          </w:p>
          <w:p w14:paraId="7721F9DC" w14:textId="269B3F72" w:rsidR="00355A78" w:rsidRDefault="00355A78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428B85" w14:textId="44043217" w:rsidR="00C86D74" w:rsidRPr="004A3B3E" w:rsidRDefault="00C86D74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adición, el Juzgado Primero Penal Municipal con </w:t>
            </w:r>
            <w:r w:rsidR="00FA5F82">
              <w:rPr>
                <w:rFonts w:ascii="Calibri" w:hAnsi="Calibri" w:cs="Calibri"/>
                <w:color w:val="000000"/>
                <w:sz w:val="20"/>
                <w:szCs w:val="20"/>
              </w:rPr>
              <w:t>Conocimiento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Cali mediante sentencia de 10 de marzo de 2022</w:t>
            </w:r>
            <w:r w:rsidR="00FA5F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condenó al señor Jairo Arturo </w:t>
            </w:r>
            <w:proofErr w:type="spellStart"/>
            <w:r w:rsidR="00FA5F82">
              <w:rPr>
                <w:rFonts w:ascii="Calibri" w:hAnsi="Calibri" w:cs="Calibri"/>
                <w:color w:val="000000"/>
                <w:sz w:val="20"/>
                <w:szCs w:val="20"/>
              </w:rPr>
              <w:t>Salamando</w:t>
            </w:r>
            <w:proofErr w:type="spellEnd"/>
            <w:r w:rsidR="00FA5F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Ochoa por el delito de lesiones personales culposas causadas al señor Cano, providencia que fue confirmada por el TSDJ de Cali en la sentencia de 08 de agosto de 2022. </w:t>
            </w:r>
          </w:p>
          <w:p w14:paraId="37BC1745" w14:textId="77777777" w:rsidR="00BC44EA" w:rsidRPr="004A3B3E" w:rsidRDefault="00BC44EA" w:rsidP="00BC44EA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  <w:p w14:paraId="18D95C80" w14:textId="0B8CA466" w:rsidR="00A60A99" w:rsidRPr="004A3B3E" w:rsidRDefault="00BC44EA" w:rsidP="00355A78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Finalmente, se pone de presente que como demandantes fungen </w:t>
            </w:r>
            <w:r w:rsidR="00355A78" w:rsidRPr="00355A78">
              <w:rPr>
                <w:rFonts w:ascii="Calibri" w:hAnsi="Calibri" w:cs="Calibri"/>
                <w:color w:val="000000"/>
                <w:sz w:val="20"/>
                <w:szCs w:val="20"/>
              </w:rPr>
              <w:t>Edgar Cano Valencia (víctima directa)</w:t>
            </w:r>
            <w:r w:rsidR="00355A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355A78" w:rsidRPr="00355A78">
              <w:rPr>
                <w:rFonts w:ascii="Calibri" w:hAnsi="Calibri" w:cs="Calibri"/>
                <w:color w:val="000000"/>
                <w:sz w:val="20"/>
                <w:szCs w:val="20"/>
              </w:rPr>
              <w:t>María Yolanda Carmona Bonilla (compañera permanente)</w:t>
            </w:r>
            <w:r w:rsidR="00355A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355A78" w:rsidRPr="00355A78">
              <w:rPr>
                <w:rFonts w:ascii="Calibri" w:hAnsi="Calibri" w:cs="Calibri"/>
                <w:color w:val="000000"/>
                <w:sz w:val="20"/>
                <w:szCs w:val="20"/>
              </w:rPr>
              <w:t>Derly Dallana Cano Carmona (hija)</w:t>
            </w:r>
            <w:r w:rsidR="00355A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Eduard Andrés Cano Carmona (hijo</w:t>
            </w:r>
            <w:r w:rsidR="00355A78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F82" w:rsidRPr="004A3B3E" w14:paraId="78F1895F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4F46AA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lastRenderedPageBreak/>
              <w:t>AMPARO (EL QUE SE VA A AFECTAR)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6CC8A" w14:textId="6FDE4167" w:rsidR="00A60A99" w:rsidRPr="004A3B3E" w:rsidRDefault="00061F46" w:rsidP="000C3F5C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Responsabilidad Civil Extracontractual</w:t>
            </w:r>
            <w:r w:rsidR="000C3F5C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A5F82" w:rsidRPr="004A3B3E" w14:paraId="3A6A9F5A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2FE70A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FECHA DE OCURRENCIA DEL SINIESTRO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F4944" w14:textId="229FD124" w:rsidR="00A60A99" w:rsidRPr="004A3B3E" w:rsidRDefault="00FA5F82" w:rsidP="00BC44E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febrero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de 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FA5F82" w:rsidRPr="004A3B3E" w14:paraId="226A8FE2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01E08" w14:textId="284B6156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 xml:space="preserve">FECHA DE AVISO (FECHA DE RECIBIDO DE LA NOTIFICACION EN </w:t>
            </w:r>
            <w:r w:rsidR="00330FD3"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HDI</w:t>
            </w: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CE6AF" w14:textId="3CC353DA" w:rsidR="00A60A99" w:rsidRPr="004A3B3E" w:rsidRDefault="00FA5F82" w:rsidP="00BC44E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sz w:val="20"/>
                <w:szCs w:val="20"/>
                <w:lang w:eastAsia="es-CO"/>
              </w:rPr>
              <w:t>05</w:t>
            </w:r>
            <w:r w:rsidR="00BC44EA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septiembre </w:t>
            </w:r>
            <w:r w:rsidR="00BC44EA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de 2024</w:t>
            </w:r>
            <w:r w:rsidR="00A60A99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</w:p>
        </w:tc>
      </w:tr>
      <w:tr w:rsidR="00B12AFF" w:rsidRPr="004A3B3E" w14:paraId="4EF9E34C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E8F71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CALIFICACION PRELIMINAR (ARGUMENTOS)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0CD45" w14:textId="4EB69A2F" w:rsidR="00A60A99" w:rsidRPr="0076055C" w:rsidRDefault="00354819" w:rsidP="00354819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76055C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Sin perjuicio de que se desconoce la información sobre la Póliza expedida por HDI Seguros S.A., se califica preliminarmente la contingencia como </w:t>
            </w:r>
            <w:r w:rsidR="00492EC2">
              <w:rPr>
                <w:rFonts w:ascii="Calibri" w:hAnsi="Calibri" w:cs="Calibri"/>
                <w:sz w:val="20"/>
                <w:szCs w:val="20"/>
                <w:lang w:eastAsia="es-CO"/>
              </w:rPr>
              <w:t>REMOTA</w:t>
            </w:r>
            <w:r w:rsidRPr="0076055C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 comoquiera que </w:t>
            </w:r>
            <w:r w:rsidR="00A60A99" w:rsidRPr="0076055C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  <w:r w:rsidRPr="0076055C"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se </w:t>
            </w:r>
            <w:r w:rsidR="004F7DE8" w:rsidRPr="0076055C">
              <w:rPr>
                <w:rFonts w:ascii="Calibri" w:hAnsi="Calibri" w:cs="Calibri"/>
                <w:sz w:val="20"/>
                <w:szCs w:val="20"/>
                <w:lang w:eastAsia="es-CO"/>
              </w:rPr>
              <w:t>encuentran prescritas las acciones derivadas del contrato de seguro.</w:t>
            </w:r>
          </w:p>
          <w:p w14:paraId="26F1B182" w14:textId="77777777" w:rsidR="0076055C" w:rsidRPr="0076055C" w:rsidRDefault="0076055C" w:rsidP="00407C92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</w:p>
          <w:p w14:paraId="4871C0AF" w14:textId="685CE7E0" w:rsidR="00F71593" w:rsidRPr="0076055C" w:rsidRDefault="0076055C" w:rsidP="0076055C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s-MX" w:eastAsia="es-CO"/>
              </w:rPr>
            </w:pP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>De cara a lo expuesto, es menester ilustrar en primer lugar que, conforme a los hechos esgrimidos en el libelo de demanda, el accidente de tránsito que suscitó el litigo en cuestión acaeció el</w:t>
            </w:r>
            <w:r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</w:t>
            </w:r>
            <w:r w:rsidRPr="007605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27 de febrero de 2017</w:t>
            </w:r>
            <w:r w:rsidR="00492E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, </w:t>
            </w:r>
            <w:r w:rsidR="00492EC2" w:rsidRPr="00492E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lo que la prescripción extraordinaria de 5 años feneció el 12 de junio de 2022 (contando la suspensión por pandemia). 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Anudado a lo anterior, igualmente </w:t>
            </w:r>
            <w:r w:rsidR="00492EC2">
              <w:rPr>
                <w:rFonts w:ascii="Calibri" w:hAnsi="Calibri" w:cs="Calibri"/>
                <w:sz w:val="20"/>
                <w:szCs w:val="20"/>
                <w:lang w:val="es-MX" w:eastAsia="es-CO"/>
              </w:rPr>
              <w:t>debe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tenerse en cuenta que </w:t>
            </w:r>
            <w:r w:rsidR="00346FA9">
              <w:rPr>
                <w:rFonts w:ascii="Calibri" w:hAnsi="Calibri" w:cs="Calibri"/>
                <w:sz w:val="20"/>
                <w:szCs w:val="20"/>
                <w:lang w:val="es-MX" w:eastAsia="es-CO"/>
              </w:rPr>
              <w:t>para la fecha de la presentación de la solicitud de conciliación (</w:t>
            </w:r>
            <w:r w:rsidRPr="0076055C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MX" w:eastAsia="es-CO"/>
              </w:rPr>
              <w:t>11 de septiembre de 2023</w:t>
            </w:r>
            <w:r w:rsidR="00346FA9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MX" w:eastAsia="es-CO"/>
              </w:rPr>
              <w:t>)</w:t>
            </w:r>
            <w:r w:rsidR="00346FA9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habían transcurrido más de </w:t>
            </w:r>
            <w:r w:rsidR="00492EC2">
              <w:rPr>
                <w:rFonts w:ascii="Calibri" w:hAnsi="Calibri" w:cs="Calibri"/>
                <w:sz w:val="20"/>
                <w:szCs w:val="20"/>
                <w:lang w:val="es-MX" w:eastAsia="es-CO"/>
              </w:rPr>
              <w:t>5</w:t>
            </w:r>
            <w:r w:rsidR="00346FA9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años</w:t>
            </w:r>
            <w:r w:rsidR="00492EC2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y no se suspendió el término prescriptivo</w:t>
            </w:r>
            <w:r w:rsidR="00346FA9" w:rsidRPr="00346FA9">
              <w:rPr>
                <w:rFonts w:ascii="Calibri" w:hAnsi="Calibri" w:cs="Calibri"/>
                <w:sz w:val="20"/>
                <w:szCs w:val="20"/>
                <w:lang w:val="es-MX" w:eastAsia="es-CO"/>
              </w:rPr>
              <w:t>.</w:t>
            </w:r>
            <w:r w:rsidR="00346FA9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Finalmente, para colegir que en el caso de marras efectivamente operó el fenómeno de la prescripción, debe considerarse que el escrito de demanda se radicó el </w:t>
            </w:r>
            <w:r w:rsidR="000721B0" w:rsidRPr="000721B0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MX" w:eastAsia="es-CO"/>
              </w:rPr>
              <w:t>05 de septiembre de 2024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, con posterioridad </w:t>
            </w:r>
            <w:r w:rsidR="000B12E7">
              <w:rPr>
                <w:rFonts w:ascii="Calibri" w:hAnsi="Calibri" w:cs="Calibri"/>
                <w:sz w:val="20"/>
                <w:szCs w:val="20"/>
                <w:lang w:val="es-MX" w:eastAsia="es-CO"/>
              </w:rPr>
              <w:t>los términos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establecido</w:t>
            </w:r>
            <w:r w:rsidR="000B12E7">
              <w:rPr>
                <w:rFonts w:ascii="Calibri" w:hAnsi="Calibri" w:cs="Calibri"/>
                <w:sz w:val="20"/>
                <w:szCs w:val="20"/>
                <w:lang w:val="es-MX" w:eastAsia="es-CO"/>
              </w:rPr>
              <w:t>s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en el artículo 1081 </w:t>
            </w:r>
            <w:r w:rsidR="000B12E7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del </w:t>
            </w:r>
            <w:r w:rsidRPr="0076055C">
              <w:rPr>
                <w:rFonts w:ascii="Calibri" w:hAnsi="Calibri" w:cs="Calibri"/>
                <w:sz w:val="20"/>
                <w:szCs w:val="20"/>
                <w:lang w:val="es-MX" w:eastAsia="es-CO"/>
              </w:rPr>
              <w:t>Código de Comercio, luego entonces, resulta claro que operó la prescripción</w:t>
            </w:r>
            <w:r w:rsidR="00492EC2"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 extraordinaria que aplica a las victimas cuando ejercen la acción directa contra el asegurador</w:t>
            </w:r>
            <w:r>
              <w:rPr>
                <w:rFonts w:ascii="Calibri" w:hAnsi="Calibri" w:cs="Calibri"/>
                <w:sz w:val="20"/>
                <w:szCs w:val="20"/>
                <w:lang w:val="es-MX" w:eastAsia="es-CO"/>
              </w:rPr>
              <w:t xml:space="preserve">. </w:t>
            </w:r>
          </w:p>
        </w:tc>
      </w:tr>
      <w:tr w:rsidR="00B12AFF" w:rsidRPr="004A3B3E" w14:paraId="01C997A9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1BFC3" w14:textId="77777777" w:rsidR="00A60A99" w:rsidRPr="004A3B3E" w:rsidRDefault="00A60A99" w:rsidP="00446E4B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DOCUMENTACION Y/O INFORMACION ADICIONAL A LA HABITUAL 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1F3960" w14:textId="73388F30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-Copia de la carátula de la Póliza de Responsabilidad Civil Extracontractual que ampara el vehículo de placas </w:t>
            </w:r>
            <w:r w:rsidR="00FA5F82">
              <w:rPr>
                <w:rFonts w:ascii="Calibri" w:hAnsi="Calibri" w:cs="Calibri"/>
                <w:sz w:val="20"/>
                <w:szCs w:val="20"/>
              </w:rPr>
              <w:t>MHQ- 420</w:t>
            </w:r>
            <w:r w:rsidR="00FA5F82" w:rsidRPr="004A3B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(Número no indicado en la demanda y/o anexos) junto con sus anexos, prorrogas, renovaciones y condiciones generales y particulares.</w:t>
            </w:r>
          </w:p>
          <w:p w14:paraId="5DE8D47E" w14:textId="77777777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 Avisos de siniestro.</w:t>
            </w:r>
          </w:p>
          <w:p w14:paraId="482CBD97" w14:textId="77777777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 Reclamaciones que hayan existido con cargo a esta póliza.</w:t>
            </w:r>
          </w:p>
          <w:p w14:paraId="77721F32" w14:textId="77777777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-Objeciones que hayan existido.</w:t>
            </w:r>
          </w:p>
          <w:p w14:paraId="7023BD18" w14:textId="77777777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 Certificado de Vigencia.</w:t>
            </w:r>
          </w:p>
          <w:p w14:paraId="261A2C32" w14:textId="77777777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 Endosos.</w:t>
            </w:r>
          </w:p>
          <w:p w14:paraId="551E31FC" w14:textId="77777777" w:rsidR="00446E4B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 Certificado de agotamiento de suma asegurada, sí existe.</w:t>
            </w:r>
          </w:p>
          <w:p w14:paraId="69767DEB" w14:textId="0FF95029" w:rsidR="00A60A99" w:rsidRPr="004A3B3E" w:rsidRDefault="00446E4B" w:rsidP="00446E4B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- Demás información necesaria para la correcta gestión de los intereses de la compañía. </w:t>
            </w:r>
            <w:r w:rsidR="00A60A99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</w:p>
        </w:tc>
      </w:tr>
      <w:tr w:rsidR="00FA5F82" w:rsidRPr="004A3B3E" w14:paraId="19400559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BE877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SOLICITUD DE RAT (AUTOS)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1EE4F" w14:textId="1A5F9897" w:rsidR="00A60A99" w:rsidRPr="004A3B3E" w:rsidRDefault="00354819" w:rsidP="0035481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sz w:val="20"/>
                <w:szCs w:val="20"/>
                <w:lang w:eastAsia="es-CO"/>
              </w:rPr>
              <w:t>No</w:t>
            </w:r>
            <w:r w:rsidR="00A60A99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</w:p>
        </w:tc>
      </w:tr>
      <w:tr w:rsidR="00FA5F82" w:rsidRPr="004A3B3E" w14:paraId="7CAB7AC3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9E719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CIUDAD DE LOS HECHOS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740F3" w14:textId="0E01F8D1" w:rsidR="00FA5F82" w:rsidRPr="004A3B3E" w:rsidRDefault="00FA5F82" w:rsidP="00FA5F82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Kilómetro 44 + 800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vía que conduce de Cali a Buenaventura.</w:t>
            </w:r>
            <w:r w:rsidRPr="004A3B3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4C38AAB" w14:textId="426426F4" w:rsidR="00A60A99" w:rsidRPr="004A3B3E" w:rsidRDefault="00A60A99" w:rsidP="00BC44E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</w:p>
        </w:tc>
      </w:tr>
      <w:tr w:rsidR="00FA5F82" w:rsidRPr="004A3B3E" w14:paraId="36158D73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19754" w14:textId="36EC5D22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 xml:space="preserve">ABOGADO </w:t>
            </w:r>
            <w:r w:rsidR="00330FD3"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 xml:space="preserve">HDI </w:t>
            </w: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t>(ACTOR)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76189" w14:textId="2FB89D72" w:rsidR="00A60A99" w:rsidRPr="004A3B3E" w:rsidRDefault="008B1B81" w:rsidP="008B1B8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sz w:val="20"/>
                <w:szCs w:val="20"/>
                <w:lang w:eastAsia="es-CO"/>
              </w:rPr>
              <w:t>Andrea Sierra</w:t>
            </w:r>
            <w:r w:rsidR="00A60A99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</w:p>
        </w:tc>
      </w:tr>
      <w:tr w:rsidR="00FA5F82" w:rsidRPr="004A3B3E" w14:paraId="5FD37636" w14:textId="77777777" w:rsidTr="00FA5F82">
        <w:trPr>
          <w:trHeight w:val="300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055F5" w14:textId="77777777" w:rsidR="00A60A99" w:rsidRPr="004A3B3E" w:rsidRDefault="00A60A99" w:rsidP="00A60A99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 w:rsidRPr="004A3B3E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  <w:lang w:eastAsia="es-CO"/>
              </w:rPr>
              <w:lastRenderedPageBreak/>
              <w:t>FECHA DE VENCIMIENTO PARA CONTESTAR LA DEMANDA</w:t>
            </w:r>
            <w:r w:rsidRPr="004A3B3E">
              <w:rPr>
                <w:rFonts w:ascii="Calibri" w:hAnsi="Calibri" w:cs="Calibri"/>
                <w:color w:val="66666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E8867" w14:textId="4444D5E7" w:rsidR="00A60A99" w:rsidRPr="004A3B3E" w:rsidRDefault="00FA5F82" w:rsidP="00BC44E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sz w:val="20"/>
                <w:szCs w:val="20"/>
                <w:lang w:eastAsia="es-CO"/>
              </w:rPr>
              <w:t xml:space="preserve">No se ha admitido la demanda. </w:t>
            </w:r>
            <w:r w:rsidR="00A60A99" w:rsidRPr="004A3B3E">
              <w:rPr>
                <w:rFonts w:ascii="Calibri" w:hAnsi="Calibri" w:cs="Calibri"/>
                <w:sz w:val="20"/>
                <w:szCs w:val="20"/>
                <w:lang w:eastAsia="es-CO"/>
              </w:rPr>
              <w:t> </w:t>
            </w:r>
          </w:p>
        </w:tc>
      </w:tr>
    </w:tbl>
    <w:p w14:paraId="37BAE667" w14:textId="078D7451" w:rsidR="00A60A99" w:rsidRPr="004A3B3E" w:rsidRDefault="00A60A99" w:rsidP="00A60A99">
      <w:pPr>
        <w:rPr>
          <w:rFonts w:ascii="Calibri" w:hAnsi="Calibri" w:cs="Calibri"/>
          <w:sz w:val="20"/>
          <w:szCs w:val="20"/>
        </w:rPr>
      </w:pPr>
    </w:p>
    <w:sectPr w:rsidR="00A60A99" w:rsidRPr="004A3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58C9"/>
    <w:multiLevelType w:val="multilevel"/>
    <w:tmpl w:val="9AA8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B72AF"/>
    <w:multiLevelType w:val="hybridMultilevel"/>
    <w:tmpl w:val="285243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01283"/>
    <w:multiLevelType w:val="multilevel"/>
    <w:tmpl w:val="6808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C756E"/>
    <w:multiLevelType w:val="multilevel"/>
    <w:tmpl w:val="6808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040594">
    <w:abstractNumId w:val="1"/>
  </w:num>
  <w:num w:numId="2" w16cid:durableId="1041176163">
    <w:abstractNumId w:val="3"/>
  </w:num>
  <w:num w:numId="3" w16cid:durableId="1390226546">
    <w:abstractNumId w:val="0"/>
  </w:num>
  <w:num w:numId="4" w16cid:durableId="136085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9"/>
    <w:rsid w:val="00061F46"/>
    <w:rsid w:val="000721B0"/>
    <w:rsid w:val="000742ED"/>
    <w:rsid w:val="000B12E7"/>
    <w:rsid w:val="000C3F5C"/>
    <w:rsid w:val="00101EB9"/>
    <w:rsid w:val="00130BB5"/>
    <w:rsid w:val="002B154F"/>
    <w:rsid w:val="00330FD3"/>
    <w:rsid w:val="00332936"/>
    <w:rsid w:val="00346FA9"/>
    <w:rsid w:val="00354819"/>
    <w:rsid w:val="00355A78"/>
    <w:rsid w:val="003A31AD"/>
    <w:rsid w:val="00403108"/>
    <w:rsid w:val="00407C92"/>
    <w:rsid w:val="00446E4B"/>
    <w:rsid w:val="00485226"/>
    <w:rsid w:val="00492EC2"/>
    <w:rsid w:val="004A3B3E"/>
    <w:rsid w:val="004F7DE8"/>
    <w:rsid w:val="0076055C"/>
    <w:rsid w:val="00850CC7"/>
    <w:rsid w:val="008A68F2"/>
    <w:rsid w:val="008B1B81"/>
    <w:rsid w:val="00A10930"/>
    <w:rsid w:val="00A17CFE"/>
    <w:rsid w:val="00A60A99"/>
    <w:rsid w:val="00AB2553"/>
    <w:rsid w:val="00B12AFF"/>
    <w:rsid w:val="00B672C3"/>
    <w:rsid w:val="00B7587A"/>
    <w:rsid w:val="00B82CE4"/>
    <w:rsid w:val="00BC44EA"/>
    <w:rsid w:val="00C67384"/>
    <w:rsid w:val="00C86D74"/>
    <w:rsid w:val="00C978C0"/>
    <w:rsid w:val="00EB3E82"/>
    <w:rsid w:val="00ED0E27"/>
    <w:rsid w:val="00F71593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C959"/>
  <w15:chartTrackingRefBased/>
  <w15:docId w15:val="{21AC8869-6733-4DCD-993F-98E816B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0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0A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0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0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0A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60A99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A60A99"/>
  </w:style>
  <w:style w:type="character" w:customStyle="1" w:styleId="eop">
    <w:name w:val="eop"/>
    <w:basedOn w:val="Fuentedeprrafopredeter"/>
    <w:rsid w:val="00A60A99"/>
  </w:style>
  <w:style w:type="character" w:customStyle="1" w:styleId="apple-converted-space">
    <w:name w:val="apple-converted-space"/>
    <w:basedOn w:val="Fuentedeprrafopredeter"/>
    <w:rsid w:val="0044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B6E98-A334-4028-B33B-3F513F6D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6F1FA-1895-48A4-8554-FA4ADE55913B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3.xml><?xml version="1.0" encoding="utf-8"?>
<ds:datastoreItem xmlns:ds="http://schemas.openxmlformats.org/officeDocument/2006/customXml" ds:itemID="{556C90EE-2E1E-4F7E-9B4A-4937B9336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Mayerly Ayala Rivera</dc:creator>
  <cp:keywords/>
  <dc:description/>
  <cp:lastModifiedBy>DAISY CAROLINA LOPEZ ROMERO</cp:lastModifiedBy>
  <cp:revision>8</cp:revision>
  <dcterms:created xsi:type="dcterms:W3CDTF">2024-09-06T20:50:00Z</dcterms:created>
  <dcterms:modified xsi:type="dcterms:W3CDTF">2024-09-06T22:22:00Z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