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2122"/>
        <w:gridCol w:w="1842"/>
        <w:gridCol w:w="4864"/>
      </w:tblGrid>
      <w:tr w:rsidR="0074655A" w:rsidTr="0074655A">
        <w:tc>
          <w:tcPr>
            <w:tcW w:w="2122" w:type="dxa"/>
          </w:tcPr>
          <w:p w:rsidR="0074655A" w:rsidRPr="0074655A" w:rsidRDefault="0074655A">
            <w:pPr>
              <w:rPr>
                <w:b/>
                <w:bCs/>
              </w:rPr>
            </w:pPr>
            <w:r w:rsidRPr="0074655A">
              <w:rPr>
                <w:b/>
                <w:bCs/>
              </w:rPr>
              <w:t>Nombre del paciente</w:t>
            </w:r>
          </w:p>
        </w:tc>
        <w:tc>
          <w:tcPr>
            <w:tcW w:w="6706" w:type="dxa"/>
            <w:gridSpan w:val="2"/>
          </w:tcPr>
          <w:p w:rsidR="00C3403D" w:rsidRDefault="00C3403D" w:rsidP="00C3403D">
            <w:pPr>
              <w:pStyle w:val="Textoindependiente"/>
              <w:spacing w:before="56"/>
              <w:ind w:left="102"/>
              <w:rPr>
                <w:rFonts w:ascii="Bookman Old Style" w:hAnsi="Bookman Old Style"/>
              </w:rPr>
            </w:pPr>
          </w:p>
          <w:p w:rsidR="00C3403D" w:rsidRDefault="00C3403D" w:rsidP="00C3403D">
            <w:pPr>
              <w:pStyle w:val="Textoindependiente"/>
              <w:spacing w:before="56"/>
              <w:ind w:left="102"/>
              <w:rPr>
                <w:rFonts w:ascii="Bookman Old Style" w:hAnsi="Bookman Old Style"/>
              </w:rPr>
            </w:pPr>
            <w:r>
              <w:rPr>
                <w:rFonts w:ascii="Bookman Old Style" w:hAnsi="Bookman Old Style"/>
              </w:rPr>
              <w:t xml:space="preserve">Melisa </w:t>
            </w:r>
            <w:proofErr w:type="spellStart"/>
            <w:r>
              <w:rPr>
                <w:rFonts w:ascii="Bookman Old Style" w:hAnsi="Bookman Old Style"/>
              </w:rPr>
              <w:t>Charry</w:t>
            </w:r>
            <w:proofErr w:type="spellEnd"/>
            <w:r>
              <w:rPr>
                <w:rFonts w:ascii="Bookman Old Style" w:hAnsi="Bookman Old Style"/>
              </w:rPr>
              <w:t xml:space="preserve"> CC 1005897185</w:t>
            </w:r>
          </w:p>
          <w:p w:rsidR="0074655A" w:rsidRDefault="0074655A"/>
        </w:tc>
      </w:tr>
      <w:tr w:rsidR="0074655A" w:rsidTr="0074655A">
        <w:tc>
          <w:tcPr>
            <w:tcW w:w="2122" w:type="dxa"/>
          </w:tcPr>
          <w:p w:rsidR="0074655A" w:rsidRPr="0074655A" w:rsidRDefault="0074655A">
            <w:pPr>
              <w:rPr>
                <w:b/>
                <w:bCs/>
              </w:rPr>
            </w:pPr>
            <w:r w:rsidRPr="0074655A">
              <w:rPr>
                <w:b/>
                <w:bCs/>
              </w:rPr>
              <w:t>Fecha de la atención señalada en la demanda</w:t>
            </w:r>
          </w:p>
        </w:tc>
        <w:tc>
          <w:tcPr>
            <w:tcW w:w="6706" w:type="dxa"/>
            <w:gridSpan w:val="2"/>
          </w:tcPr>
          <w:p w:rsidR="0074655A" w:rsidRDefault="00C3403D">
            <w:r w:rsidRPr="00440EE9">
              <w:rPr>
                <w:b/>
                <w:bCs/>
              </w:rPr>
              <w:t>3 de febrero de 2020.</w:t>
            </w:r>
          </w:p>
        </w:tc>
      </w:tr>
      <w:tr w:rsidR="0074655A" w:rsidTr="0074655A">
        <w:tc>
          <w:tcPr>
            <w:tcW w:w="2122" w:type="dxa"/>
          </w:tcPr>
          <w:p w:rsidR="0074655A" w:rsidRPr="0074655A" w:rsidRDefault="0074655A">
            <w:pPr>
              <w:rPr>
                <w:b/>
                <w:bCs/>
              </w:rPr>
            </w:pPr>
            <w:r w:rsidRPr="0074655A">
              <w:rPr>
                <w:b/>
                <w:bCs/>
              </w:rPr>
              <w:t>Fecha análisis</w:t>
            </w:r>
          </w:p>
        </w:tc>
        <w:tc>
          <w:tcPr>
            <w:tcW w:w="6706" w:type="dxa"/>
            <w:gridSpan w:val="2"/>
          </w:tcPr>
          <w:p w:rsidR="0074655A" w:rsidRDefault="000B1DFF" w:rsidP="00C3403D">
            <w:r>
              <w:t>1</w:t>
            </w:r>
            <w:r w:rsidR="00C3403D">
              <w:t>8</w:t>
            </w:r>
            <w:r>
              <w:t xml:space="preserve"> de noviembre del 2024</w:t>
            </w:r>
          </w:p>
        </w:tc>
      </w:tr>
      <w:tr w:rsidR="0074655A" w:rsidTr="0074655A">
        <w:tc>
          <w:tcPr>
            <w:tcW w:w="2122" w:type="dxa"/>
          </w:tcPr>
          <w:p w:rsidR="0074655A" w:rsidRPr="0074655A" w:rsidRDefault="0074655A">
            <w:pPr>
              <w:rPr>
                <w:b/>
                <w:bCs/>
              </w:rPr>
            </w:pPr>
            <w:r w:rsidRPr="0074655A">
              <w:rPr>
                <w:b/>
                <w:bCs/>
              </w:rPr>
              <w:t>Médico que realiza el análisis</w:t>
            </w:r>
          </w:p>
        </w:tc>
        <w:tc>
          <w:tcPr>
            <w:tcW w:w="6706" w:type="dxa"/>
            <w:gridSpan w:val="2"/>
          </w:tcPr>
          <w:p w:rsidR="0074655A" w:rsidRDefault="000B1DFF" w:rsidP="000B1DFF">
            <w:r>
              <w:t>Dra. Patricia de la Ossa.</w:t>
            </w:r>
          </w:p>
        </w:tc>
      </w:tr>
      <w:tr w:rsidR="0074655A" w:rsidTr="0074655A">
        <w:tc>
          <w:tcPr>
            <w:tcW w:w="2122" w:type="dxa"/>
          </w:tcPr>
          <w:p w:rsidR="0074655A" w:rsidRPr="0074655A" w:rsidRDefault="0074655A">
            <w:pPr>
              <w:rPr>
                <w:b/>
                <w:bCs/>
              </w:rPr>
            </w:pPr>
            <w:r>
              <w:rPr>
                <w:b/>
                <w:bCs/>
              </w:rPr>
              <w:t>Área involucrada</w:t>
            </w:r>
          </w:p>
        </w:tc>
        <w:tc>
          <w:tcPr>
            <w:tcW w:w="6706" w:type="dxa"/>
            <w:gridSpan w:val="2"/>
          </w:tcPr>
          <w:p w:rsidR="0074655A" w:rsidRDefault="000B1DFF">
            <w:r>
              <w:t>Cirugía</w:t>
            </w:r>
            <w:r w:rsidR="00C3403D">
              <w:t>/urgencias/ginecología.</w:t>
            </w:r>
          </w:p>
        </w:tc>
      </w:tr>
      <w:tr w:rsidR="0074655A" w:rsidTr="0074655A">
        <w:tc>
          <w:tcPr>
            <w:tcW w:w="2122" w:type="dxa"/>
          </w:tcPr>
          <w:p w:rsidR="0074655A" w:rsidRDefault="0074655A">
            <w:pPr>
              <w:rPr>
                <w:b/>
                <w:bCs/>
              </w:rPr>
            </w:pPr>
            <w:r>
              <w:rPr>
                <w:b/>
                <w:bCs/>
              </w:rPr>
              <w:t>Nombre jefe de área</w:t>
            </w:r>
          </w:p>
        </w:tc>
        <w:tc>
          <w:tcPr>
            <w:tcW w:w="6706" w:type="dxa"/>
            <w:gridSpan w:val="2"/>
          </w:tcPr>
          <w:p w:rsidR="0074655A" w:rsidRDefault="000B1DFF">
            <w:r>
              <w:t>Jefe</w:t>
            </w:r>
            <w:r w:rsidR="00C3403D">
              <w:t xml:space="preserve"> </w:t>
            </w:r>
            <w:proofErr w:type="spellStart"/>
            <w:r w:rsidR="00C3403D">
              <w:t>cirugia</w:t>
            </w:r>
            <w:proofErr w:type="spellEnd"/>
            <w:r w:rsidR="00C3403D">
              <w:t xml:space="preserve"> </w:t>
            </w:r>
            <w:r>
              <w:t xml:space="preserve"> Leonel Andrés Castaño</w:t>
            </w:r>
            <w:r w:rsidR="00C3403D">
              <w:t xml:space="preserve">, </w:t>
            </w:r>
            <w:proofErr w:type="spellStart"/>
            <w:r w:rsidR="00C3403D">
              <w:t>Dr</w:t>
            </w:r>
            <w:proofErr w:type="spellEnd"/>
            <w:r w:rsidR="00C3403D">
              <w:t xml:space="preserve"> ginecología </w:t>
            </w:r>
            <w:r w:rsidR="00C3403D" w:rsidRPr="00440EE9">
              <w:t xml:space="preserve">Antonio José </w:t>
            </w:r>
            <w:proofErr w:type="spellStart"/>
            <w:r w:rsidR="00C3403D" w:rsidRPr="00440EE9">
              <w:t>Briceño</w:t>
            </w:r>
            <w:proofErr w:type="spellEnd"/>
            <w:r w:rsidR="00C3403D" w:rsidRPr="00440EE9">
              <w:t xml:space="preserve"> Méndez</w:t>
            </w:r>
          </w:p>
        </w:tc>
      </w:tr>
      <w:tr w:rsidR="0074655A" w:rsidTr="00821DDF">
        <w:tc>
          <w:tcPr>
            <w:tcW w:w="8828" w:type="dxa"/>
            <w:gridSpan w:val="3"/>
          </w:tcPr>
          <w:p w:rsidR="0074655A" w:rsidRDefault="0074655A" w:rsidP="0074655A">
            <w:pPr>
              <w:jc w:val="center"/>
              <w:rPr>
                <w:color w:val="156082" w:themeColor="accent1"/>
              </w:rPr>
            </w:pPr>
            <w:r w:rsidRPr="0074655A">
              <w:rPr>
                <w:b/>
                <w:bCs/>
              </w:rPr>
              <w:t>Datos clínicos relevantes del paciente</w:t>
            </w:r>
            <w:r w:rsidRPr="0074655A">
              <w:rPr>
                <w:color w:val="156082" w:themeColor="accent1"/>
              </w:rPr>
              <w:t xml:space="preserve">(por favor indicar </w:t>
            </w:r>
          </w:p>
          <w:p w:rsidR="0074655A" w:rsidRDefault="0074655A" w:rsidP="0074655A">
            <w:pPr>
              <w:jc w:val="center"/>
              <w:rPr>
                <w:color w:val="156082" w:themeColor="accent1"/>
              </w:rPr>
            </w:pPr>
            <w:r w:rsidRPr="0074655A">
              <w:rPr>
                <w:color w:val="156082" w:themeColor="accent1"/>
              </w:rPr>
              <w:t xml:space="preserve">si dentro de la información (HC) se encuentra información relevante </w:t>
            </w:r>
          </w:p>
          <w:p w:rsidR="0074655A" w:rsidRPr="0074655A" w:rsidRDefault="0074655A" w:rsidP="0074655A">
            <w:pPr>
              <w:jc w:val="center"/>
              <w:rPr>
                <w:b/>
                <w:bCs/>
              </w:rPr>
            </w:pPr>
            <w:r w:rsidRPr="0074655A">
              <w:rPr>
                <w:color w:val="156082" w:themeColor="accent1"/>
              </w:rPr>
              <w:t>frente antecedentes que deban ser tenidos en cuenta)</w:t>
            </w:r>
          </w:p>
        </w:tc>
      </w:tr>
      <w:tr w:rsidR="0074655A" w:rsidTr="00821DDF">
        <w:tc>
          <w:tcPr>
            <w:tcW w:w="8828" w:type="dxa"/>
            <w:gridSpan w:val="3"/>
          </w:tcPr>
          <w:p w:rsidR="0074655A" w:rsidRDefault="0074655A"/>
          <w:p w:rsidR="005967E9" w:rsidRPr="005967E9" w:rsidRDefault="005967E9" w:rsidP="005967E9">
            <w:pPr>
              <w:spacing w:before="100" w:beforeAutospacing="1" w:after="100" w:afterAutospacing="1"/>
              <w:rPr>
                <w:rFonts w:ascii="Arial" w:hAnsi="Arial" w:cs="Arial"/>
                <w:sz w:val="20"/>
                <w:szCs w:val="20"/>
              </w:rPr>
            </w:pPr>
            <w:r w:rsidRPr="005967E9">
              <w:rPr>
                <w:rFonts w:ascii="Arial" w:hAnsi="Arial" w:cs="Arial"/>
                <w:b/>
                <w:bCs/>
                <w:sz w:val="20"/>
                <w:szCs w:val="20"/>
              </w:rPr>
              <w:t>Fecha de ingreso inicial: 3 de febrero de 2020.</w:t>
            </w:r>
          </w:p>
          <w:p w:rsidR="005967E9" w:rsidRPr="005967E9" w:rsidRDefault="005967E9" w:rsidP="005967E9">
            <w:pPr>
              <w:spacing w:before="100" w:beforeAutospacing="1" w:after="100" w:afterAutospacing="1"/>
              <w:rPr>
                <w:rFonts w:ascii="Arial" w:hAnsi="Arial" w:cs="Arial"/>
                <w:sz w:val="20"/>
                <w:szCs w:val="20"/>
              </w:rPr>
            </w:pPr>
            <w:r w:rsidRPr="005967E9">
              <w:rPr>
                <w:rFonts w:ascii="Arial" w:hAnsi="Arial" w:cs="Arial"/>
                <w:sz w:val="20"/>
                <w:szCs w:val="20"/>
              </w:rPr>
              <w:t xml:space="preserve">La usuaria presentó un cuadro de dolor abdominal y náuseas, con reportes aparentemente normales en los exámenes </w:t>
            </w:r>
            <w:proofErr w:type="spellStart"/>
            <w:r w:rsidRPr="005967E9">
              <w:rPr>
                <w:rFonts w:ascii="Arial" w:hAnsi="Arial" w:cs="Arial"/>
                <w:sz w:val="20"/>
                <w:szCs w:val="20"/>
              </w:rPr>
              <w:t>paraclínicos</w:t>
            </w:r>
            <w:proofErr w:type="spellEnd"/>
            <w:r w:rsidRPr="005967E9">
              <w:rPr>
                <w:rFonts w:ascii="Arial" w:hAnsi="Arial" w:cs="Arial"/>
                <w:sz w:val="20"/>
                <w:szCs w:val="20"/>
              </w:rPr>
              <w:t xml:space="preserve"> y la ecografía abdominal realizada en la periferia, que mostró un aumento del peristaltismo en las asas intestinales.</w:t>
            </w:r>
          </w:p>
          <w:p w:rsidR="005967E9" w:rsidRPr="005967E9" w:rsidRDefault="005967E9" w:rsidP="005967E9">
            <w:pPr>
              <w:spacing w:before="100" w:beforeAutospacing="1" w:after="100" w:afterAutospacing="1"/>
              <w:rPr>
                <w:rFonts w:ascii="Arial" w:hAnsi="Arial" w:cs="Arial"/>
                <w:sz w:val="20"/>
                <w:szCs w:val="20"/>
              </w:rPr>
            </w:pPr>
            <w:r w:rsidRPr="005967E9">
              <w:rPr>
                <w:rFonts w:ascii="Arial" w:hAnsi="Arial" w:cs="Arial"/>
                <w:b/>
                <w:bCs/>
                <w:sz w:val="20"/>
                <w:szCs w:val="20"/>
              </w:rPr>
              <w:t>Examen físico:</w:t>
            </w:r>
            <w:r w:rsidRPr="005967E9">
              <w:rPr>
                <w:rFonts w:ascii="Arial" w:hAnsi="Arial" w:cs="Arial"/>
                <w:sz w:val="20"/>
                <w:szCs w:val="20"/>
              </w:rPr>
              <w:br/>
              <w:t>Se evidenció dolor abdominal sin signos de irritación peritoneal.</w:t>
            </w:r>
            <w:r w:rsidRPr="005967E9">
              <w:rPr>
                <w:rFonts w:ascii="Arial" w:hAnsi="Arial" w:cs="Arial"/>
                <w:sz w:val="20"/>
                <w:szCs w:val="20"/>
              </w:rPr>
              <w:br/>
            </w:r>
            <w:r w:rsidRPr="005967E9">
              <w:rPr>
                <w:rFonts w:ascii="Arial" w:hAnsi="Arial" w:cs="Arial"/>
                <w:b/>
                <w:bCs/>
                <w:sz w:val="20"/>
                <w:szCs w:val="20"/>
              </w:rPr>
              <w:t>Plan de tratamiento inicial:</w:t>
            </w:r>
            <w:r w:rsidRPr="005967E9">
              <w:rPr>
                <w:rFonts w:ascii="Arial" w:hAnsi="Arial" w:cs="Arial"/>
                <w:sz w:val="20"/>
                <w:szCs w:val="20"/>
              </w:rPr>
              <w:br/>
              <w:t>Antiespasmódicos (</w:t>
            </w:r>
            <w:proofErr w:type="spellStart"/>
            <w:r w:rsidRPr="005967E9">
              <w:rPr>
                <w:rFonts w:ascii="Arial" w:hAnsi="Arial" w:cs="Arial"/>
                <w:sz w:val="20"/>
                <w:szCs w:val="20"/>
              </w:rPr>
              <w:t>Buscapina</w:t>
            </w:r>
            <w:proofErr w:type="spellEnd"/>
            <w:r w:rsidRPr="005967E9">
              <w:rPr>
                <w:rFonts w:ascii="Arial" w:hAnsi="Arial" w:cs="Arial"/>
                <w:sz w:val="20"/>
                <w:szCs w:val="20"/>
              </w:rPr>
              <w:t>).</w:t>
            </w:r>
          </w:p>
          <w:p w:rsidR="005967E9" w:rsidRPr="005967E9" w:rsidRDefault="005967E9" w:rsidP="005967E9">
            <w:pPr>
              <w:spacing w:before="100" w:beforeAutospacing="1" w:after="100" w:afterAutospacing="1"/>
              <w:rPr>
                <w:rFonts w:ascii="Arial" w:hAnsi="Arial" w:cs="Arial"/>
                <w:sz w:val="20"/>
                <w:szCs w:val="20"/>
              </w:rPr>
            </w:pPr>
            <w:r w:rsidRPr="005967E9">
              <w:rPr>
                <w:rFonts w:ascii="Arial" w:hAnsi="Arial" w:cs="Arial"/>
                <w:b/>
                <w:bCs/>
                <w:sz w:val="20"/>
                <w:szCs w:val="20"/>
              </w:rPr>
              <w:t>Evolución clínica:</w:t>
            </w:r>
          </w:p>
          <w:p w:rsidR="005967E9" w:rsidRPr="005967E9" w:rsidRDefault="005967E9" w:rsidP="005967E9">
            <w:pPr>
              <w:spacing w:before="100" w:beforeAutospacing="1" w:after="100" w:afterAutospacing="1"/>
              <w:rPr>
                <w:rFonts w:ascii="Arial" w:hAnsi="Arial" w:cs="Arial"/>
                <w:sz w:val="20"/>
                <w:szCs w:val="20"/>
              </w:rPr>
            </w:pPr>
            <w:r w:rsidRPr="005967E9">
              <w:rPr>
                <w:rFonts w:ascii="Arial" w:hAnsi="Arial" w:cs="Arial"/>
                <w:sz w:val="20"/>
                <w:szCs w:val="20"/>
              </w:rPr>
              <w:t xml:space="preserve">La usuaria  acudió nuevamente al servicio de urgencias el 18 y 20 de febrero de 2020. Fue valorada en </w:t>
            </w:r>
            <w:proofErr w:type="spellStart"/>
            <w:r w:rsidRPr="005967E9">
              <w:rPr>
                <w:rFonts w:ascii="Arial" w:hAnsi="Arial" w:cs="Arial"/>
                <w:sz w:val="20"/>
                <w:szCs w:val="20"/>
              </w:rPr>
              <w:t>triage</w:t>
            </w:r>
            <w:proofErr w:type="spellEnd"/>
            <w:r w:rsidRPr="005967E9">
              <w:rPr>
                <w:rFonts w:ascii="Arial" w:hAnsi="Arial" w:cs="Arial"/>
                <w:sz w:val="20"/>
                <w:szCs w:val="20"/>
              </w:rPr>
              <w:t xml:space="preserve"> y derivada a su IPS de atención primaria.</w:t>
            </w:r>
          </w:p>
          <w:p w:rsidR="005967E9" w:rsidRPr="005967E9" w:rsidRDefault="005967E9" w:rsidP="005967E9">
            <w:pPr>
              <w:spacing w:before="100" w:beforeAutospacing="1" w:after="100" w:afterAutospacing="1"/>
              <w:rPr>
                <w:rFonts w:ascii="Arial" w:hAnsi="Arial" w:cs="Arial"/>
                <w:sz w:val="20"/>
                <w:szCs w:val="20"/>
              </w:rPr>
            </w:pPr>
            <w:r w:rsidRPr="005967E9">
              <w:rPr>
                <w:rFonts w:ascii="Arial" w:hAnsi="Arial" w:cs="Arial"/>
                <w:b/>
                <w:bCs/>
                <w:sz w:val="20"/>
                <w:szCs w:val="20"/>
              </w:rPr>
              <w:t>Ingreso hospitalario:</w:t>
            </w:r>
            <w:r w:rsidRPr="005967E9">
              <w:rPr>
                <w:rFonts w:ascii="Arial" w:hAnsi="Arial" w:cs="Arial"/>
                <w:sz w:val="20"/>
                <w:szCs w:val="20"/>
              </w:rPr>
              <w:br/>
              <w:t>El 21 de febrero de 2020, la paciente ingresó al hospital con síntomas de dolor abdominal, náuseas y diarrea. Se realizó una ecografía abdominal que reportó colecistitis. El médico tratante ordenó pruebas de función hepática y valoración por los especialistas en ginecología y obstetricia, así como cirugía general.</w:t>
            </w:r>
          </w:p>
          <w:p w:rsidR="005967E9" w:rsidRPr="005967E9" w:rsidRDefault="005967E9" w:rsidP="005967E9">
            <w:pPr>
              <w:spacing w:before="100" w:beforeAutospacing="1" w:after="100" w:afterAutospacing="1"/>
              <w:rPr>
                <w:rFonts w:ascii="Arial" w:hAnsi="Arial" w:cs="Arial"/>
                <w:sz w:val="20"/>
                <w:szCs w:val="20"/>
              </w:rPr>
            </w:pPr>
            <w:r w:rsidRPr="005967E9">
              <w:rPr>
                <w:rFonts w:ascii="Arial" w:hAnsi="Arial" w:cs="Arial"/>
                <w:b/>
                <w:bCs/>
                <w:sz w:val="20"/>
                <w:szCs w:val="20"/>
              </w:rPr>
              <w:t>Intervención quirúrgica:</w:t>
            </w:r>
            <w:r w:rsidRPr="005967E9">
              <w:rPr>
                <w:rFonts w:ascii="Arial" w:hAnsi="Arial" w:cs="Arial"/>
                <w:sz w:val="20"/>
                <w:szCs w:val="20"/>
              </w:rPr>
              <w:br/>
              <w:t xml:space="preserve">Se recomendó realizar una tomografía computada de abdomen y pelvis, que mostró una colección </w:t>
            </w:r>
            <w:proofErr w:type="spellStart"/>
            <w:r w:rsidRPr="005967E9">
              <w:rPr>
                <w:rFonts w:ascii="Arial" w:hAnsi="Arial" w:cs="Arial"/>
                <w:sz w:val="20"/>
                <w:szCs w:val="20"/>
              </w:rPr>
              <w:t>hipodensa</w:t>
            </w:r>
            <w:proofErr w:type="spellEnd"/>
            <w:r w:rsidRPr="005967E9">
              <w:rPr>
                <w:rFonts w:ascii="Arial" w:hAnsi="Arial" w:cs="Arial"/>
                <w:sz w:val="20"/>
                <w:szCs w:val="20"/>
              </w:rPr>
              <w:t xml:space="preserve"> </w:t>
            </w:r>
            <w:proofErr w:type="spellStart"/>
            <w:r w:rsidRPr="005967E9">
              <w:rPr>
                <w:rFonts w:ascii="Arial" w:hAnsi="Arial" w:cs="Arial"/>
                <w:sz w:val="20"/>
                <w:szCs w:val="20"/>
              </w:rPr>
              <w:t>retrouterina</w:t>
            </w:r>
            <w:proofErr w:type="spellEnd"/>
            <w:r w:rsidRPr="005967E9">
              <w:rPr>
                <w:rFonts w:ascii="Arial" w:hAnsi="Arial" w:cs="Arial"/>
                <w:sz w:val="20"/>
                <w:szCs w:val="20"/>
              </w:rPr>
              <w:t xml:space="preserve"> que capta contraste, compatible con un posible absceso, que podría ser de origen ovárico o apendicular. La usuaria fue intervenida el 23 de febrero de 2020 con el siguiente procedimiento quirúrgico:</w:t>
            </w:r>
          </w:p>
          <w:p w:rsidR="005967E9" w:rsidRPr="005967E9" w:rsidRDefault="005967E9" w:rsidP="005967E9">
            <w:pPr>
              <w:numPr>
                <w:ilvl w:val="0"/>
                <w:numId w:val="1"/>
              </w:numPr>
              <w:spacing w:before="100" w:beforeAutospacing="1" w:after="100" w:afterAutospacing="1"/>
              <w:rPr>
                <w:rFonts w:ascii="Arial" w:hAnsi="Arial" w:cs="Arial"/>
                <w:sz w:val="20"/>
                <w:szCs w:val="20"/>
              </w:rPr>
            </w:pPr>
            <w:r w:rsidRPr="005967E9">
              <w:rPr>
                <w:rFonts w:ascii="Arial" w:hAnsi="Arial" w:cs="Arial"/>
                <w:sz w:val="20"/>
                <w:szCs w:val="20"/>
              </w:rPr>
              <w:t xml:space="preserve">Colecistectomía </w:t>
            </w:r>
            <w:proofErr w:type="spellStart"/>
            <w:r w:rsidRPr="005967E9">
              <w:rPr>
                <w:rFonts w:ascii="Arial" w:hAnsi="Arial" w:cs="Arial"/>
                <w:sz w:val="20"/>
                <w:szCs w:val="20"/>
              </w:rPr>
              <w:t>laparoscópica</w:t>
            </w:r>
            <w:proofErr w:type="spellEnd"/>
            <w:r w:rsidRPr="005967E9">
              <w:rPr>
                <w:rFonts w:ascii="Arial" w:hAnsi="Arial" w:cs="Arial"/>
                <w:sz w:val="20"/>
                <w:szCs w:val="20"/>
              </w:rPr>
              <w:t>.</w:t>
            </w:r>
          </w:p>
          <w:p w:rsidR="005967E9" w:rsidRPr="005967E9" w:rsidRDefault="005967E9" w:rsidP="005967E9">
            <w:pPr>
              <w:numPr>
                <w:ilvl w:val="0"/>
                <w:numId w:val="1"/>
              </w:numPr>
              <w:spacing w:before="100" w:beforeAutospacing="1" w:after="100" w:afterAutospacing="1"/>
              <w:rPr>
                <w:rFonts w:ascii="Arial" w:hAnsi="Arial" w:cs="Arial"/>
                <w:sz w:val="20"/>
                <w:szCs w:val="20"/>
              </w:rPr>
            </w:pPr>
            <w:r w:rsidRPr="005967E9">
              <w:rPr>
                <w:rFonts w:ascii="Arial" w:hAnsi="Arial" w:cs="Arial"/>
                <w:sz w:val="20"/>
                <w:szCs w:val="20"/>
              </w:rPr>
              <w:lastRenderedPageBreak/>
              <w:t xml:space="preserve">Drenaje de la colección </w:t>
            </w:r>
            <w:proofErr w:type="spellStart"/>
            <w:r w:rsidRPr="005967E9">
              <w:rPr>
                <w:rFonts w:ascii="Arial" w:hAnsi="Arial" w:cs="Arial"/>
                <w:sz w:val="20"/>
                <w:szCs w:val="20"/>
              </w:rPr>
              <w:t>intraperitoneal</w:t>
            </w:r>
            <w:proofErr w:type="spellEnd"/>
            <w:r w:rsidRPr="005967E9">
              <w:rPr>
                <w:rFonts w:ascii="Arial" w:hAnsi="Arial" w:cs="Arial"/>
                <w:sz w:val="20"/>
                <w:szCs w:val="20"/>
              </w:rPr>
              <w:t xml:space="preserve"> vía abierta.</w:t>
            </w:r>
          </w:p>
          <w:p w:rsidR="005967E9" w:rsidRPr="005967E9" w:rsidRDefault="005967E9" w:rsidP="005967E9">
            <w:pPr>
              <w:numPr>
                <w:ilvl w:val="0"/>
                <w:numId w:val="1"/>
              </w:numPr>
              <w:spacing w:before="100" w:beforeAutospacing="1" w:after="100" w:afterAutospacing="1"/>
              <w:rPr>
                <w:rFonts w:ascii="Arial" w:hAnsi="Arial" w:cs="Arial"/>
                <w:sz w:val="20"/>
                <w:szCs w:val="20"/>
              </w:rPr>
            </w:pPr>
            <w:r w:rsidRPr="005967E9">
              <w:rPr>
                <w:rFonts w:ascii="Arial" w:hAnsi="Arial" w:cs="Arial"/>
                <w:sz w:val="20"/>
                <w:szCs w:val="20"/>
              </w:rPr>
              <w:t>Resección segmentaria de intestino delgado vía abierta.</w:t>
            </w:r>
          </w:p>
          <w:p w:rsidR="005967E9" w:rsidRPr="005967E9" w:rsidRDefault="005967E9" w:rsidP="005967E9">
            <w:pPr>
              <w:numPr>
                <w:ilvl w:val="0"/>
                <w:numId w:val="1"/>
              </w:numPr>
              <w:spacing w:before="100" w:beforeAutospacing="1" w:after="100" w:afterAutospacing="1"/>
              <w:rPr>
                <w:rFonts w:ascii="Arial" w:hAnsi="Arial" w:cs="Arial"/>
                <w:sz w:val="20"/>
                <w:szCs w:val="20"/>
              </w:rPr>
            </w:pPr>
            <w:proofErr w:type="spellStart"/>
            <w:r w:rsidRPr="005967E9">
              <w:rPr>
                <w:rFonts w:ascii="Arial" w:hAnsi="Arial" w:cs="Arial"/>
                <w:sz w:val="20"/>
                <w:szCs w:val="20"/>
              </w:rPr>
              <w:t>Apendicectomía</w:t>
            </w:r>
            <w:proofErr w:type="spellEnd"/>
            <w:r w:rsidRPr="005967E9">
              <w:rPr>
                <w:rFonts w:ascii="Arial" w:hAnsi="Arial" w:cs="Arial"/>
                <w:sz w:val="20"/>
                <w:szCs w:val="20"/>
              </w:rPr>
              <w:t xml:space="preserve"> vía abierta.</w:t>
            </w:r>
          </w:p>
          <w:p w:rsidR="005967E9" w:rsidRPr="005967E9" w:rsidRDefault="005967E9" w:rsidP="005967E9">
            <w:pPr>
              <w:numPr>
                <w:ilvl w:val="0"/>
                <w:numId w:val="1"/>
              </w:numPr>
              <w:spacing w:before="100" w:beforeAutospacing="1" w:after="100" w:afterAutospacing="1"/>
              <w:rPr>
                <w:rFonts w:ascii="Arial" w:hAnsi="Arial" w:cs="Arial"/>
                <w:sz w:val="20"/>
                <w:szCs w:val="20"/>
              </w:rPr>
            </w:pPr>
            <w:r w:rsidRPr="005967E9">
              <w:rPr>
                <w:rFonts w:ascii="Arial" w:hAnsi="Arial" w:cs="Arial"/>
                <w:sz w:val="20"/>
                <w:szCs w:val="20"/>
              </w:rPr>
              <w:t>Lavado peritoneal terapéutico.</w:t>
            </w:r>
            <w:r w:rsidRPr="005967E9">
              <w:rPr>
                <w:rFonts w:ascii="Arial" w:hAnsi="Arial" w:cs="Arial"/>
                <w:sz w:val="20"/>
                <w:szCs w:val="20"/>
              </w:rPr>
              <w:br/>
              <w:t xml:space="preserve">Durante la intervención, se encontró un absceso pélvico </w:t>
            </w:r>
            <w:proofErr w:type="spellStart"/>
            <w:r w:rsidRPr="005967E9">
              <w:rPr>
                <w:rFonts w:ascii="Arial" w:hAnsi="Arial" w:cs="Arial"/>
                <w:sz w:val="20"/>
                <w:szCs w:val="20"/>
              </w:rPr>
              <w:t>retrouterino</w:t>
            </w:r>
            <w:proofErr w:type="spellEnd"/>
            <w:r w:rsidRPr="005967E9">
              <w:rPr>
                <w:rFonts w:ascii="Arial" w:hAnsi="Arial" w:cs="Arial"/>
                <w:sz w:val="20"/>
                <w:szCs w:val="20"/>
              </w:rPr>
              <w:t xml:space="preserve">, </w:t>
            </w:r>
            <w:proofErr w:type="spellStart"/>
            <w:r w:rsidRPr="005967E9">
              <w:rPr>
                <w:rFonts w:ascii="Arial" w:hAnsi="Arial" w:cs="Arial"/>
                <w:sz w:val="20"/>
                <w:szCs w:val="20"/>
              </w:rPr>
              <w:t>emplastrado</w:t>
            </w:r>
            <w:proofErr w:type="spellEnd"/>
            <w:r w:rsidRPr="005967E9">
              <w:rPr>
                <w:rFonts w:ascii="Arial" w:hAnsi="Arial" w:cs="Arial"/>
                <w:sz w:val="20"/>
                <w:szCs w:val="20"/>
              </w:rPr>
              <w:t xml:space="preserve"> por un asa de íleon distal. Se recomendó </w:t>
            </w:r>
            <w:proofErr w:type="spellStart"/>
            <w:r w:rsidRPr="005967E9">
              <w:rPr>
                <w:rFonts w:ascii="Arial" w:hAnsi="Arial" w:cs="Arial"/>
                <w:sz w:val="20"/>
                <w:szCs w:val="20"/>
              </w:rPr>
              <w:t>reintervención</w:t>
            </w:r>
            <w:proofErr w:type="spellEnd"/>
            <w:r w:rsidRPr="005967E9">
              <w:rPr>
                <w:rFonts w:ascii="Arial" w:hAnsi="Arial" w:cs="Arial"/>
                <w:sz w:val="20"/>
                <w:szCs w:val="20"/>
              </w:rPr>
              <w:t xml:space="preserve"> en 48 horas para la extracción de compresas.</w:t>
            </w:r>
          </w:p>
          <w:p w:rsidR="005967E9" w:rsidRPr="005967E9" w:rsidRDefault="005967E9" w:rsidP="005967E9">
            <w:pPr>
              <w:spacing w:before="100" w:beforeAutospacing="1" w:after="100" w:afterAutospacing="1"/>
              <w:rPr>
                <w:rFonts w:ascii="Arial" w:hAnsi="Arial" w:cs="Arial"/>
                <w:sz w:val="20"/>
                <w:szCs w:val="20"/>
              </w:rPr>
            </w:pPr>
            <w:r w:rsidRPr="005967E9">
              <w:rPr>
                <w:rFonts w:ascii="Arial" w:hAnsi="Arial" w:cs="Arial"/>
                <w:b/>
                <w:bCs/>
                <w:sz w:val="20"/>
                <w:szCs w:val="20"/>
              </w:rPr>
              <w:t>Seguimiento postquirúrgico:</w:t>
            </w:r>
            <w:r w:rsidRPr="005967E9">
              <w:rPr>
                <w:rFonts w:ascii="Arial" w:hAnsi="Arial" w:cs="Arial"/>
                <w:sz w:val="20"/>
                <w:szCs w:val="20"/>
              </w:rPr>
              <w:br/>
              <w:t xml:space="preserve">En la </w:t>
            </w:r>
            <w:proofErr w:type="spellStart"/>
            <w:r w:rsidRPr="005967E9">
              <w:rPr>
                <w:rFonts w:ascii="Arial" w:hAnsi="Arial" w:cs="Arial"/>
                <w:sz w:val="20"/>
                <w:szCs w:val="20"/>
              </w:rPr>
              <w:t>reintervención</w:t>
            </w:r>
            <w:proofErr w:type="spellEnd"/>
            <w:r w:rsidRPr="005967E9">
              <w:rPr>
                <w:rFonts w:ascii="Arial" w:hAnsi="Arial" w:cs="Arial"/>
                <w:sz w:val="20"/>
                <w:szCs w:val="20"/>
              </w:rPr>
              <w:t>, se retiraron tres compresas de empaquetamiento, se realizó anastomosis de intestino delgado a intestino delgado y la usuaria  mostró buena evolución postoperatoria. Fue dada de alta el 3 de marzo de 2020, con cita de control para el 23 de marzo de 2020 a las 9:15 a.m.</w:t>
            </w:r>
          </w:p>
          <w:p w:rsidR="005967E9" w:rsidRPr="005967E9" w:rsidRDefault="005967E9" w:rsidP="005967E9">
            <w:pPr>
              <w:spacing w:before="100" w:beforeAutospacing="1" w:after="100" w:afterAutospacing="1"/>
              <w:rPr>
                <w:rFonts w:ascii="Arial" w:hAnsi="Arial" w:cs="Arial"/>
                <w:sz w:val="20"/>
                <w:szCs w:val="20"/>
              </w:rPr>
            </w:pPr>
            <w:r w:rsidRPr="005967E9">
              <w:rPr>
                <w:rFonts w:ascii="Arial" w:hAnsi="Arial" w:cs="Arial"/>
                <w:b/>
                <w:bCs/>
                <w:sz w:val="20"/>
                <w:szCs w:val="20"/>
              </w:rPr>
              <w:t>Control postoperatorio:</w:t>
            </w:r>
          </w:p>
          <w:p w:rsidR="005967E9" w:rsidRPr="005967E9" w:rsidRDefault="005967E9" w:rsidP="005967E9">
            <w:pPr>
              <w:numPr>
                <w:ilvl w:val="0"/>
                <w:numId w:val="2"/>
              </w:numPr>
              <w:spacing w:before="100" w:beforeAutospacing="1" w:after="100" w:afterAutospacing="1"/>
              <w:rPr>
                <w:rFonts w:ascii="Arial" w:hAnsi="Arial" w:cs="Arial"/>
                <w:sz w:val="20"/>
                <w:szCs w:val="20"/>
              </w:rPr>
            </w:pPr>
            <w:r w:rsidRPr="005967E9">
              <w:rPr>
                <w:rFonts w:ascii="Arial" w:hAnsi="Arial" w:cs="Arial"/>
                <w:sz w:val="20"/>
                <w:szCs w:val="20"/>
              </w:rPr>
              <w:t>El 19 de marzo de 2020, la usuaria acudió al control postoperatorio con el especialista en medicina interna, quien indicó que la paciente se encontraba en buena evolución.</w:t>
            </w:r>
          </w:p>
          <w:p w:rsidR="005967E9" w:rsidRPr="005967E9" w:rsidRDefault="005967E9" w:rsidP="005967E9">
            <w:pPr>
              <w:numPr>
                <w:ilvl w:val="0"/>
                <w:numId w:val="2"/>
              </w:numPr>
              <w:spacing w:before="100" w:beforeAutospacing="1" w:after="100" w:afterAutospacing="1"/>
              <w:rPr>
                <w:rFonts w:ascii="Arial" w:hAnsi="Arial" w:cs="Arial"/>
                <w:sz w:val="20"/>
                <w:szCs w:val="20"/>
              </w:rPr>
            </w:pPr>
            <w:r w:rsidRPr="005967E9">
              <w:rPr>
                <w:rFonts w:ascii="Arial" w:hAnsi="Arial" w:cs="Arial"/>
                <w:sz w:val="20"/>
                <w:szCs w:val="20"/>
              </w:rPr>
              <w:t xml:space="preserve">El 6 de julio de 2020, la </w:t>
            </w:r>
            <w:proofErr w:type="spellStart"/>
            <w:r w:rsidRPr="005967E9">
              <w:rPr>
                <w:rFonts w:ascii="Arial" w:hAnsi="Arial" w:cs="Arial"/>
                <w:sz w:val="20"/>
                <w:szCs w:val="20"/>
              </w:rPr>
              <w:t>usauria</w:t>
            </w:r>
            <w:proofErr w:type="spellEnd"/>
            <w:r w:rsidRPr="005967E9">
              <w:rPr>
                <w:rFonts w:ascii="Arial" w:hAnsi="Arial" w:cs="Arial"/>
                <w:sz w:val="20"/>
                <w:szCs w:val="20"/>
              </w:rPr>
              <w:t xml:space="preserve">  fue valorada nuevamente y se verificó que seguía en buena evolución y adherencia al tratamiento médico. Presentaba una herida </w:t>
            </w:r>
            <w:proofErr w:type="spellStart"/>
            <w:r w:rsidRPr="005967E9">
              <w:rPr>
                <w:rFonts w:ascii="Arial" w:hAnsi="Arial" w:cs="Arial"/>
                <w:sz w:val="20"/>
                <w:szCs w:val="20"/>
              </w:rPr>
              <w:t>queloide</w:t>
            </w:r>
            <w:proofErr w:type="spellEnd"/>
            <w:r w:rsidRPr="005967E9">
              <w:rPr>
                <w:rFonts w:ascii="Arial" w:hAnsi="Arial" w:cs="Arial"/>
                <w:sz w:val="20"/>
                <w:szCs w:val="20"/>
              </w:rPr>
              <w:t xml:space="preserve"> en el sitio operatorio, por lo que se sugirió valoración por dermatología.</w:t>
            </w:r>
          </w:p>
          <w:p w:rsidR="005967E9" w:rsidRDefault="005967E9" w:rsidP="005967E9">
            <w:pPr>
              <w:numPr>
                <w:ilvl w:val="0"/>
                <w:numId w:val="2"/>
              </w:numPr>
              <w:spacing w:before="100" w:beforeAutospacing="1" w:after="100" w:afterAutospacing="1"/>
              <w:rPr>
                <w:rFonts w:ascii="Arial" w:hAnsi="Arial" w:cs="Arial"/>
                <w:sz w:val="20"/>
                <w:szCs w:val="20"/>
              </w:rPr>
            </w:pPr>
            <w:r w:rsidRPr="005967E9">
              <w:rPr>
                <w:rFonts w:ascii="Arial" w:hAnsi="Arial" w:cs="Arial"/>
                <w:sz w:val="20"/>
                <w:szCs w:val="20"/>
              </w:rPr>
              <w:t xml:space="preserve">El 23 de julio de 2020, se documentó buena evolución postoperatoria, aunque la paciente reportó dolor en la zona de la </w:t>
            </w:r>
            <w:proofErr w:type="spellStart"/>
            <w:r w:rsidRPr="005967E9">
              <w:rPr>
                <w:rFonts w:ascii="Arial" w:hAnsi="Arial" w:cs="Arial"/>
                <w:sz w:val="20"/>
                <w:szCs w:val="20"/>
              </w:rPr>
              <w:t>queloide</w:t>
            </w:r>
            <w:proofErr w:type="spellEnd"/>
            <w:r w:rsidRPr="005967E9">
              <w:rPr>
                <w:rFonts w:ascii="Arial" w:hAnsi="Arial" w:cs="Arial"/>
                <w:sz w:val="20"/>
                <w:szCs w:val="20"/>
              </w:rPr>
              <w:t>. El médico internista consideró seguimiento con ginecología, psicología y dermatología.</w:t>
            </w:r>
          </w:p>
          <w:p w:rsidR="005967E9" w:rsidRDefault="005967E9" w:rsidP="005967E9">
            <w:pPr>
              <w:spacing w:before="100" w:beforeAutospacing="1" w:after="100" w:afterAutospacing="1"/>
              <w:rPr>
                <w:rFonts w:ascii="Arial" w:hAnsi="Arial" w:cs="Arial"/>
                <w:sz w:val="20"/>
                <w:szCs w:val="20"/>
              </w:rPr>
            </w:pPr>
            <w:r>
              <w:rPr>
                <w:rFonts w:ascii="Arial" w:hAnsi="Arial" w:cs="Arial"/>
                <w:sz w:val="20"/>
                <w:szCs w:val="20"/>
              </w:rPr>
              <w:t xml:space="preserve">En cuanto a la pregunta: si las usuarias que presentan dolor abdominal  difuso requieren la realización de tacto vaginal. Ante el mismo informamos que no es mandatorio la realización del mismo, ya que no se evidencia documentado en  las historias clínica síntomas manifestados por la usuaria como </w:t>
            </w:r>
            <w:proofErr w:type="gramStart"/>
            <w:r>
              <w:rPr>
                <w:rFonts w:ascii="Arial" w:hAnsi="Arial" w:cs="Arial"/>
                <w:sz w:val="20"/>
                <w:szCs w:val="20"/>
              </w:rPr>
              <w:t>( leucorrea</w:t>
            </w:r>
            <w:proofErr w:type="gramEnd"/>
            <w:r>
              <w:rPr>
                <w:rFonts w:ascii="Arial" w:hAnsi="Arial" w:cs="Arial"/>
                <w:sz w:val="20"/>
                <w:szCs w:val="20"/>
              </w:rPr>
              <w:t>, dispare unía  dolor al coito, dolor pélvico, síntomas irritativos urinarios) que ameritaran el mismo.</w:t>
            </w:r>
          </w:p>
          <w:p w:rsidR="0074655A" w:rsidRDefault="004543A3" w:rsidP="004543A3">
            <w:pPr>
              <w:pStyle w:val="NormalWeb"/>
            </w:pPr>
            <w:r>
              <w:t xml:space="preserve">En cuanto a la solicitud de derivación de  colecistectomía vía </w:t>
            </w:r>
            <w:proofErr w:type="spellStart"/>
            <w:r>
              <w:t>laparoscópica</w:t>
            </w:r>
            <w:proofErr w:type="spellEnd"/>
            <w:r>
              <w:t xml:space="preserve">, a drenaje de colección </w:t>
            </w:r>
            <w:proofErr w:type="spellStart"/>
            <w:r>
              <w:t>intraperitoneal</w:t>
            </w:r>
            <w:proofErr w:type="spellEnd"/>
            <w:r>
              <w:t xml:space="preserve"> vía abierta, resección segmentaria de intestino delgado vía abierta, </w:t>
            </w:r>
            <w:proofErr w:type="spellStart"/>
            <w:r>
              <w:t>apendicectomía</w:t>
            </w:r>
            <w:proofErr w:type="spellEnd"/>
            <w:r>
              <w:t xml:space="preserve"> vía abierta y lavado peritoneal terapéutico vía abierta. La derivación del procedimiento se realizó debido a la presencia de un espacio </w:t>
            </w:r>
            <w:proofErr w:type="spellStart"/>
            <w:r>
              <w:t>retrouterino</w:t>
            </w:r>
            <w:proofErr w:type="spellEnd"/>
            <w:r>
              <w:t xml:space="preserve"> con drenaje de material purulento abundante y de olor fétido</w:t>
            </w:r>
            <w:proofErr w:type="gramStart"/>
            <w:r>
              <w:t>,.</w:t>
            </w:r>
            <w:proofErr w:type="gramEnd"/>
            <w:r>
              <w:t xml:space="preserve"> Sin embargo, al no lograrse despegar la asa </w:t>
            </w:r>
            <w:proofErr w:type="spellStart"/>
            <w:r>
              <w:t>ileal</w:t>
            </w:r>
            <w:proofErr w:type="spellEnd"/>
            <w:r>
              <w:t xml:space="preserve"> del fondo de saco,  decidieron  la conversión como medida para salvaguardar la vida de la usuaria , debido a las complicaciones propias de la peritonitis</w:t>
            </w:r>
            <w:proofErr w:type="gramStart"/>
            <w:r>
              <w:t>..</w:t>
            </w:r>
            <w:proofErr w:type="gramEnd"/>
          </w:p>
        </w:tc>
      </w:tr>
      <w:tr w:rsidR="0074655A" w:rsidTr="00821DDF">
        <w:tc>
          <w:tcPr>
            <w:tcW w:w="8828" w:type="dxa"/>
            <w:gridSpan w:val="3"/>
          </w:tcPr>
          <w:p w:rsidR="0074655A" w:rsidRPr="0074655A" w:rsidRDefault="0074655A" w:rsidP="0074655A">
            <w:pPr>
              <w:jc w:val="center"/>
              <w:rPr>
                <w:b/>
                <w:bCs/>
              </w:rPr>
            </w:pPr>
            <w:r w:rsidRPr="0074655A">
              <w:rPr>
                <w:b/>
                <w:bCs/>
              </w:rPr>
              <w:lastRenderedPageBreak/>
              <w:t>Cumplimiento de los atributos de calidad en la atención</w:t>
            </w:r>
          </w:p>
        </w:tc>
      </w:tr>
      <w:tr w:rsidR="0074655A" w:rsidTr="0074655A">
        <w:tc>
          <w:tcPr>
            <w:tcW w:w="2122" w:type="dxa"/>
          </w:tcPr>
          <w:p w:rsidR="0074655A" w:rsidRPr="0074655A" w:rsidRDefault="0074655A" w:rsidP="0074655A">
            <w:pPr>
              <w:jc w:val="center"/>
              <w:rPr>
                <w:b/>
                <w:bCs/>
                <w:color w:val="156082" w:themeColor="accent1"/>
              </w:rPr>
            </w:pPr>
            <w:r w:rsidRPr="0074655A">
              <w:rPr>
                <w:b/>
                <w:bCs/>
                <w:color w:val="156082" w:themeColor="accent1"/>
              </w:rPr>
              <w:t>Criterio</w:t>
            </w:r>
          </w:p>
        </w:tc>
        <w:tc>
          <w:tcPr>
            <w:tcW w:w="1842" w:type="dxa"/>
          </w:tcPr>
          <w:p w:rsidR="0074655A" w:rsidRPr="0074655A" w:rsidRDefault="0074655A" w:rsidP="0074655A">
            <w:pPr>
              <w:jc w:val="center"/>
              <w:rPr>
                <w:b/>
                <w:bCs/>
                <w:color w:val="156082" w:themeColor="accent1"/>
              </w:rPr>
            </w:pPr>
            <w:r w:rsidRPr="0074655A">
              <w:rPr>
                <w:b/>
                <w:bCs/>
                <w:color w:val="156082" w:themeColor="accent1"/>
              </w:rPr>
              <w:t>Cumple(si/no)</w:t>
            </w:r>
          </w:p>
        </w:tc>
        <w:tc>
          <w:tcPr>
            <w:tcW w:w="4864" w:type="dxa"/>
          </w:tcPr>
          <w:p w:rsidR="0074655A" w:rsidRPr="0074655A" w:rsidRDefault="0074655A" w:rsidP="0074655A">
            <w:pPr>
              <w:jc w:val="center"/>
              <w:rPr>
                <w:b/>
                <w:bCs/>
                <w:color w:val="156082" w:themeColor="accent1"/>
              </w:rPr>
            </w:pPr>
            <w:r w:rsidRPr="0074655A">
              <w:rPr>
                <w:b/>
                <w:bCs/>
                <w:color w:val="156082" w:themeColor="accent1"/>
              </w:rPr>
              <w:t>Argumentos/explicación</w:t>
            </w:r>
          </w:p>
        </w:tc>
      </w:tr>
      <w:tr w:rsidR="0074655A" w:rsidTr="0074655A">
        <w:tc>
          <w:tcPr>
            <w:tcW w:w="2122" w:type="dxa"/>
          </w:tcPr>
          <w:p w:rsidR="0074655A" w:rsidRPr="0074655A" w:rsidRDefault="0074655A" w:rsidP="0074655A">
            <w:pPr>
              <w:rPr>
                <w:b/>
                <w:bCs/>
              </w:rPr>
            </w:pPr>
            <w:r>
              <w:rPr>
                <w:b/>
                <w:bCs/>
              </w:rPr>
              <w:t>Oportunidad</w:t>
            </w:r>
          </w:p>
        </w:tc>
        <w:tc>
          <w:tcPr>
            <w:tcW w:w="1842" w:type="dxa"/>
          </w:tcPr>
          <w:p w:rsidR="0074655A" w:rsidRPr="0074655A" w:rsidRDefault="00F324C3" w:rsidP="0074655A">
            <w:pPr>
              <w:jc w:val="center"/>
              <w:rPr>
                <w:b/>
                <w:bCs/>
              </w:rPr>
            </w:pPr>
            <w:r>
              <w:rPr>
                <w:b/>
                <w:bCs/>
              </w:rPr>
              <w:t>si</w:t>
            </w:r>
          </w:p>
        </w:tc>
        <w:tc>
          <w:tcPr>
            <w:tcW w:w="4864" w:type="dxa"/>
          </w:tcPr>
          <w:p w:rsidR="0074655A" w:rsidRDefault="0074655A" w:rsidP="0074655A">
            <w:pPr>
              <w:jc w:val="center"/>
              <w:rPr>
                <w:b/>
                <w:bCs/>
              </w:rPr>
            </w:pPr>
          </w:p>
          <w:p w:rsidR="0074655A" w:rsidRPr="00721641" w:rsidRDefault="00F324C3" w:rsidP="00C3403D">
            <w:pPr>
              <w:rPr>
                <w:rFonts w:ascii="Times New Roman" w:hAnsi="Times New Roman" w:cs="Times New Roman"/>
                <w:b/>
                <w:bCs/>
                <w:sz w:val="20"/>
                <w:szCs w:val="20"/>
              </w:rPr>
            </w:pPr>
            <w:r>
              <w:rPr>
                <w:b/>
                <w:bCs/>
              </w:rPr>
              <w:tab/>
            </w:r>
            <w:r w:rsidR="00C3403D" w:rsidRPr="00721641">
              <w:rPr>
                <w:sz w:val="20"/>
                <w:szCs w:val="20"/>
              </w:rPr>
              <w:t>Al momento de su ingreso al servicio de hospitalización, el 21 de febrero de 2020, recibió manejo interdisciplinario con intervención oportuna.</w:t>
            </w:r>
          </w:p>
        </w:tc>
      </w:tr>
      <w:tr w:rsidR="0074655A" w:rsidTr="0074655A">
        <w:tc>
          <w:tcPr>
            <w:tcW w:w="2122" w:type="dxa"/>
          </w:tcPr>
          <w:p w:rsidR="0074655A" w:rsidRPr="0074655A" w:rsidRDefault="0074655A" w:rsidP="0074655A">
            <w:pPr>
              <w:rPr>
                <w:b/>
                <w:bCs/>
              </w:rPr>
            </w:pPr>
            <w:r>
              <w:rPr>
                <w:b/>
                <w:bCs/>
              </w:rPr>
              <w:t>Pertinencia</w:t>
            </w:r>
          </w:p>
        </w:tc>
        <w:tc>
          <w:tcPr>
            <w:tcW w:w="1842" w:type="dxa"/>
          </w:tcPr>
          <w:p w:rsidR="0074655A" w:rsidRPr="0074655A" w:rsidRDefault="00F324C3" w:rsidP="0074655A">
            <w:pPr>
              <w:jc w:val="center"/>
              <w:rPr>
                <w:b/>
                <w:bCs/>
              </w:rPr>
            </w:pPr>
            <w:r>
              <w:rPr>
                <w:b/>
                <w:bCs/>
              </w:rPr>
              <w:t>si</w:t>
            </w:r>
          </w:p>
        </w:tc>
        <w:tc>
          <w:tcPr>
            <w:tcW w:w="4864" w:type="dxa"/>
          </w:tcPr>
          <w:p w:rsidR="0074655A" w:rsidRDefault="0074655A" w:rsidP="0074655A">
            <w:pPr>
              <w:jc w:val="center"/>
              <w:rPr>
                <w:b/>
                <w:bCs/>
              </w:rPr>
            </w:pPr>
          </w:p>
          <w:p w:rsidR="0074655A" w:rsidRPr="0074655A" w:rsidRDefault="0074655A" w:rsidP="0074655A">
            <w:pPr>
              <w:jc w:val="center"/>
              <w:rPr>
                <w:b/>
                <w:bCs/>
              </w:rPr>
            </w:pPr>
          </w:p>
        </w:tc>
      </w:tr>
      <w:tr w:rsidR="0074655A" w:rsidTr="0074655A">
        <w:tc>
          <w:tcPr>
            <w:tcW w:w="2122" w:type="dxa"/>
          </w:tcPr>
          <w:p w:rsidR="0074655A" w:rsidRPr="0074655A" w:rsidRDefault="0074655A" w:rsidP="0074655A">
            <w:pPr>
              <w:rPr>
                <w:b/>
                <w:bCs/>
              </w:rPr>
            </w:pPr>
            <w:r>
              <w:rPr>
                <w:b/>
                <w:bCs/>
              </w:rPr>
              <w:t>Accesibilidad</w:t>
            </w:r>
          </w:p>
        </w:tc>
        <w:tc>
          <w:tcPr>
            <w:tcW w:w="1842" w:type="dxa"/>
          </w:tcPr>
          <w:p w:rsidR="0074655A" w:rsidRPr="0074655A" w:rsidRDefault="00F324C3" w:rsidP="0074655A">
            <w:pPr>
              <w:jc w:val="center"/>
              <w:rPr>
                <w:b/>
                <w:bCs/>
              </w:rPr>
            </w:pPr>
            <w:r>
              <w:rPr>
                <w:b/>
                <w:bCs/>
              </w:rPr>
              <w:t>si</w:t>
            </w:r>
          </w:p>
        </w:tc>
        <w:tc>
          <w:tcPr>
            <w:tcW w:w="4864" w:type="dxa"/>
          </w:tcPr>
          <w:p w:rsidR="0074655A" w:rsidRPr="00F324C3" w:rsidRDefault="00F324C3" w:rsidP="0074655A">
            <w:pPr>
              <w:jc w:val="center"/>
              <w:rPr>
                <w:rFonts w:ascii="Times New Roman" w:hAnsi="Times New Roman" w:cs="Times New Roman"/>
                <w:b/>
                <w:bCs/>
              </w:rPr>
            </w:pPr>
            <w:r w:rsidRPr="00F324C3">
              <w:rPr>
                <w:rFonts w:ascii="Times New Roman" w:hAnsi="Times New Roman" w:cs="Times New Roman"/>
              </w:rPr>
              <w:t xml:space="preserve">Se cumplió con los requisitos establecidos en el Sistema Obligatorio de Garantía de la Calidad, asegurando que el proceso se desarrollara conforme a las normativas y estándares </w:t>
            </w:r>
            <w:r w:rsidRPr="00F324C3">
              <w:rPr>
                <w:rFonts w:ascii="Times New Roman" w:hAnsi="Times New Roman" w:cs="Times New Roman"/>
              </w:rPr>
              <w:lastRenderedPageBreak/>
              <w:t>establecido</w:t>
            </w:r>
          </w:p>
        </w:tc>
      </w:tr>
      <w:tr w:rsidR="0074655A" w:rsidTr="0074655A">
        <w:tc>
          <w:tcPr>
            <w:tcW w:w="2122" w:type="dxa"/>
          </w:tcPr>
          <w:p w:rsidR="0074655A" w:rsidRPr="0074655A" w:rsidRDefault="0074655A" w:rsidP="0074655A">
            <w:pPr>
              <w:rPr>
                <w:b/>
                <w:bCs/>
              </w:rPr>
            </w:pPr>
            <w:r>
              <w:rPr>
                <w:b/>
                <w:bCs/>
              </w:rPr>
              <w:lastRenderedPageBreak/>
              <w:t>Continuidad</w:t>
            </w:r>
          </w:p>
        </w:tc>
        <w:tc>
          <w:tcPr>
            <w:tcW w:w="1842" w:type="dxa"/>
          </w:tcPr>
          <w:p w:rsidR="0074655A" w:rsidRPr="0074655A" w:rsidRDefault="00F324C3" w:rsidP="0074655A">
            <w:pPr>
              <w:jc w:val="center"/>
              <w:rPr>
                <w:b/>
                <w:bCs/>
              </w:rPr>
            </w:pPr>
            <w:r>
              <w:rPr>
                <w:b/>
                <w:bCs/>
              </w:rPr>
              <w:t>si</w:t>
            </w:r>
          </w:p>
        </w:tc>
        <w:tc>
          <w:tcPr>
            <w:tcW w:w="4864" w:type="dxa"/>
          </w:tcPr>
          <w:p w:rsidR="0074655A" w:rsidRPr="00721641" w:rsidRDefault="00721641" w:rsidP="00721641">
            <w:pPr>
              <w:jc w:val="center"/>
              <w:rPr>
                <w:rFonts w:ascii="Times New Roman" w:hAnsi="Times New Roman" w:cs="Times New Roman"/>
                <w:bCs/>
                <w:sz w:val="20"/>
                <w:szCs w:val="20"/>
              </w:rPr>
            </w:pPr>
            <w:r w:rsidRPr="00721641">
              <w:rPr>
                <w:sz w:val="20"/>
                <w:szCs w:val="20"/>
              </w:rPr>
              <w:t xml:space="preserve">La usuaria fue citada para una consulta de control el 23 de marzo de 2020, a las 9:15 </w:t>
            </w:r>
            <w:proofErr w:type="spellStart"/>
            <w:r w:rsidRPr="00721641">
              <w:rPr>
                <w:sz w:val="20"/>
                <w:szCs w:val="20"/>
              </w:rPr>
              <w:t>a.m</w:t>
            </w:r>
            <w:proofErr w:type="spellEnd"/>
            <w:r>
              <w:rPr>
                <w:sz w:val="20"/>
                <w:szCs w:val="20"/>
              </w:rPr>
              <w:t xml:space="preserve"> con </w:t>
            </w:r>
            <w:proofErr w:type="spellStart"/>
            <w:r>
              <w:rPr>
                <w:sz w:val="20"/>
                <w:szCs w:val="20"/>
              </w:rPr>
              <w:t>cirugia</w:t>
            </w:r>
            <w:proofErr w:type="spellEnd"/>
            <w:r>
              <w:rPr>
                <w:sz w:val="20"/>
                <w:szCs w:val="20"/>
              </w:rPr>
              <w:t xml:space="preserve"> general.</w:t>
            </w:r>
          </w:p>
        </w:tc>
      </w:tr>
      <w:tr w:rsidR="0074655A" w:rsidTr="0074655A">
        <w:tc>
          <w:tcPr>
            <w:tcW w:w="2122" w:type="dxa"/>
          </w:tcPr>
          <w:p w:rsidR="0074655A" w:rsidRPr="0074655A" w:rsidRDefault="0074655A" w:rsidP="0074655A">
            <w:pPr>
              <w:rPr>
                <w:b/>
                <w:bCs/>
              </w:rPr>
            </w:pPr>
            <w:r>
              <w:rPr>
                <w:b/>
                <w:bCs/>
              </w:rPr>
              <w:t>Seguridad</w:t>
            </w:r>
          </w:p>
        </w:tc>
        <w:tc>
          <w:tcPr>
            <w:tcW w:w="1842" w:type="dxa"/>
          </w:tcPr>
          <w:p w:rsidR="0074655A" w:rsidRPr="0074655A" w:rsidRDefault="00721641" w:rsidP="0074655A">
            <w:pPr>
              <w:jc w:val="center"/>
              <w:rPr>
                <w:b/>
                <w:bCs/>
              </w:rPr>
            </w:pPr>
            <w:r>
              <w:rPr>
                <w:b/>
                <w:bCs/>
              </w:rPr>
              <w:t>SI</w:t>
            </w:r>
          </w:p>
        </w:tc>
        <w:tc>
          <w:tcPr>
            <w:tcW w:w="4864" w:type="dxa"/>
          </w:tcPr>
          <w:p w:rsidR="0074655A" w:rsidRDefault="0074655A" w:rsidP="0074655A">
            <w:pPr>
              <w:jc w:val="center"/>
              <w:rPr>
                <w:b/>
                <w:bCs/>
              </w:rPr>
            </w:pPr>
          </w:p>
          <w:p w:rsidR="0074655A" w:rsidRPr="0074655A" w:rsidRDefault="0074655A" w:rsidP="0074655A">
            <w:pPr>
              <w:jc w:val="center"/>
              <w:rPr>
                <w:b/>
                <w:bCs/>
              </w:rPr>
            </w:pPr>
          </w:p>
        </w:tc>
      </w:tr>
      <w:tr w:rsidR="0074655A" w:rsidTr="000C6CFA">
        <w:tc>
          <w:tcPr>
            <w:tcW w:w="8828" w:type="dxa"/>
            <w:gridSpan w:val="3"/>
          </w:tcPr>
          <w:p w:rsidR="0074655A" w:rsidRDefault="0074655A" w:rsidP="0074655A">
            <w:pPr>
              <w:jc w:val="center"/>
              <w:rPr>
                <w:color w:val="156082" w:themeColor="accent1"/>
              </w:rPr>
            </w:pPr>
            <w:r>
              <w:rPr>
                <w:b/>
                <w:bCs/>
              </w:rPr>
              <w:t xml:space="preserve">Observaciones/comentarios </w:t>
            </w:r>
            <w:r w:rsidRPr="0074655A">
              <w:rPr>
                <w:color w:val="156082" w:themeColor="accent1"/>
              </w:rPr>
              <w:t xml:space="preserve">(en caso de tener </w:t>
            </w:r>
          </w:p>
          <w:p w:rsidR="0074655A" w:rsidRPr="0074655A" w:rsidRDefault="0074655A" w:rsidP="0074655A">
            <w:pPr>
              <w:jc w:val="center"/>
            </w:pPr>
            <w:r w:rsidRPr="0074655A">
              <w:rPr>
                <w:color w:val="156082" w:themeColor="accent1"/>
              </w:rPr>
              <w:t>comentarios adicionales, por favor indicarlos)</w:t>
            </w:r>
          </w:p>
        </w:tc>
      </w:tr>
      <w:tr w:rsidR="0074655A" w:rsidTr="000C6CFA">
        <w:tc>
          <w:tcPr>
            <w:tcW w:w="8828" w:type="dxa"/>
            <w:gridSpan w:val="3"/>
          </w:tcPr>
          <w:p w:rsidR="0074655A" w:rsidRDefault="0074655A" w:rsidP="005F400F">
            <w:pPr>
              <w:rPr>
                <w:b/>
                <w:bCs/>
              </w:rPr>
            </w:pPr>
          </w:p>
          <w:p w:rsidR="0074655A" w:rsidRDefault="0074655A" w:rsidP="0074655A">
            <w:pPr>
              <w:jc w:val="center"/>
              <w:rPr>
                <w:b/>
                <w:bCs/>
              </w:rPr>
            </w:pPr>
          </w:p>
          <w:p w:rsidR="0074655A" w:rsidRPr="00721641" w:rsidRDefault="0074655A" w:rsidP="0074655A">
            <w:pPr>
              <w:jc w:val="center"/>
              <w:rPr>
                <w:bCs/>
              </w:rPr>
            </w:pPr>
          </w:p>
          <w:p w:rsidR="0074655A" w:rsidRDefault="00A43A9C" w:rsidP="0074655A">
            <w:pPr>
              <w:jc w:val="center"/>
              <w:rPr>
                <w:bCs/>
              </w:rPr>
            </w:pPr>
            <w:r>
              <w:rPr>
                <w:bCs/>
              </w:rPr>
              <w:t xml:space="preserve">Usuaria al ingreso no manifestó durante la atención </w:t>
            </w:r>
            <w:proofErr w:type="gramStart"/>
            <w:r>
              <w:rPr>
                <w:bCs/>
              </w:rPr>
              <w:t>medica</w:t>
            </w:r>
            <w:proofErr w:type="gramEnd"/>
            <w:r>
              <w:rPr>
                <w:bCs/>
              </w:rPr>
              <w:t xml:space="preserve"> síntomas genitourinarios o ginecológicos   indicados con anterioridad  que ameritaran un abordaje diferente al realizado en la atención medica.</w:t>
            </w:r>
          </w:p>
          <w:p w:rsidR="00A43A9C" w:rsidRDefault="00A43A9C" w:rsidP="0074655A">
            <w:pPr>
              <w:jc w:val="center"/>
              <w:rPr>
                <w:bCs/>
              </w:rPr>
            </w:pPr>
          </w:p>
          <w:p w:rsidR="00A43A9C" w:rsidRDefault="00A8779C" w:rsidP="0074655A">
            <w:pPr>
              <w:jc w:val="center"/>
              <w:rPr>
                <w:b/>
                <w:bCs/>
              </w:rPr>
            </w:pPr>
            <w:r>
              <w:rPr>
                <w:bCs/>
              </w:rPr>
              <w:t xml:space="preserve">Derivación del procedimiento </w:t>
            </w:r>
            <w:proofErr w:type="spellStart"/>
            <w:r>
              <w:rPr>
                <w:bCs/>
              </w:rPr>
              <w:t>via</w:t>
            </w:r>
            <w:proofErr w:type="spellEnd"/>
            <w:r>
              <w:rPr>
                <w:bCs/>
              </w:rPr>
              <w:t xml:space="preserve"> </w:t>
            </w:r>
            <w:proofErr w:type="spellStart"/>
            <w:r>
              <w:rPr>
                <w:bCs/>
              </w:rPr>
              <w:t>laparoscopica</w:t>
            </w:r>
            <w:proofErr w:type="spellEnd"/>
            <w:r>
              <w:rPr>
                <w:bCs/>
              </w:rPr>
              <w:t xml:space="preserve"> a  </w:t>
            </w:r>
            <w:proofErr w:type="spellStart"/>
            <w:r>
              <w:rPr>
                <w:bCs/>
              </w:rPr>
              <w:t>via</w:t>
            </w:r>
            <w:proofErr w:type="spellEnd"/>
            <w:r>
              <w:rPr>
                <w:bCs/>
              </w:rPr>
              <w:t xml:space="preserve"> abierta era requerido para la realización del drenaje del material purulento.</w:t>
            </w:r>
          </w:p>
          <w:p w:rsidR="0074655A" w:rsidRDefault="0074655A" w:rsidP="0074655A">
            <w:pPr>
              <w:jc w:val="center"/>
              <w:rPr>
                <w:b/>
                <w:bCs/>
              </w:rPr>
            </w:pPr>
          </w:p>
        </w:tc>
      </w:tr>
      <w:tr w:rsidR="00925F77" w:rsidTr="000C6CFA">
        <w:tc>
          <w:tcPr>
            <w:tcW w:w="8828" w:type="dxa"/>
            <w:gridSpan w:val="3"/>
          </w:tcPr>
          <w:p w:rsidR="00925F77" w:rsidRDefault="004C2AEB" w:rsidP="003779FF">
            <w:pPr>
              <w:jc w:val="center"/>
              <w:rPr>
                <w:b/>
                <w:bCs/>
              </w:rPr>
            </w:pPr>
            <w:r>
              <w:rPr>
                <w:b/>
                <w:bCs/>
              </w:rPr>
              <w:t xml:space="preserve">Si se definiera contar con el apoyo de un perito, indique cuál considera que debería ser la especialidad de éste y cuáles serían las preguntas que deberían realizarse: </w:t>
            </w:r>
          </w:p>
        </w:tc>
      </w:tr>
      <w:tr w:rsidR="003779FF" w:rsidTr="000C6CFA">
        <w:tc>
          <w:tcPr>
            <w:tcW w:w="8828" w:type="dxa"/>
            <w:gridSpan w:val="3"/>
          </w:tcPr>
          <w:p w:rsidR="003779FF" w:rsidRDefault="003779FF" w:rsidP="005F400F">
            <w:pPr>
              <w:rPr>
                <w:b/>
                <w:bCs/>
              </w:rPr>
            </w:pPr>
          </w:p>
          <w:p w:rsidR="004C2AEB" w:rsidRDefault="004C2AEB" w:rsidP="005F400F">
            <w:pPr>
              <w:rPr>
                <w:b/>
                <w:bCs/>
              </w:rPr>
            </w:pPr>
          </w:p>
          <w:p w:rsidR="004C2AEB" w:rsidRDefault="004C2AEB" w:rsidP="005F400F">
            <w:pPr>
              <w:rPr>
                <w:b/>
                <w:bCs/>
              </w:rPr>
            </w:pPr>
          </w:p>
          <w:p w:rsidR="004C2AEB" w:rsidRDefault="00721641" w:rsidP="005F400F">
            <w:pPr>
              <w:rPr>
                <w:b/>
                <w:bCs/>
              </w:rPr>
            </w:pPr>
            <w:r>
              <w:t xml:space="preserve">Análisis de caso que involucre las especialidades de </w:t>
            </w:r>
            <w:r>
              <w:rPr>
                <w:rStyle w:val="Textoennegrita"/>
              </w:rPr>
              <w:t>cirugía general</w:t>
            </w:r>
            <w:r>
              <w:t xml:space="preserve"> y </w:t>
            </w:r>
            <w:r>
              <w:rPr>
                <w:rStyle w:val="Textoennegrita"/>
              </w:rPr>
              <w:t>ginecología</w:t>
            </w:r>
            <w:r>
              <w:t xml:space="preserve">. </w:t>
            </w:r>
          </w:p>
          <w:p w:rsidR="004C2AEB" w:rsidRDefault="004C2AEB" w:rsidP="005F400F">
            <w:pPr>
              <w:rPr>
                <w:b/>
                <w:bCs/>
              </w:rPr>
            </w:pPr>
          </w:p>
          <w:p w:rsidR="004C2AEB" w:rsidRDefault="004C2AEB" w:rsidP="005F400F">
            <w:pPr>
              <w:rPr>
                <w:b/>
                <w:bCs/>
              </w:rPr>
            </w:pPr>
          </w:p>
        </w:tc>
      </w:tr>
    </w:tbl>
    <w:p w:rsidR="00265779" w:rsidRDefault="00265779"/>
    <w:p w:rsidR="0074655A" w:rsidRDefault="0074655A"/>
    <w:sectPr w:rsidR="0074655A" w:rsidSect="00E225D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7941"/>
    <w:multiLevelType w:val="multilevel"/>
    <w:tmpl w:val="F9B8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F7AF7"/>
    <w:multiLevelType w:val="multilevel"/>
    <w:tmpl w:val="72D0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4655A"/>
    <w:rsid w:val="000B1DFF"/>
    <w:rsid w:val="000C7E92"/>
    <w:rsid w:val="001B339A"/>
    <w:rsid w:val="00265779"/>
    <w:rsid w:val="00325F8B"/>
    <w:rsid w:val="003779FF"/>
    <w:rsid w:val="00407121"/>
    <w:rsid w:val="00434166"/>
    <w:rsid w:val="004543A3"/>
    <w:rsid w:val="004C2AEB"/>
    <w:rsid w:val="004F2D8A"/>
    <w:rsid w:val="005414B2"/>
    <w:rsid w:val="005967E9"/>
    <w:rsid w:val="005A6F67"/>
    <w:rsid w:val="005F400F"/>
    <w:rsid w:val="00652A11"/>
    <w:rsid w:val="007135E9"/>
    <w:rsid w:val="00721641"/>
    <w:rsid w:val="0074655A"/>
    <w:rsid w:val="007B7811"/>
    <w:rsid w:val="00925F77"/>
    <w:rsid w:val="009F7109"/>
    <w:rsid w:val="00A43A9C"/>
    <w:rsid w:val="00A511C7"/>
    <w:rsid w:val="00A8779C"/>
    <w:rsid w:val="00AF169A"/>
    <w:rsid w:val="00C3403D"/>
    <w:rsid w:val="00C91792"/>
    <w:rsid w:val="00E225DC"/>
    <w:rsid w:val="00F324C3"/>
    <w:rsid w:val="00F70A9E"/>
    <w:rsid w:val="00FE2A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s-CO"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5DC"/>
  </w:style>
  <w:style w:type="paragraph" w:styleId="Ttulo1">
    <w:name w:val="heading 1"/>
    <w:basedOn w:val="Normal"/>
    <w:next w:val="Normal"/>
    <w:link w:val="Ttulo1Car"/>
    <w:uiPriority w:val="9"/>
    <w:qFormat/>
    <w:rsid w:val="00746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46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7465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7465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7465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465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65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65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65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655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74655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7465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7465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7465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465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65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65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655A"/>
    <w:rPr>
      <w:rFonts w:eastAsiaTheme="majorEastAsia" w:cstheme="majorBidi"/>
      <w:color w:val="272727" w:themeColor="text1" w:themeTint="D8"/>
    </w:rPr>
  </w:style>
  <w:style w:type="paragraph" w:styleId="Ttulo">
    <w:name w:val="Title"/>
    <w:basedOn w:val="Normal"/>
    <w:next w:val="Normal"/>
    <w:link w:val="TtuloCar"/>
    <w:uiPriority w:val="10"/>
    <w:qFormat/>
    <w:rsid w:val="00746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65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65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65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655A"/>
    <w:pPr>
      <w:spacing w:before="160"/>
      <w:jc w:val="center"/>
    </w:pPr>
    <w:rPr>
      <w:i/>
      <w:iCs/>
      <w:color w:val="404040" w:themeColor="text1" w:themeTint="BF"/>
    </w:rPr>
  </w:style>
  <w:style w:type="character" w:customStyle="1" w:styleId="CitaCar">
    <w:name w:val="Cita Car"/>
    <w:basedOn w:val="Fuentedeprrafopredeter"/>
    <w:link w:val="Cita"/>
    <w:uiPriority w:val="29"/>
    <w:rsid w:val="0074655A"/>
    <w:rPr>
      <w:i/>
      <w:iCs/>
      <w:color w:val="404040" w:themeColor="text1" w:themeTint="BF"/>
    </w:rPr>
  </w:style>
  <w:style w:type="paragraph" w:styleId="Prrafodelista">
    <w:name w:val="List Paragraph"/>
    <w:basedOn w:val="Normal"/>
    <w:uiPriority w:val="34"/>
    <w:qFormat/>
    <w:rsid w:val="0074655A"/>
    <w:pPr>
      <w:ind w:left="720"/>
      <w:contextualSpacing/>
    </w:pPr>
  </w:style>
  <w:style w:type="character" w:styleId="nfasisintenso">
    <w:name w:val="Intense Emphasis"/>
    <w:basedOn w:val="Fuentedeprrafopredeter"/>
    <w:uiPriority w:val="21"/>
    <w:qFormat/>
    <w:rsid w:val="0074655A"/>
    <w:rPr>
      <w:i/>
      <w:iCs/>
      <w:color w:val="0F4761" w:themeColor="accent1" w:themeShade="BF"/>
    </w:rPr>
  </w:style>
  <w:style w:type="paragraph" w:styleId="Citadestacada">
    <w:name w:val="Intense Quote"/>
    <w:basedOn w:val="Normal"/>
    <w:next w:val="Normal"/>
    <w:link w:val="CitadestacadaCar"/>
    <w:uiPriority w:val="30"/>
    <w:qFormat/>
    <w:rsid w:val="00746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4655A"/>
    <w:rPr>
      <w:i/>
      <w:iCs/>
      <w:color w:val="0F4761" w:themeColor="accent1" w:themeShade="BF"/>
    </w:rPr>
  </w:style>
  <w:style w:type="character" w:styleId="Referenciaintensa">
    <w:name w:val="Intense Reference"/>
    <w:basedOn w:val="Fuentedeprrafopredeter"/>
    <w:uiPriority w:val="32"/>
    <w:qFormat/>
    <w:rsid w:val="0074655A"/>
    <w:rPr>
      <w:b/>
      <w:bCs/>
      <w:smallCaps/>
      <w:color w:val="0F4761" w:themeColor="accent1" w:themeShade="BF"/>
      <w:spacing w:val="5"/>
    </w:rPr>
  </w:style>
  <w:style w:type="table" w:styleId="Tablaconcuadrcula">
    <w:name w:val="Table Grid"/>
    <w:basedOn w:val="Tablanormal"/>
    <w:uiPriority w:val="39"/>
    <w:rsid w:val="00746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324C3"/>
    <w:pPr>
      <w:spacing w:before="100" w:beforeAutospacing="1" w:after="100" w:afterAutospacing="1" w:line="240" w:lineRule="auto"/>
    </w:pPr>
    <w:rPr>
      <w:rFonts w:ascii="Times New Roman" w:eastAsia="Times New Roman" w:hAnsi="Times New Roman" w:cs="Times New Roman"/>
      <w:kern w:val="0"/>
      <w:lang w:val="es-ES" w:eastAsia="es-ES"/>
    </w:rPr>
  </w:style>
  <w:style w:type="paragraph" w:styleId="Sinespaciado">
    <w:name w:val="No Spacing"/>
    <w:uiPriority w:val="1"/>
    <w:qFormat/>
    <w:rsid w:val="00F324C3"/>
    <w:pPr>
      <w:spacing w:after="0" w:line="240" w:lineRule="auto"/>
    </w:pPr>
  </w:style>
  <w:style w:type="paragraph" w:styleId="Textoindependiente">
    <w:name w:val="Body Text"/>
    <w:basedOn w:val="Normal"/>
    <w:link w:val="TextoindependienteCar"/>
    <w:uiPriority w:val="99"/>
    <w:unhideWhenUsed/>
    <w:rsid w:val="00C3403D"/>
    <w:pPr>
      <w:spacing w:after="120" w:line="276" w:lineRule="auto"/>
    </w:pPr>
    <w:rPr>
      <w:kern w:val="0"/>
      <w:sz w:val="22"/>
      <w:szCs w:val="22"/>
    </w:rPr>
  </w:style>
  <w:style w:type="character" w:customStyle="1" w:styleId="TextoindependienteCar">
    <w:name w:val="Texto independiente Car"/>
    <w:basedOn w:val="Fuentedeprrafopredeter"/>
    <w:link w:val="Textoindependiente"/>
    <w:uiPriority w:val="99"/>
    <w:rsid w:val="00C3403D"/>
    <w:rPr>
      <w:kern w:val="0"/>
      <w:sz w:val="22"/>
      <w:szCs w:val="22"/>
    </w:rPr>
  </w:style>
  <w:style w:type="character" w:styleId="Textoennegrita">
    <w:name w:val="Strong"/>
    <w:basedOn w:val="Fuentedeprrafopredeter"/>
    <w:uiPriority w:val="22"/>
    <w:qFormat/>
    <w:rsid w:val="00721641"/>
    <w:rPr>
      <w:b/>
      <w:bCs/>
    </w:rPr>
  </w:style>
</w:styles>
</file>

<file path=word/webSettings.xml><?xml version="1.0" encoding="utf-8"?>
<w:webSettings xmlns:r="http://schemas.openxmlformats.org/officeDocument/2006/relationships" xmlns:w="http://schemas.openxmlformats.org/wordprocessingml/2006/main">
  <w:divs>
    <w:div w:id="667950989">
      <w:bodyDiv w:val="1"/>
      <w:marLeft w:val="0"/>
      <w:marRight w:val="0"/>
      <w:marTop w:val="0"/>
      <w:marBottom w:val="0"/>
      <w:divBdr>
        <w:top w:val="none" w:sz="0" w:space="0" w:color="auto"/>
        <w:left w:val="none" w:sz="0" w:space="0" w:color="auto"/>
        <w:bottom w:val="none" w:sz="0" w:space="0" w:color="auto"/>
        <w:right w:val="none" w:sz="0" w:space="0" w:color="auto"/>
      </w:divBdr>
    </w:div>
    <w:div w:id="81926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853</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Diez</dc:creator>
  <cp:lastModifiedBy>AudiJuri</cp:lastModifiedBy>
  <cp:revision>11</cp:revision>
  <dcterms:created xsi:type="dcterms:W3CDTF">2024-10-30T15:54:00Z</dcterms:created>
  <dcterms:modified xsi:type="dcterms:W3CDTF">2024-11-19T21:11:00Z</dcterms:modified>
</cp:coreProperties>
</file>