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B71D74" w:rsidRDefault="00906282" w:rsidP="00906282">
      <w:pPr>
        <w:jc w:val="center"/>
        <w:rPr>
          <w:rFonts w:ascii="Century Gothic" w:hAnsi="Century Gothic"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71D74">
        <w:rPr>
          <w:rFonts w:ascii="Century Gothic" w:hAnsi="Century Gothic"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B71D74" w:rsidRDefault="00375DE6" w:rsidP="00375DE6">
      <w:pPr>
        <w:spacing w:after="0"/>
        <w:rPr>
          <w:rFonts w:ascii="Century Gothic" w:hAnsi="Century Gothic"/>
          <w:b/>
          <w:color w:val="000000" w:themeColor="text1"/>
        </w:rPr>
      </w:pPr>
    </w:p>
    <w:p w14:paraId="542D70F3" w14:textId="66E4FC4B" w:rsidR="002C05CB" w:rsidRDefault="002C05CB" w:rsidP="00906282">
      <w:pPr>
        <w:spacing w:line="360" w:lineRule="auto"/>
        <w:rPr>
          <w:rFonts w:ascii="Century Gothic" w:hAnsi="Century Gothic"/>
          <w:b/>
          <w:color w:val="000000" w:themeColor="text1"/>
        </w:rPr>
      </w:pPr>
      <w:r>
        <w:rPr>
          <w:rFonts w:ascii="Century Gothic" w:hAnsi="Century Gothic"/>
          <w:b/>
          <w:color w:val="000000" w:themeColor="text1"/>
        </w:rPr>
        <w:t xml:space="preserve">SGC: </w:t>
      </w:r>
      <w:r w:rsidRPr="002C05CB">
        <w:rPr>
          <w:rFonts w:ascii="Century Gothic" w:hAnsi="Century Gothic"/>
          <w:bCs/>
          <w:color w:val="000000" w:themeColor="text1"/>
        </w:rPr>
        <w:t>10593</w:t>
      </w:r>
    </w:p>
    <w:p w14:paraId="63FF7917" w14:textId="193DEF5A"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Fecha Presentación del Informe</w:t>
      </w:r>
      <w:r w:rsidRPr="00B71D74">
        <w:rPr>
          <w:rFonts w:ascii="Century Gothic" w:hAnsi="Century Gothic"/>
          <w:color w:val="000000" w:themeColor="text1"/>
        </w:rPr>
        <w:t xml:space="preserve">:  </w:t>
      </w:r>
      <w:sdt>
        <w:sdtPr>
          <w:rPr>
            <w:rStyle w:val="Estilo3"/>
            <w:b w:val="0"/>
            <w:bCs/>
            <w:color w:val="000000" w:themeColor="text1"/>
          </w:rPr>
          <w:alias w:val="FECHA"/>
          <w:tag w:val="FEHCA"/>
          <w:id w:val="302663996"/>
          <w:placeholder>
            <w:docPart w:val="7648FE0BD8524C4CB75B438B661094CE"/>
          </w:placeholder>
          <w:date w:fullDate="2024-11-13T00:00:00Z">
            <w:dateFormat w:val="dd/MM/yyyy"/>
            <w:lid w:val="es-CO"/>
            <w:storeMappedDataAs w:val="dateTime"/>
            <w:calendar w:val="gregorian"/>
          </w:date>
        </w:sdtPr>
        <w:sdtEndPr>
          <w:rPr>
            <w:rStyle w:val="Fuentedeprrafopredeter"/>
            <w:rFonts w:asciiTheme="minorHAnsi" w:hAnsiTheme="minorHAnsi"/>
            <w:b/>
            <w:caps w:val="0"/>
          </w:rPr>
        </w:sdtEndPr>
        <w:sdtContent>
          <w:r w:rsidR="002C05CB">
            <w:rPr>
              <w:rStyle w:val="Estilo3"/>
              <w:b w:val="0"/>
              <w:bCs/>
              <w:color w:val="000000" w:themeColor="text1"/>
            </w:rPr>
            <w:t>13/11/2024</w:t>
          </w:r>
        </w:sdtContent>
      </w:sdt>
      <w:r w:rsidRPr="00B71D74">
        <w:rPr>
          <w:rFonts w:ascii="Century Gothic" w:hAnsi="Century Gothic"/>
          <w:color w:val="000000" w:themeColor="text1"/>
        </w:rPr>
        <w:t xml:space="preserve">                                       </w:t>
      </w:r>
    </w:p>
    <w:p w14:paraId="5AD56010" w14:textId="65886E32"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Despacho Judicial</w:t>
      </w:r>
      <w:r w:rsidRPr="00B71D74">
        <w:rPr>
          <w:rFonts w:ascii="Century Gothic" w:hAnsi="Century Gothic"/>
          <w:color w:val="000000" w:themeColor="text1"/>
        </w:rPr>
        <w:t xml:space="preserve">: </w:t>
      </w:r>
      <w:sdt>
        <w:sdtPr>
          <w:rPr>
            <w:rStyle w:val="Estilo3"/>
            <w:b w:val="0"/>
            <w:color w:val="000000" w:themeColor="text1"/>
          </w:rPr>
          <w:alias w:val="NUMERO"/>
          <w:tag w:val="NUMERO"/>
          <w:id w:val="-174201678"/>
          <w:placeholder>
            <w:docPart w:val="1FBE7CA2C5C842D9BFBBD482E442D8FF"/>
          </w:placeholder>
          <w:text/>
        </w:sdtPr>
        <w:sdtContent>
          <w:r w:rsidR="00E617BB" w:rsidRPr="00B71D74">
            <w:rPr>
              <w:rStyle w:val="Estilo3"/>
              <w:b w:val="0"/>
              <w:color w:val="000000" w:themeColor="text1"/>
            </w:rPr>
            <w:t>JUZGADO SEGUNDO (2°) CIVIL DEL CIRCUITO DE ITAGÜÍ</w:t>
          </w:r>
        </w:sdtContent>
      </w:sdt>
      <w:r w:rsidRPr="00B71D74">
        <w:rPr>
          <w:rFonts w:ascii="Century Gothic" w:hAnsi="Century Gothic"/>
          <w:color w:val="000000" w:themeColor="text1"/>
        </w:rPr>
        <w:t xml:space="preserve">  </w:t>
      </w:r>
    </w:p>
    <w:p w14:paraId="46D3378E" w14:textId="36B9C8F9"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Radicado</w:t>
      </w:r>
      <w:r w:rsidRPr="00B71D74">
        <w:rPr>
          <w:rFonts w:ascii="Century Gothic" w:hAnsi="Century Gothic"/>
          <w:color w:val="000000" w:themeColor="text1"/>
        </w:rPr>
        <w:t>:</w:t>
      </w:r>
      <w:sdt>
        <w:sdtPr>
          <w:rPr>
            <w:rStyle w:val="Estilo3"/>
            <w:b w:val="0"/>
            <w:color w:val="000000" w:themeColor="text1"/>
          </w:rPr>
          <w:alias w:val="RADICADO"/>
          <w:tag w:val="RADICADO"/>
          <w:id w:val="-31735373"/>
          <w:placeholder>
            <w:docPart w:val="2A04DD0832104E9B9C6DF4825D091F15"/>
          </w:placeholder>
          <w:text/>
        </w:sdtPr>
        <w:sdtContent>
          <w:r w:rsidR="00B82002" w:rsidRPr="00B82002">
            <w:rPr>
              <w:rStyle w:val="Estilo3"/>
              <w:b w:val="0"/>
              <w:color w:val="000000" w:themeColor="text1"/>
            </w:rPr>
            <w:t xml:space="preserve"> </w:t>
          </w:r>
          <w:r w:rsidR="00B82002">
            <w:rPr>
              <w:rStyle w:val="Estilo3"/>
              <w:b w:val="0"/>
              <w:color w:val="000000" w:themeColor="text1"/>
            </w:rPr>
            <w:t>0</w:t>
          </w:r>
          <w:r w:rsidR="00B82002" w:rsidRPr="00B82002">
            <w:rPr>
              <w:rStyle w:val="Estilo3"/>
              <w:b w:val="0"/>
              <w:color w:val="000000" w:themeColor="text1"/>
            </w:rPr>
            <w:t>53603103002-2024-00258-00</w:t>
          </w:r>
        </w:sdtContent>
      </w:sdt>
    </w:p>
    <w:p w14:paraId="30071216" w14:textId="01199936" w:rsidR="00906282" w:rsidRPr="00B71D74" w:rsidRDefault="00906282" w:rsidP="00237FE1">
      <w:pPr>
        <w:spacing w:line="360" w:lineRule="auto"/>
        <w:rPr>
          <w:rFonts w:ascii="Century Gothic" w:hAnsi="Century Gothic"/>
          <w:color w:val="000000" w:themeColor="text1"/>
        </w:rPr>
      </w:pPr>
      <w:r w:rsidRPr="00B71D74">
        <w:rPr>
          <w:rFonts w:ascii="Century Gothic" w:hAnsi="Century Gothic"/>
          <w:b/>
          <w:color w:val="000000" w:themeColor="text1"/>
        </w:rPr>
        <w:t>Demandante</w:t>
      </w:r>
      <w:r w:rsidRPr="00B71D74">
        <w:rPr>
          <w:rFonts w:ascii="Century Gothic" w:hAnsi="Century Gothic"/>
          <w:color w:val="000000" w:themeColor="text1"/>
        </w:rPr>
        <w:t xml:space="preserve">:  </w:t>
      </w:r>
      <w:sdt>
        <w:sdtPr>
          <w:rPr>
            <w:rStyle w:val="Estilo3"/>
            <w:b w:val="0"/>
            <w:color w:val="000000" w:themeColor="text1"/>
          </w:rPr>
          <w:alias w:val="DEMANDANTE"/>
          <w:tag w:val="DEMANDANTE"/>
          <w:id w:val="1644081101"/>
          <w:placeholder>
            <w:docPart w:val="881A441D454840A2A94DCC9441C98AD3"/>
          </w:placeholder>
          <w:text/>
        </w:sdtPr>
        <w:sdtContent>
          <w:r w:rsidR="00CE6437" w:rsidRPr="00B71D74">
            <w:rPr>
              <w:rStyle w:val="Estilo3"/>
              <w:b w:val="0"/>
              <w:color w:val="000000" w:themeColor="text1"/>
            </w:rPr>
            <w:t xml:space="preserve">CARMEN TERESA PARRA,  RAILMESI WINAIKY PIÑATE MANRIQUE e ISAIAS JOHAN FISNE PIÑATE </w:t>
          </w:r>
        </w:sdtContent>
      </w:sdt>
    </w:p>
    <w:p w14:paraId="1A4DA51E" w14:textId="66D6A324" w:rsidR="00906282" w:rsidRPr="00B71D74" w:rsidRDefault="00906282" w:rsidP="00CE6437">
      <w:pPr>
        <w:spacing w:line="360" w:lineRule="auto"/>
        <w:rPr>
          <w:rFonts w:ascii="Century Gothic" w:hAnsi="Century Gothic"/>
          <w:color w:val="000000" w:themeColor="text1"/>
        </w:rPr>
      </w:pPr>
      <w:r w:rsidRPr="00B71D74">
        <w:rPr>
          <w:rFonts w:ascii="Century Gothic" w:hAnsi="Century Gothic"/>
          <w:b/>
          <w:color w:val="000000" w:themeColor="text1"/>
        </w:rPr>
        <w:t>Demandado</w:t>
      </w:r>
      <w:r w:rsidRPr="00B71D74">
        <w:rPr>
          <w:rFonts w:ascii="Century Gothic" w:hAnsi="Century Gothic"/>
          <w:color w:val="000000" w:themeColor="text1"/>
        </w:rPr>
        <w:t xml:space="preserve">:  </w:t>
      </w:r>
      <w:sdt>
        <w:sdtPr>
          <w:rPr>
            <w:rStyle w:val="Estilo3"/>
            <w:b w:val="0"/>
            <w:color w:val="000000" w:themeColor="text1"/>
          </w:rPr>
          <w:alias w:val="DEMANDADO"/>
          <w:tag w:val="DEMANDADO"/>
          <w:id w:val="-1253122746"/>
          <w:placeholder>
            <w:docPart w:val="386D94AF26E44C7FA7D6D77164D6A68F"/>
          </w:placeholder>
          <w:text/>
        </w:sdtPr>
        <w:sdtContent>
          <w:r w:rsidR="00CE6437" w:rsidRPr="00B71D74">
            <w:rPr>
              <w:rStyle w:val="Estilo3"/>
              <w:b w:val="0"/>
              <w:color w:val="000000" w:themeColor="text1"/>
            </w:rPr>
            <w:t xml:space="preserve"> SANTIAGO SALAS LARREA, JORGE ELIECER VELEZ, OMAR DE JESUS GIRALDO CASTAÑO, RAPIDO LA SANTAMARIA S.A.S. y LA EQUIDAD SEGUROS GENERALES ORGANISMO COOPERATIVO </w:t>
          </w:r>
        </w:sdtContent>
      </w:sdt>
    </w:p>
    <w:p w14:paraId="1739B5C0" w14:textId="77777777"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Tipo de Vinculación</w:t>
      </w:r>
      <w:r w:rsidRPr="00B71D74">
        <w:rPr>
          <w:rFonts w:ascii="Century Gothic" w:hAnsi="Century Gothic"/>
          <w:color w:val="000000" w:themeColor="text1"/>
        </w:rPr>
        <w:t xml:space="preserve">: </w:t>
      </w:r>
      <w:sdt>
        <w:sdtPr>
          <w:rPr>
            <w:rStyle w:val="Estilo3"/>
            <w:b w:val="0"/>
            <w:bCs/>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Pr="006021B6">
            <w:rPr>
              <w:rStyle w:val="Estilo3"/>
              <w:b w:val="0"/>
              <w:bCs/>
              <w:color w:val="000000" w:themeColor="text1"/>
            </w:rPr>
            <w:t>DEMANDA DIRECTA</w:t>
          </w:r>
        </w:sdtContent>
      </w:sdt>
    </w:p>
    <w:p w14:paraId="1BFE45C4" w14:textId="0378A529"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Fecha Notificación</w:t>
      </w:r>
      <w:r w:rsidRPr="00B71D74">
        <w:rPr>
          <w:rFonts w:ascii="Century Gothic" w:hAnsi="Century Gothic"/>
          <w:color w:val="000000" w:themeColor="text1"/>
        </w:rPr>
        <w:t xml:space="preserve">: </w:t>
      </w:r>
      <w:sdt>
        <w:sdtPr>
          <w:rPr>
            <w:rStyle w:val="Estilo3"/>
            <w:b w:val="0"/>
            <w:bCs/>
            <w:color w:val="000000" w:themeColor="text1"/>
          </w:rPr>
          <w:alias w:val="FECHA NOTIFICACION"/>
          <w:tag w:val="FECHA NOTIFICACION"/>
          <w:id w:val="173383097"/>
          <w:placeholder>
            <w:docPart w:val="21B90C9B12234C5E871601AFD0B419AE"/>
          </w:placeholder>
          <w:date w:fullDate="2024-10-02T00:00:00Z">
            <w:dateFormat w:val="dd/MM/yyyy"/>
            <w:lid w:val="es-CO"/>
            <w:storeMappedDataAs w:val="dateTime"/>
            <w:calendar w:val="gregorian"/>
          </w:date>
        </w:sdtPr>
        <w:sdtEndPr>
          <w:rPr>
            <w:rStyle w:val="Fuentedeprrafopredeter"/>
            <w:rFonts w:asciiTheme="minorHAnsi" w:hAnsiTheme="minorHAnsi"/>
            <w:b/>
            <w:caps w:val="0"/>
          </w:rPr>
        </w:sdtEndPr>
        <w:sdtContent>
          <w:r w:rsidR="005E5452" w:rsidRPr="006021B6">
            <w:rPr>
              <w:rStyle w:val="Estilo3"/>
              <w:b w:val="0"/>
              <w:bCs/>
              <w:color w:val="000000" w:themeColor="text1"/>
            </w:rPr>
            <w:t>02</w:t>
          </w:r>
          <w:r w:rsidRPr="006021B6">
            <w:rPr>
              <w:rStyle w:val="Estilo3"/>
              <w:b w:val="0"/>
              <w:bCs/>
              <w:color w:val="000000" w:themeColor="text1"/>
            </w:rPr>
            <w:t>/</w:t>
          </w:r>
          <w:r w:rsidR="005E5452" w:rsidRPr="006021B6">
            <w:rPr>
              <w:rStyle w:val="Estilo3"/>
              <w:b w:val="0"/>
              <w:bCs/>
              <w:color w:val="000000" w:themeColor="text1"/>
            </w:rPr>
            <w:t>10</w:t>
          </w:r>
          <w:r w:rsidRPr="006021B6">
            <w:rPr>
              <w:rStyle w:val="Estilo3"/>
              <w:b w:val="0"/>
              <w:bCs/>
              <w:color w:val="000000" w:themeColor="text1"/>
            </w:rPr>
            <w:t>/20</w:t>
          </w:r>
          <w:r w:rsidR="005E5452" w:rsidRPr="006021B6">
            <w:rPr>
              <w:rStyle w:val="Estilo3"/>
              <w:b w:val="0"/>
              <w:bCs/>
              <w:color w:val="000000" w:themeColor="text1"/>
            </w:rPr>
            <w:t>24</w:t>
          </w:r>
        </w:sdtContent>
      </w:sdt>
    </w:p>
    <w:p w14:paraId="04C740D4" w14:textId="5F3EC3ED"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Fecha fin Término</w:t>
      </w:r>
      <w:r w:rsidRPr="00B71D74">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4-10-31T00:00:00Z">
            <w:dateFormat w:val="dd/MM/yyyy"/>
            <w:lid w:val="es-CO"/>
            <w:storeMappedDataAs w:val="dateTime"/>
            <w:calendar w:val="gregorian"/>
          </w:date>
        </w:sdtPr>
        <w:sdtContent>
          <w:r w:rsidR="005E5452" w:rsidRPr="00B71D74">
            <w:rPr>
              <w:rFonts w:ascii="Century Gothic" w:hAnsi="Century Gothic"/>
              <w:color w:val="000000" w:themeColor="text1"/>
            </w:rPr>
            <w:t>31</w:t>
          </w:r>
          <w:r w:rsidRPr="00B71D74">
            <w:rPr>
              <w:rFonts w:ascii="Century Gothic" w:hAnsi="Century Gothic"/>
              <w:color w:val="000000" w:themeColor="text1"/>
            </w:rPr>
            <w:t>/</w:t>
          </w:r>
          <w:r w:rsidR="008278C1" w:rsidRPr="00B71D74">
            <w:rPr>
              <w:rFonts w:ascii="Century Gothic" w:hAnsi="Century Gothic"/>
              <w:color w:val="000000" w:themeColor="text1"/>
            </w:rPr>
            <w:t>10</w:t>
          </w:r>
          <w:r w:rsidRPr="00B71D74">
            <w:rPr>
              <w:rFonts w:ascii="Century Gothic" w:hAnsi="Century Gothic"/>
              <w:color w:val="000000" w:themeColor="text1"/>
            </w:rPr>
            <w:t>/20</w:t>
          </w:r>
          <w:r w:rsidR="008278C1" w:rsidRPr="00B71D74">
            <w:rPr>
              <w:rFonts w:ascii="Century Gothic" w:hAnsi="Century Gothic"/>
              <w:color w:val="000000" w:themeColor="text1"/>
            </w:rPr>
            <w:t>24</w:t>
          </w:r>
        </w:sdtContent>
      </w:sdt>
    </w:p>
    <w:p w14:paraId="6B0EC993" w14:textId="33A3DAED"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Fecha Siniestro</w:t>
      </w:r>
      <w:r w:rsidRPr="00B71D74">
        <w:rPr>
          <w:rFonts w:ascii="Century Gothic" w:hAnsi="Century Gothic"/>
          <w:color w:val="000000" w:themeColor="text1"/>
        </w:rPr>
        <w:t xml:space="preserve">:  </w:t>
      </w:r>
      <w:sdt>
        <w:sdtPr>
          <w:rPr>
            <w:rStyle w:val="Estilo3"/>
            <w:b w:val="0"/>
            <w:bCs/>
            <w:color w:val="000000" w:themeColor="text1"/>
          </w:rPr>
          <w:alias w:val="FECHA"/>
          <w:tag w:val="FEHCA"/>
          <w:id w:val="1298109440"/>
          <w:placeholder>
            <w:docPart w:val="7B79A3F3CDAC4E69BBE8C2888BCC0E7C"/>
          </w:placeholder>
          <w:date w:fullDate="2021-12-26T00:00:00Z">
            <w:dateFormat w:val="dd/MM/yyyy"/>
            <w:lid w:val="es-CO"/>
            <w:storeMappedDataAs w:val="dateTime"/>
            <w:calendar w:val="gregorian"/>
          </w:date>
        </w:sdtPr>
        <w:sdtEndPr>
          <w:rPr>
            <w:rStyle w:val="Fuentedeprrafopredeter"/>
            <w:rFonts w:asciiTheme="minorHAnsi" w:hAnsiTheme="minorHAnsi"/>
            <w:b/>
            <w:caps w:val="0"/>
          </w:rPr>
        </w:sdtEndPr>
        <w:sdtContent>
          <w:r w:rsidR="008278C1" w:rsidRPr="006021B6">
            <w:rPr>
              <w:rStyle w:val="Estilo3"/>
              <w:b w:val="0"/>
              <w:bCs/>
              <w:color w:val="000000" w:themeColor="text1"/>
            </w:rPr>
            <w:t>26</w:t>
          </w:r>
          <w:r w:rsidRPr="006021B6">
            <w:rPr>
              <w:rStyle w:val="Estilo3"/>
              <w:b w:val="0"/>
              <w:bCs/>
              <w:color w:val="000000" w:themeColor="text1"/>
            </w:rPr>
            <w:t>/</w:t>
          </w:r>
          <w:r w:rsidR="008278C1" w:rsidRPr="006021B6">
            <w:rPr>
              <w:rStyle w:val="Estilo3"/>
              <w:b w:val="0"/>
              <w:bCs/>
              <w:color w:val="000000" w:themeColor="text1"/>
            </w:rPr>
            <w:t>12</w:t>
          </w:r>
          <w:r w:rsidRPr="006021B6">
            <w:rPr>
              <w:rStyle w:val="Estilo3"/>
              <w:b w:val="0"/>
              <w:bCs/>
              <w:color w:val="000000" w:themeColor="text1"/>
            </w:rPr>
            <w:t>/20</w:t>
          </w:r>
          <w:r w:rsidR="008278C1" w:rsidRPr="006021B6">
            <w:rPr>
              <w:rStyle w:val="Estilo3"/>
              <w:b w:val="0"/>
              <w:bCs/>
              <w:color w:val="000000" w:themeColor="text1"/>
            </w:rPr>
            <w:t>21</w:t>
          </w:r>
        </w:sdtContent>
      </w:sdt>
    </w:p>
    <w:p w14:paraId="3157EDF6" w14:textId="41A9918F" w:rsidR="00906282" w:rsidRPr="00B71D74" w:rsidRDefault="00906282" w:rsidP="00906282">
      <w:pPr>
        <w:spacing w:line="360" w:lineRule="auto"/>
        <w:jc w:val="both"/>
        <w:rPr>
          <w:rFonts w:ascii="Century Gothic" w:hAnsi="Century Gothic"/>
          <w:color w:val="000000" w:themeColor="text1"/>
        </w:rPr>
      </w:pPr>
      <w:r w:rsidRPr="00B71D74">
        <w:rPr>
          <w:rFonts w:ascii="Century Gothic" w:hAnsi="Century Gothic"/>
          <w:b/>
          <w:color w:val="000000" w:themeColor="text1"/>
        </w:rPr>
        <w:t>Hechos</w:t>
      </w:r>
      <w:r w:rsidRPr="00B71D74">
        <w:rPr>
          <w:rFonts w:ascii="Century Gothic" w:hAnsi="Century Gothic"/>
          <w:color w:val="000000" w:themeColor="text1"/>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2C05CB">
            <w:rPr>
              <w:rFonts w:ascii="Century Gothic" w:hAnsi="Century Gothic"/>
              <w:color w:val="000000" w:themeColor="text1"/>
            </w:rPr>
            <w:t>D</w:t>
          </w:r>
          <w:r w:rsidR="00BA2943" w:rsidRPr="00B71D74">
            <w:rPr>
              <w:rFonts w:ascii="Century Gothic" w:hAnsi="Century Gothic"/>
              <w:color w:val="000000" w:themeColor="text1"/>
            </w:rPr>
            <w:t>e acuerdo con lo narrado en el escrito de demanda el 26 de diciembre de 2021 en el municipio de Itagüí - Antioquia se presentó accidente de tránsito entre el vehículo de placas STC 413 conducido por el señor SANTIAGO SALAS LARREA, y el vehículo tipo motocicleta de placas MEJ 61D conducido por el señor PEDRO MANUEL FUNE PARRA, quien falleció en centro asistencial tras el accidente.</w:t>
          </w:r>
        </w:sdtContent>
      </w:sdt>
    </w:p>
    <w:p w14:paraId="1550BD07" w14:textId="50D52AB1"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Audiencia Prejudicial</w:t>
      </w:r>
      <w:r w:rsidRPr="00B71D74">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BA2943" w:rsidRPr="00B71D74">
            <w:rPr>
              <w:rStyle w:val="Estilo3"/>
              <w:b w:val="0"/>
              <w:color w:val="000000" w:themeColor="text1"/>
            </w:rPr>
            <w:t>NO</w:t>
          </w:r>
        </w:sdtContent>
      </w:sdt>
    </w:p>
    <w:p w14:paraId="55707408" w14:textId="78141334" w:rsidR="00906282" w:rsidRPr="00B71D74" w:rsidRDefault="00906282" w:rsidP="00C97BDB">
      <w:pPr>
        <w:spacing w:line="360" w:lineRule="auto"/>
        <w:rPr>
          <w:rFonts w:ascii="Century Gothic" w:hAnsi="Century Gothic"/>
          <w:color w:val="000000" w:themeColor="text1"/>
        </w:rPr>
      </w:pPr>
      <w:r w:rsidRPr="00B71D74">
        <w:rPr>
          <w:rFonts w:ascii="Century Gothic" w:hAnsi="Century Gothic"/>
          <w:b/>
          <w:color w:val="000000" w:themeColor="text1"/>
        </w:rPr>
        <w:t>Pretensiones de la demanda</w:t>
      </w:r>
      <w:r w:rsidRPr="00B71D74">
        <w:rPr>
          <w:rFonts w:ascii="Century Gothic" w:hAnsi="Century Gothic"/>
          <w:color w:val="000000" w:themeColor="text1"/>
        </w:rPr>
        <w:t xml:space="preserve">:  </w:t>
      </w:r>
      <w:sdt>
        <w:sdtPr>
          <w:rPr>
            <w:rFonts w:ascii="Century Gothic" w:eastAsia="Times New Roman" w:hAnsi="Century Gothic" w:cs="Times New Roman"/>
            <w:color w:val="000000" w:themeColor="text1"/>
            <w:sz w:val="24"/>
            <w:szCs w:val="24"/>
            <w:lang w:eastAsia="es-MX"/>
          </w:rPr>
          <w:alias w:val="PRETENSIONES"/>
          <w:tag w:val="PRETENSIONES"/>
          <w:id w:val="-321507162"/>
          <w:placeholder>
            <w:docPart w:val="7057A85CA769434CB181176B5C5C151A"/>
          </w:placeholder>
          <w:text/>
        </w:sdtPr>
        <w:sdtContent>
          <w:r w:rsidR="00BE3FA9" w:rsidRPr="002C05CB">
            <w:rPr>
              <w:rFonts w:ascii="Century Gothic" w:eastAsia="Times New Roman" w:hAnsi="Century Gothic" w:cs="Times New Roman"/>
              <w:color w:val="000000" w:themeColor="text1"/>
              <w:sz w:val="24"/>
              <w:szCs w:val="24"/>
              <w:lang w:eastAsia="es-MX"/>
            </w:rPr>
            <w:br/>
          </w:r>
          <w:r w:rsidR="00B71D74" w:rsidRPr="002C05CB">
            <w:rPr>
              <w:rFonts w:ascii="Century Gothic" w:eastAsia="Times New Roman" w:hAnsi="Century Gothic" w:cs="Times New Roman"/>
              <w:color w:val="000000" w:themeColor="text1"/>
              <w:sz w:val="24"/>
              <w:szCs w:val="24"/>
              <w:lang w:eastAsia="es-MX"/>
            </w:rPr>
            <w:t xml:space="preserve">Perjuicios Patrimoniales:  </w:t>
          </w:r>
          <w:r w:rsidR="00B71D74" w:rsidRPr="002C05CB">
            <w:rPr>
              <w:rFonts w:ascii="Century Gothic" w:eastAsia="Times New Roman" w:hAnsi="Century Gothic" w:cs="Times New Roman"/>
              <w:color w:val="000000" w:themeColor="text1"/>
              <w:sz w:val="24"/>
              <w:szCs w:val="24"/>
              <w:lang w:eastAsia="es-MX"/>
            </w:rPr>
            <w:br/>
            <w:t xml:space="preserve">Frente A </w:t>
          </w:r>
          <w:proofErr w:type="spellStart"/>
          <w:r w:rsidR="00B71D74" w:rsidRPr="002C05CB">
            <w:rPr>
              <w:rFonts w:ascii="Century Gothic" w:eastAsia="Times New Roman" w:hAnsi="Century Gothic" w:cs="Times New Roman"/>
              <w:color w:val="000000" w:themeColor="text1"/>
              <w:sz w:val="24"/>
              <w:szCs w:val="24"/>
              <w:lang w:eastAsia="es-MX"/>
            </w:rPr>
            <w:t>Isaias</w:t>
          </w:r>
          <w:proofErr w:type="spellEnd"/>
          <w:r w:rsidR="00B71D74" w:rsidRPr="002C05CB">
            <w:rPr>
              <w:rFonts w:ascii="Century Gothic" w:eastAsia="Times New Roman" w:hAnsi="Century Gothic" w:cs="Times New Roman"/>
              <w:color w:val="000000" w:themeColor="text1"/>
              <w:sz w:val="24"/>
              <w:szCs w:val="24"/>
              <w:lang w:eastAsia="es-MX"/>
            </w:rPr>
            <w:t xml:space="preserve"> Johan </w:t>
          </w:r>
          <w:proofErr w:type="spellStart"/>
          <w:r w:rsidR="00B71D74" w:rsidRPr="002C05CB">
            <w:rPr>
              <w:rFonts w:ascii="Century Gothic" w:eastAsia="Times New Roman" w:hAnsi="Century Gothic" w:cs="Times New Roman"/>
              <w:color w:val="000000" w:themeColor="text1"/>
              <w:sz w:val="24"/>
              <w:szCs w:val="24"/>
              <w:lang w:eastAsia="es-MX"/>
            </w:rPr>
            <w:t>Fune</w:t>
          </w:r>
          <w:proofErr w:type="spellEnd"/>
          <w:r w:rsidR="00B71D74" w:rsidRPr="002C05CB">
            <w:rPr>
              <w:rFonts w:ascii="Century Gothic" w:eastAsia="Times New Roman" w:hAnsi="Century Gothic" w:cs="Times New Roman"/>
              <w:color w:val="000000" w:themeColor="text1"/>
              <w:sz w:val="24"/>
              <w:szCs w:val="24"/>
              <w:lang w:eastAsia="es-MX"/>
            </w:rPr>
            <w:t xml:space="preserve"> </w:t>
          </w:r>
          <w:proofErr w:type="spellStart"/>
          <w:r w:rsidR="00B71D74" w:rsidRPr="002C05CB">
            <w:rPr>
              <w:rFonts w:ascii="Century Gothic" w:eastAsia="Times New Roman" w:hAnsi="Century Gothic" w:cs="Times New Roman"/>
              <w:color w:val="000000" w:themeColor="text1"/>
              <w:sz w:val="24"/>
              <w:szCs w:val="24"/>
              <w:lang w:eastAsia="es-MX"/>
            </w:rPr>
            <w:t>Piñate</w:t>
          </w:r>
          <w:proofErr w:type="spellEnd"/>
          <w:r w:rsidR="00B71D74" w:rsidRPr="002C05CB">
            <w:rPr>
              <w:rFonts w:ascii="Century Gothic" w:eastAsia="Times New Roman" w:hAnsi="Century Gothic" w:cs="Times New Roman"/>
              <w:color w:val="000000" w:themeColor="text1"/>
              <w:sz w:val="24"/>
              <w:szCs w:val="24"/>
              <w:lang w:eastAsia="es-MX"/>
            </w:rPr>
            <w:t>  </w:t>
          </w:r>
          <w:r w:rsidR="00B71D74" w:rsidRPr="002C05CB">
            <w:rPr>
              <w:rFonts w:ascii="Century Gothic" w:eastAsia="Times New Roman" w:hAnsi="Century Gothic" w:cs="Times New Roman"/>
              <w:color w:val="000000" w:themeColor="text1"/>
              <w:sz w:val="24"/>
              <w:szCs w:val="24"/>
              <w:lang w:eastAsia="es-MX"/>
            </w:rPr>
            <w:br/>
            <w:t xml:space="preserve">Lucro Cesante Consolidado: $19.631.841  </w:t>
          </w:r>
          <w:r w:rsidR="00B71D74" w:rsidRPr="002C05CB">
            <w:rPr>
              <w:rFonts w:ascii="Century Gothic" w:eastAsia="Times New Roman" w:hAnsi="Century Gothic" w:cs="Times New Roman"/>
              <w:color w:val="000000" w:themeColor="text1"/>
              <w:sz w:val="24"/>
              <w:szCs w:val="24"/>
              <w:lang w:eastAsia="es-MX"/>
            </w:rPr>
            <w:br/>
            <w:t>Lucro Cesante Futuro: $123.868.309</w:t>
          </w:r>
          <w:r w:rsidR="005848BD" w:rsidRPr="002C05CB">
            <w:rPr>
              <w:rFonts w:ascii="Century Gothic" w:eastAsia="Times New Roman" w:hAnsi="Century Gothic" w:cs="Times New Roman"/>
              <w:color w:val="000000" w:themeColor="text1"/>
              <w:sz w:val="24"/>
              <w:szCs w:val="24"/>
              <w:lang w:eastAsia="es-MX"/>
            </w:rPr>
            <w:br/>
          </w:r>
          <w:r w:rsidR="00B71D74" w:rsidRPr="002C05CB">
            <w:rPr>
              <w:rFonts w:ascii="Century Gothic" w:eastAsia="Times New Roman" w:hAnsi="Century Gothic" w:cs="Times New Roman"/>
              <w:color w:val="000000" w:themeColor="text1"/>
              <w:sz w:val="24"/>
              <w:szCs w:val="24"/>
              <w:lang w:eastAsia="es-MX"/>
            </w:rPr>
            <w:t>  </w:t>
          </w:r>
          <w:r w:rsidR="00B71D74" w:rsidRPr="002C05CB">
            <w:rPr>
              <w:rFonts w:ascii="Century Gothic" w:eastAsia="Times New Roman" w:hAnsi="Century Gothic" w:cs="Times New Roman"/>
              <w:color w:val="000000" w:themeColor="text1"/>
              <w:sz w:val="24"/>
              <w:szCs w:val="24"/>
              <w:lang w:eastAsia="es-MX"/>
            </w:rPr>
            <w:br/>
          </w:r>
          <w:r w:rsidR="00B71D74" w:rsidRPr="002C05CB">
            <w:rPr>
              <w:rFonts w:ascii="Century Gothic" w:eastAsia="Times New Roman" w:hAnsi="Century Gothic" w:cs="Times New Roman"/>
              <w:color w:val="000000" w:themeColor="text1"/>
              <w:sz w:val="24"/>
              <w:szCs w:val="24"/>
              <w:lang w:eastAsia="es-MX"/>
            </w:rPr>
            <w:lastRenderedPageBreak/>
            <w:t xml:space="preserve">Frente A </w:t>
          </w:r>
          <w:proofErr w:type="spellStart"/>
          <w:r w:rsidR="00B71D74" w:rsidRPr="002C05CB">
            <w:rPr>
              <w:rFonts w:ascii="Century Gothic" w:eastAsia="Times New Roman" w:hAnsi="Century Gothic" w:cs="Times New Roman"/>
              <w:color w:val="000000" w:themeColor="text1"/>
              <w:sz w:val="24"/>
              <w:szCs w:val="24"/>
              <w:lang w:eastAsia="es-MX"/>
            </w:rPr>
            <w:t>Railmesi</w:t>
          </w:r>
          <w:proofErr w:type="spellEnd"/>
          <w:r w:rsidR="00B71D74" w:rsidRPr="002C05CB">
            <w:rPr>
              <w:rFonts w:ascii="Century Gothic" w:eastAsia="Times New Roman" w:hAnsi="Century Gothic" w:cs="Times New Roman"/>
              <w:color w:val="000000" w:themeColor="text1"/>
              <w:sz w:val="24"/>
              <w:szCs w:val="24"/>
              <w:lang w:eastAsia="es-MX"/>
            </w:rPr>
            <w:t xml:space="preserve"> </w:t>
          </w:r>
          <w:proofErr w:type="spellStart"/>
          <w:r w:rsidR="00B71D74" w:rsidRPr="002C05CB">
            <w:rPr>
              <w:rFonts w:ascii="Century Gothic" w:eastAsia="Times New Roman" w:hAnsi="Century Gothic" w:cs="Times New Roman"/>
              <w:color w:val="000000" w:themeColor="text1"/>
              <w:sz w:val="24"/>
              <w:szCs w:val="24"/>
              <w:lang w:eastAsia="es-MX"/>
            </w:rPr>
            <w:t>Winaiky</w:t>
          </w:r>
          <w:proofErr w:type="spellEnd"/>
          <w:r w:rsidR="00B71D74" w:rsidRPr="002C05CB">
            <w:rPr>
              <w:rFonts w:ascii="Century Gothic" w:eastAsia="Times New Roman" w:hAnsi="Century Gothic" w:cs="Times New Roman"/>
              <w:color w:val="000000" w:themeColor="text1"/>
              <w:sz w:val="24"/>
              <w:szCs w:val="24"/>
              <w:lang w:eastAsia="es-MX"/>
            </w:rPr>
            <w:t xml:space="preserve"> </w:t>
          </w:r>
          <w:proofErr w:type="spellStart"/>
          <w:r w:rsidR="00B71D74" w:rsidRPr="002C05CB">
            <w:rPr>
              <w:rFonts w:ascii="Century Gothic" w:eastAsia="Times New Roman" w:hAnsi="Century Gothic" w:cs="Times New Roman"/>
              <w:color w:val="000000" w:themeColor="text1"/>
              <w:sz w:val="24"/>
              <w:szCs w:val="24"/>
              <w:lang w:eastAsia="es-MX"/>
            </w:rPr>
            <w:t>Piñate</w:t>
          </w:r>
          <w:proofErr w:type="spellEnd"/>
          <w:r w:rsidR="00B71D74" w:rsidRPr="002C05CB">
            <w:rPr>
              <w:rFonts w:ascii="Century Gothic" w:eastAsia="Times New Roman" w:hAnsi="Century Gothic" w:cs="Times New Roman"/>
              <w:color w:val="000000" w:themeColor="text1"/>
              <w:sz w:val="24"/>
              <w:szCs w:val="24"/>
              <w:lang w:eastAsia="es-MX"/>
            </w:rPr>
            <w:t xml:space="preserve"> Manrique </w:t>
          </w:r>
          <w:r w:rsidR="00B71D74" w:rsidRPr="002C05CB">
            <w:rPr>
              <w:rFonts w:ascii="Century Gothic" w:eastAsia="Times New Roman" w:hAnsi="Century Gothic" w:cs="Times New Roman"/>
              <w:color w:val="000000" w:themeColor="text1"/>
              <w:sz w:val="24"/>
              <w:szCs w:val="24"/>
              <w:lang w:eastAsia="es-MX"/>
            </w:rPr>
            <w:br/>
            <w:t>Lucro Cesante Consolidado: $19.631.841 </w:t>
          </w:r>
          <w:r w:rsidR="00B71D74" w:rsidRPr="002C05CB">
            <w:rPr>
              <w:rFonts w:ascii="Century Gothic" w:eastAsia="Times New Roman" w:hAnsi="Century Gothic" w:cs="Times New Roman"/>
              <w:color w:val="000000" w:themeColor="text1"/>
              <w:sz w:val="24"/>
              <w:szCs w:val="24"/>
              <w:lang w:eastAsia="es-MX"/>
            </w:rPr>
            <w:br/>
            <w:t>Lucro Cesante Futuro: $102.472.873  </w:t>
          </w:r>
          <w:r w:rsidR="00B71D74" w:rsidRPr="002C05CB">
            <w:rPr>
              <w:rFonts w:ascii="Century Gothic" w:eastAsia="Times New Roman" w:hAnsi="Century Gothic" w:cs="Times New Roman"/>
              <w:color w:val="000000" w:themeColor="text1"/>
              <w:sz w:val="24"/>
              <w:szCs w:val="24"/>
              <w:lang w:eastAsia="es-MX"/>
            </w:rPr>
            <w:br/>
          </w:r>
          <w:r w:rsidR="00B71D74" w:rsidRPr="002C05CB">
            <w:rPr>
              <w:rFonts w:ascii="Century Gothic" w:eastAsia="Times New Roman" w:hAnsi="Century Gothic" w:cs="Times New Roman"/>
              <w:color w:val="000000" w:themeColor="text1"/>
              <w:sz w:val="24"/>
              <w:szCs w:val="24"/>
              <w:lang w:eastAsia="es-MX"/>
            </w:rPr>
            <w:br/>
            <w:t>Perjuicios Extrapatrimoniales:</w:t>
          </w:r>
          <w:r w:rsidR="00B71D74" w:rsidRPr="002C05CB">
            <w:rPr>
              <w:rFonts w:ascii="Century Gothic" w:eastAsia="Times New Roman" w:hAnsi="Century Gothic" w:cs="Times New Roman"/>
              <w:color w:val="000000" w:themeColor="text1"/>
              <w:sz w:val="24"/>
              <w:szCs w:val="24"/>
              <w:lang w:eastAsia="es-MX"/>
            </w:rPr>
            <w:br/>
            <w:t xml:space="preserve">Daño Moral 100 </w:t>
          </w:r>
          <w:proofErr w:type="spellStart"/>
          <w:r w:rsidR="00B71D74" w:rsidRPr="002C05CB">
            <w:rPr>
              <w:rFonts w:ascii="Century Gothic" w:eastAsia="Times New Roman" w:hAnsi="Century Gothic" w:cs="Times New Roman"/>
              <w:color w:val="000000" w:themeColor="text1"/>
              <w:sz w:val="24"/>
              <w:szCs w:val="24"/>
              <w:lang w:eastAsia="es-MX"/>
            </w:rPr>
            <w:t>Smmlv</w:t>
          </w:r>
          <w:proofErr w:type="spellEnd"/>
          <w:r w:rsidR="00B71D74" w:rsidRPr="002C05CB">
            <w:rPr>
              <w:rFonts w:ascii="Century Gothic" w:eastAsia="Times New Roman" w:hAnsi="Century Gothic" w:cs="Times New Roman"/>
              <w:color w:val="000000" w:themeColor="text1"/>
              <w:sz w:val="24"/>
              <w:szCs w:val="24"/>
              <w:lang w:eastAsia="es-MX"/>
            </w:rPr>
            <w:t xml:space="preserve"> Para Cada Uno De Los Demandantes  </w:t>
          </w:r>
          <w:r w:rsidR="00B71D74" w:rsidRPr="002C05CB">
            <w:rPr>
              <w:rFonts w:ascii="Century Gothic" w:eastAsia="Times New Roman" w:hAnsi="Century Gothic" w:cs="Times New Roman"/>
              <w:color w:val="000000" w:themeColor="text1"/>
              <w:sz w:val="24"/>
              <w:szCs w:val="24"/>
              <w:lang w:eastAsia="es-MX"/>
            </w:rPr>
            <w:br/>
            <w:t xml:space="preserve">Daño A La Vida En Relación 100 </w:t>
          </w:r>
          <w:proofErr w:type="spellStart"/>
          <w:r w:rsidR="00B71D74" w:rsidRPr="002C05CB">
            <w:rPr>
              <w:rFonts w:ascii="Century Gothic" w:eastAsia="Times New Roman" w:hAnsi="Century Gothic" w:cs="Times New Roman"/>
              <w:color w:val="000000" w:themeColor="text1"/>
              <w:sz w:val="24"/>
              <w:szCs w:val="24"/>
              <w:lang w:eastAsia="es-MX"/>
            </w:rPr>
            <w:t>Smmlv</w:t>
          </w:r>
          <w:proofErr w:type="spellEnd"/>
          <w:r w:rsidR="00B71D74" w:rsidRPr="002C05CB">
            <w:rPr>
              <w:rFonts w:ascii="Century Gothic" w:eastAsia="Times New Roman" w:hAnsi="Century Gothic" w:cs="Times New Roman"/>
              <w:color w:val="000000" w:themeColor="text1"/>
              <w:sz w:val="24"/>
              <w:szCs w:val="24"/>
              <w:lang w:eastAsia="es-MX"/>
            </w:rPr>
            <w:t xml:space="preserve"> Para Cada Uno De Los Demandantes </w:t>
          </w:r>
          <w:r w:rsidR="00C97BDB" w:rsidRPr="002C05CB">
            <w:rPr>
              <w:rFonts w:ascii="Century Gothic" w:eastAsia="Times New Roman" w:hAnsi="Century Gothic" w:cs="Times New Roman"/>
              <w:color w:val="000000" w:themeColor="text1"/>
              <w:sz w:val="24"/>
              <w:szCs w:val="24"/>
              <w:lang w:eastAsia="es-MX"/>
            </w:rPr>
            <w:br/>
          </w:r>
          <w:r w:rsidR="00C97BDB" w:rsidRPr="002C05CB">
            <w:rPr>
              <w:rFonts w:ascii="Century Gothic" w:eastAsia="Times New Roman" w:hAnsi="Century Gothic" w:cs="Times New Roman"/>
              <w:color w:val="000000" w:themeColor="text1"/>
              <w:sz w:val="24"/>
              <w:szCs w:val="24"/>
              <w:lang w:eastAsia="es-MX"/>
            </w:rPr>
            <w:br/>
            <w:t xml:space="preserve">TOTAL PRETENSIONES: </w:t>
          </w:r>
          <w:r w:rsidR="00EF1AB0" w:rsidRPr="002C05CB">
            <w:rPr>
              <w:rFonts w:ascii="Century Gothic" w:eastAsia="Times New Roman" w:hAnsi="Century Gothic" w:cs="Times New Roman"/>
              <w:color w:val="000000" w:themeColor="text1"/>
              <w:sz w:val="24"/>
              <w:szCs w:val="24"/>
              <w:lang w:eastAsia="es-MX"/>
            </w:rPr>
            <w:t xml:space="preserve"> $1.045.</w:t>
          </w:r>
          <w:r w:rsidR="00B61F79" w:rsidRPr="002C05CB">
            <w:rPr>
              <w:rFonts w:ascii="Century Gothic" w:eastAsia="Times New Roman" w:hAnsi="Century Gothic" w:cs="Times New Roman"/>
              <w:color w:val="000000" w:themeColor="text1"/>
              <w:sz w:val="24"/>
              <w:szCs w:val="24"/>
              <w:lang w:eastAsia="es-MX"/>
            </w:rPr>
            <w:t>604.864</w:t>
          </w:r>
        </w:sdtContent>
      </w:sdt>
    </w:p>
    <w:p w14:paraId="2549BB1A" w14:textId="401AB6DA" w:rsidR="0055109D" w:rsidRDefault="00906282" w:rsidP="0055109D">
      <w:pPr>
        <w:spacing w:line="360" w:lineRule="auto"/>
        <w:jc w:val="both"/>
        <w:rPr>
          <w:rFonts w:ascii="Century Gothic" w:hAnsi="Century Gothic"/>
          <w:color w:val="000000" w:themeColor="text1"/>
        </w:rPr>
      </w:pPr>
      <w:r w:rsidRPr="00B71D74">
        <w:rPr>
          <w:rFonts w:ascii="Century Gothic" w:hAnsi="Century Gothic"/>
          <w:b/>
          <w:color w:val="000000" w:themeColor="text1"/>
        </w:rPr>
        <w:t xml:space="preserve">Liquidación objetivada de las pretensiones: </w:t>
      </w:r>
      <w:r w:rsidR="0055109D" w:rsidRPr="00B71D74">
        <w:rPr>
          <w:rFonts w:ascii="Century Gothic" w:hAnsi="Century Gothic"/>
          <w:color w:val="000000" w:themeColor="text1"/>
        </w:rPr>
        <w:t>La liquidación objetiva de las pretensiones asciende a $363.500.150. A este valor se llegó de la siguiente manera</w:t>
      </w:r>
      <w:r w:rsidR="002C05CB">
        <w:rPr>
          <w:rFonts w:ascii="Century Gothic" w:hAnsi="Century Gothic"/>
          <w:color w:val="000000" w:themeColor="text1"/>
        </w:rPr>
        <w:t>:</w:t>
      </w:r>
    </w:p>
    <w:p w14:paraId="139B22B8" w14:textId="77777777" w:rsidR="002C05CB" w:rsidRPr="00B71D74" w:rsidRDefault="002C05CB" w:rsidP="0055109D">
      <w:pPr>
        <w:spacing w:line="360" w:lineRule="auto"/>
        <w:jc w:val="both"/>
        <w:rPr>
          <w:rFonts w:ascii="Century Gothic" w:hAnsi="Century Gothic"/>
          <w:color w:val="000000" w:themeColor="text1"/>
        </w:rPr>
      </w:pPr>
    </w:p>
    <w:p w14:paraId="189B8AEC" w14:textId="77777777"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1.</w:t>
      </w:r>
      <w:r w:rsidRPr="00B71D74">
        <w:rPr>
          <w:rFonts w:ascii="Century Gothic" w:hAnsi="Century Gothic"/>
          <w:color w:val="000000" w:themeColor="text1"/>
        </w:rPr>
        <w:tab/>
        <w:t>Lucro cesante:  $143.500.150</w:t>
      </w:r>
    </w:p>
    <w:p w14:paraId="222D353C" w14:textId="4E36E3A2"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a.</w:t>
      </w:r>
      <w:r w:rsidRPr="00B71D74">
        <w:rPr>
          <w:rFonts w:ascii="Century Gothic" w:hAnsi="Century Gothic"/>
          <w:color w:val="000000" w:themeColor="text1"/>
        </w:rPr>
        <w:tab/>
        <w:t xml:space="preserve">Consolidado: Por este concepto se reconocerá la suma de $19.631.841 este valor es obtenido teniendo en cuenta que el valor liquidado </w:t>
      </w:r>
      <w:r w:rsidRPr="00AD309F">
        <w:rPr>
          <w:rFonts w:ascii="Century Gothic" w:hAnsi="Century Gothic"/>
          <w:color w:val="000000" w:themeColor="text1"/>
        </w:rPr>
        <w:t>por este concepto</w:t>
      </w:r>
      <w:r w:rsidR="00726F98" w:rsidRPr="00AD309F">
        <w:rPr>
          <w:rFonts w:ascii="Century Gothic" w:hAnsi="Century Gothic"/>
          <w:color w:val="000000" w:themeColor="text1"/>
        </w:rPr>
        <w:t>(</w:t>
      </w:r>
      <w:r w:rsidR="00EA057E" w:rsidRPr="00AD309F">
        <w:rPr>
          <w:rFonts w:ascii="Century Gothic" w:hAnsi="Century Gothic"/>
          <w:color w:val="000000" w:themeColor="text1"/>
        </w:rPr>
        <w:t>$</w:t>
      </w:r>
      <w:r w:rsidR="00EA057E" w:rsidRPr="00EA057E">
        <w:rPr>
          <w:rFonts w:ascii="Century Gothic" w:hAnsi="Century Gothic"/>
          <w:color w:val="000000" w:themeColor="text1"/>
        </w:rPr>
        <w:t>36</w:t>
      </w:r>
      <w:r w:rsidR="00EA057E">
        <w:rPr>
          <w:rFonts w:ascii="Century Gothic" w:hAnsi="Century Gothic"/>
          <w:color w:val="000000" w:themeColor="text1"/>
        </w:rPr>
        <w:t>.</w:t>
      </w:r>
      <w:r w:rsidR="00EA057E" w:rsidRPr="00EA057E">
        <w:rPr>
          <w:rFonts w:ascii="Century Gothic" w:hAnsi="Century Gothic"/>
          <w:color w:val="000000" w:themeColor="text1"/>
        </w:rPr>
        <w:t>119</w:t>
      </w:r>
      <w:r w:rsidR="00EA057E">
        <w:rPr>
          <w:rFonts w:ascii="Century Gothic" w:hAnsi="Century Gothic"/>
          <w:color w:val="000000" w:themeColor="text1"/>
        </w:rPr>
        <w:t>.</w:t>
      </w:r>
      <w:r w:rsidR="00EA057E" w:rsidRPr="00EA057E">
        <w:rPr>
          <w:rFonts w:ascii="Century Gothic" w:hAnsi="Century Gothic"/>
          <w:color w:val="000000" w:themeColor="text1"/>
        </w:rPr>
        <w:t>753</w:t>
      </w:r>
      <w:r w:rsidR="00726F98">
        <w:rPr>
          <w:rFonts w:ascii="Century Gothic" w:hAnsi="Century Gothic"/>
          <w:color w:val="000000" w:themeColor="text1"/>
        </w:rPr>
        <w:t>)</w:t>
      </w:r>
      <w:r w:rsidRPr="00B71D74">
        <w:rPr>
          <w:rFonts w:ascii="Century Gothic" w:hAnsi="Century Gothic"/>
          <w:color w:val="000000" w:themeColor="text1"/>
        </w:rPr>
        <w:t xml:space="preserve"> es superior al solicitado por lo que se tomará el valor liquidado por el demandante. Recordando que únicamente se reconocerá éste perjuicio en favor del hijo del occiso ya que la compañera permanente no probó el vínculo con el causante ni la dependencia económica.</w:t>
      </w:r>
    </w:p>
    <w:p w14:paraId="6ED7CB51" w14:textId="5A8718B3" w:rsidR="0055109D" w:rsidRPr="00B71D74" w:rsidRDefault="0055109D" w:rsidP="0055109D">
      <w:pPr>
        <w:spacing w:line="360" w:lineRule="auto"/>
        <w:jc w:val="both"/>
        <w:rPr>
          <w:rFonts w:ascii="Century Gothic" w:hAnsi="Century Gothic"/>
          <w:color w:val="000000" w:themeColor="text1"/>
        </w:rPr>
      </w:pPr>
      <w:r w:rsidRPr="48EAC32C">
        <w:rPr>
          <w:rFonts w:ascii="Century Gothic" w:hAnsi="Century Gothic"/>
          <w:color w:val="000000" w:themeColor="text1"/>
        </w:rPr>
        <w:t>b.</w:t>
      </w:r>
      <w:r>
        <w:tab/>
      </w:r>
      <w:r w:rsidRPr="48EAC32C">
        <w:rPr>
          <w:rFonts w:ascii="Century Gothic" w:hAnsi="Century Gothic"/>
          <w:color w:val="000000" w:themeColor="text1"/>
        </w:rPr>
        <w:t xml:space="preserve">Futuro: Por este concepto se reconocerá la suma de $123.868.309, este valor es obtenido teniendo en cuenta que el valor liquidado </w:t>
      </w:r>
      <w:r w:rsidRPr="00AD309F">
        <w:rPr>
          <w:rFonts w:ascii="Century Gothic" w:hAnsi="Century Gothic"/>
          <w:color w:val="000000" w:themeColor="text1"/>
        </w:rPr>
        <w:t>por este concepto</w:t>
      </w:r>
      <w:r w:rsidR="00726F98" w:rsidRPr="00AD309F">
        <w:rPr>
          <w:rFonts w:ascii="Century Gothic" w:hAnsi="Century Gothic"/>
          <w:color w:val="000000" w:themeColor="text1"/>
        </w:rPr>
        <w:t>(</w:t>
      </w:r>
      <w:r w:rsidR="00AD309F" w:rsidRPr="00AD309F">
        <w:rPr>
          <w:rFonts w:ascii="Century Gothic" w:hAnsi="Century Gothic"/>
          <w:color w:val="000000" w:themeColor="text1"/>
        </w:rPr>
        <w:t>$180.594.375</w:t>
      </w:r>
      <w:r w:rsidR="00726F98">
        <w:rPr>
          <w:rFonts w:ascii="Century Gothic" w:hAnsi="Century Gothic"/>
          <w:color w:val="000000" w:themeColor="text1"/>
        </w:rPr>
        <w:t>)</w:t>
      </w:r>
      <w:r w:rsidRPr="48EAC32C">
        <w:rPr>
          <w:rFonts w:ascii="Century Gothic" w:hAnsi="Century Gothic"/>
          <w:color w:val="000000" w:themeColor="text1"/>
        </w:rPr>
        <w:t xml:space="preserve"> es superior al solicitado por lo que se tomará el valor liquidado por el demandante. Recordando que únicamente se reconocerá éste perjuicio en favor del hijo del occiso ya que la compañera permanente no probó el vínculo con el causante ni la dependencia económica. </w:t>
      </w:r>
    </w:p>
    <w:p w14:paraId="679FE121" w14:textId="77777777" w:rsidR="0055109D" w:rsidRPr="00B71D74" w:rsidRDefault="0055109D" w:rsidP="0055109D">
      <w:pPr>
        <w:spacing w:line="360" w:lineRule="auto"/>
        <w:jc w:val="both"/>
        <w:rPr>
          <w:rFonts w:ascii="Century Gothic" w:hAnsi="Century Gothic"/>
          <w:color w:val="000000" w:themeColor="text1"/>
        </w:rPr>
      </w:pPr>
    </w:p>
    <w:p w14:paraId="7B8C8ED1" w14:textId="77777777"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2.</w:t>
      </w:r>
      <w:r w:rsidRPr="00B71D74">
        <w:rPr>
          <w:rFonts w:ascii="Century Gothic" w:hAnsi="Century Gothic"/>
          <w:color w:val="000000" w:themeColor="text1"/>
        </w:rPr>
        <w:tab/>
        <w:t>Daño Moral:  $120.000.000</w:t>
      </w:r>
    </w:p>
    <w:p w14:paraId="485D9694" w14:textId="53A6031C" w:rsidR="0055109D" w:rsidRPr="00B71D74" w:rsidRDefault="00D0158D" w:rsidP="0055109D">
      <w:pPr>
        <w:spacing w:line="360" w:lineRule="auto"/>
        <w:jc w:val="both"/>
        <w:rPr>
          <w:rFonts w:ascii="Century Gothic" w:hAnsi="Century Gothic"/>
          <w:color w:val="000000" w:themeColor="text1"/>
        </w:rPr>
      </w:pPr>
      <w:r>
        <w:rPr>
          <w:rFonts w:ascii="Century Gothic" w:hAnsi="Century Gothic"/>
          <w:color w:val="000000" w:themeColor="text1"/>
        </w:rPr>
        <w:lastRenderedPageBreak/>
        <w:t>Este perjuicio</w:t>
      </w:r>
      <w:r w:rsidR="0055109D" w:rsidRPr="00B71D74">
        <w:rPr>
          <w:rFonts w:ascii="Century Gothic" w:hAnsi="Century Gothic"/>
          <w:color w:val="000000" w:themeColor="text1"/>
        </w:rPr>
        <w:t xml:space="preserve"> se reconoce </w:t>
      </w:r>
      <w:r>
        <w:rPr>
          <w:rFonts w:ascii="Century Gothic" w:hAnsi="Century Gothic"/>
          <w:color w:val="000000" w:themeColor="text1"/>
        </w:rPr>
        <w:t xml:space="preserve">únicamente </w:t>
      </w:r>
      <w:r w:rsidR="0055109D" w:rsidRPr="00B71D74">
        <w:rPr>
          <w:rFonts w:ascii="Century Gothic" w:hAnsi="Century Gothic"/>
          <w:color w:val="000000" w:themeColor="text1"/>
        </w:rPr>
        <w:t xml:space="preserve">en favor del hijo y la madre del causante. </w:t>
      </w:r>
      <w:r w:rsidR="00577247">
        <w:rPr>
          <w:rFonts w:ascii="Century Gothic" w:hAnsi="Century Gothic"/>
          <w:color w:val="000000" w:themeColor="text1"/>
        </w:rPr>
        <w:t>Para todos los efectos, s</w:t>
      </w:r>
      <w:r w:rsidR="0055109D" w:rsidRPr="00B71D74">
        <w:rPr>
          <w:rFonts w:ascii="Century Gothic" w:hAnsi="Century Gothic"/>
          <w:color w:val="000000" w:themeColor="text1"/>
        </w:rPr>
        <w:t>e calcula un monto de $60.000.000 a cada uno de los demandantes: e</w:t>
      </w:r>
      <w:r w:rsidR="00DB28BC">
        <w:rPr>
          <w:rFonts w:ascii="Century Gothic" w:hAnsi="Century Gothic"/>
          <w:color w:val="000000" w:themeColor="text1"/>
        </w:rPr>
        <w:t xml:space="preserve">sto es el </w:t>
      </w:r>
      <w:r w:rsidR="0055109D" w:rsidRPr="00B71D74">
        <w:rPr>
          <w:rFonts w:ascii="Century Gothic" w:hAnsi="Century Gothic"/>
          <w:color w:val="000000" w:themeColor="text1"/>
        </w:rPr>
        <w:t xml:space="preserve">menor ISAIAS JOHAN FISNE PIÑATE y la señora CARMEN TERESA PARRA, </w:t>
      </w:r>
      <w:r w:rsidR="00101BEF">
        <w:rPr>
          <w:rFonts w:ascii="Century Gothic" w:hAnsi="Century Gothic"/>
          <w:color w:val="000000" w:themeColor="text1"/>
        </w:rPr>
        <w:t>lo cual asciende a la sumatoria de</w:t>
      </w:r>
      <w:r w:rsidR="0055109D" w:rsidRPr="00B71D74">
        <w:rPr>
          <w:rFonts w:ascii="Century Gothic" w:hAnsi="Century Gothic"/>
          <w:color w:val="000000" w:themeColor="text1"/>
        </w:rPr>
        <w:t xml:space="preserve"> $120.000.000. Toda vez que </w:t>
      </w:r>
      <w:r w:rsidR="009E35BC">
        <w:rPr>
          <w:rFonts w:ascii="Century Gothic" w:hAnsi="Century Gothic"/>
          <w:color w:val="000000" w:themeColor="text1"/>
        </w:rPr>
        <w:t xml:space="preserve">en el presente caso </w:t>
      </w:r>
      <w:r w:rsidR="0055109D" w:rsidRPr="00B71D74">
        <w:rPr>
          <w:rFonts w:ascii="Century Gothic" w:hAnsi="Century Gothic"/>
          <w:color w:val="000000" w:themeColor="text1"/>
        </w:rPr>
        <w:t>el señor PEDRO MANUEL FUNE PARRA</w:t>
      </w:r>
      <w:r w:rsidR="009E35BC">
        <w:rPr>
          <w:rFonts w:ascii="Century Gothic" w:hAnsi="Century Gothic"/>
          <w:color w:val="000000" w:themeColor="text1"/>
        </w:rPr>
        <w:t>(Q.E.P.D)</w:t>
      </w:r>
      <w:r w:rsidR="0055109D" w:rsidRPr="00B71D74">
        <w:rPr>
          <w:rFonts w:ascii="Century Gothic" w:hAnsi="Century Gothic"/>
          <w:color w:val="000000" w:themeColor="text1"/>
        </w:rPr>
        <w:t>, falleció a causa del accidente. Lo anterior, teniendo en cuenta que la Corte Suprema de Justicia Sala Civil, ha reconocido el pago de $60.000.000 para cada una de las víctimas sean directas e indirectas como reconocimiento de perjuicio extrapatrimonial en casos similares. (SC 3728-2021)</w:t>
      </w:r>
    </w:p>
    <w:p w14:paraId="66FF39C9" w14:textId="54C111F5"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 xml:space="preserve">Se </w:t>
      </w:r>
      <w:r w:rsidR="008A6468">
        <w:rPr>
          <w:rFonts w:ascii="Century Gothic" w:hAnsi="Century Gothic"/>
          <w:color w:val="000000" w:themeColor="text1"/>
        </w:rPr>
        <w:t>precisa</w:t>
      </w:r>
      <w:r w:rsidRPr="00B71D74">
        <w:rPr>
          <w:rFonts w:ascii="Century Gothic" w:hAnsi="Century Gothic"/>
          <w:color w:val="000000" w:themeColor="text1"/>
        </w:rPr>
        <w:t xml:space="preserve"> que este perjuicio </w:t>
      </w:r>
      <w:r w:rsidR="008A6468">
        <w:rPr>
          <w:rFonts w:ascii="Century Gothic" w:hAnsi="Century Gothic"/>
          <w:color w:val="000000" w:themeColor="text1"/>
        </w:rPr>
        <w:t xml:space="preserve">no </w:t>
      </w:r>
      <w:r w:rsidRPr="00B71D74">
        <w:rPr>
          <w:rFonts w:ascii="Century Gothic" w:hAnsi="Century Gothic"/>
          <w:color w:val="000000" w:themeColor="text1"/>
        </w:rPr>
        <w:t xml:space="preserve">será reconocido </w:t>
      </w:r>
      <w:r w:rsidR="008A6468">
        <w:rPr>
          <w:rFonts w:ascii="Century Gothic" w:hAnsi="Century Gothic"/>
          <w:color w:val="000000" w:themeColor="text1"/>
        </w:rPr>
        <w:t>a</w:t>
      </w:r>
      <w:r w:rsidRPr="00B71D74">
        <w:rPr>
          <w:rFonts w:ascii="Century Gothic" w:hAnsi="Century Gothic"/>
          <w:color w:val="000000" w:themeColor="text1"/>
        </w:rPr>
        <w:t xml:space="preserve"> la señora RAILMESI WINAIKY PIÑATE MANRIQUE, quien afirma haber sido compañera permanente del fallecido</w:t>
      </w:r>
      <w:r w:rsidR="008A6468">
        <w:rPr>
          <w:rFonts w:ascii="Century Gothic" w:hAnsi="Century Gothic"/>
          <w:color w:val="000000" w:themeColor="text1"/>
        </w:rPr>
        <w:t xml:space="preserve">, en tanto </w:t>
      </w:r>
      <w:r w:rsidRPr="00B71D74">
        <w:rPr>
          <w:rFonts w:ascii="Century Gothic" w:hAnsi="Century Gothic"/>
          <w:color w:val="000000" w:themeColor="text1"/>
        </w:rPr>
        <w:t xml:space="preserve">no aporta prueba alguna </w:t>
      </w:r>
      <w:r w:rsidR="004B44D4">
        <w:rPr>
          <w:rFonts w:ascii="Century Gothic" w:hAnsi="Century Gothic"/>
          <w:color w:val="000000" w:themeColor="text1"/>
        </w:rPr>
        <w:t xml:space="preserve">que acredite su calidad </w:t>
      </w:r>
      <w:r w:rsidR="00772DEF">
        <w:rPr>
          <w:rFonts w:ascii="Century Gothic" w:hAnsi="Century Gothic"/>
          <w:color w:val="000000" w:themeColor="text1"/>
        </w:rPr>
        <w:t xml:space="preserve">ni </w:t>
      </w:r>
      <w:r w:rsidRPr="00B71D74">
        <w:rPr>
          <w:rFonts w:ascii="Century Gothic" w:hAnsi="Century Gothic"/>
          <w:color w:val="000000" w:themeColor="text1"/>
        </w:rPr>
        <w:t xml:space="preserve">su convivencia </w:t>
      </w:r>
      <w:r w:rsidR="00772DEF">
        <w:rPr>
          <w:rFonts w:ascii="Century Gothic" w:hAnsi="Century Gothic"/>
          <w:color w:val="000000" w:themeColor="text1"/>
        </w:rPr>
        <w:t>con el causante.</w:t>
      </w:r>
    </w:p>
    <w:p w14:paraId="6858B14E" w14:textId="77777777"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3.</w:t>
      </w:r>
      <w:r w:rsidRPr="00B71D74">
        <w:rPr>
          <w:rFonts w:ascii="Century Gothic" w:hAnsi="Century Gothic"/>
          <w:color w:val="000000" w:themeColor="text1"/>
        </w:rPr>
        <w:tab/>
        <w:t>Daño a la vida de relación: $100.000.000</w:t>
      </w:r>
    </w:p>
    <w:p w14:paraId="0F9B8195" w14:textId="590DB62D"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 xml:space="preserve">El daño a la vida de relación se </w:t>
      </w:r>
      <w:r w:rsidR="001F5A86">
        <w:rPr>
          <w:rFonts w:ascii="Century Gothic" w:hAnsi="Century Gothic"/>
          <w:color w:val="000000" w:themeColor="text1"/>
        </w:rPr>
        <w:t xml:space="preserve">tasa en la suma de $100.000.000 discriminados así: </w:t>
      </w:r>
      <w:r w:rsidR="00BE65F8">
        <w:rPr>
          <w:rFonts w:ascii="Century Gothic" w:hAnsi="Century Gothic"/>
          <w:color w:val="000000" w:themeColor="text1"/>
        </w:rPr>
        <w:t xml:space="preserve">$50.000.000 </w:t>
      </w:r>
      <w:r w:rsidR="00E04A97">
        <w:rPr>
          <w:rFonts w:ascii="Century Gothic" w:hAnsi="Century Gothic"/>
          <w:color w:val="000000" w:themeColor="text1"/>
        </w:rPr>
        <w:t xml:space="preserve">en favor del menor </w:t>
      </w:r>
      <w:r w:rsidR="00E04A97" w:rsidRPr="00B71D74">
        <w:rPr>
          <w:rFonts w:ascii="Century Gothic" w:hAnsi="Century Gothic"/>
          <w:color w:val="000000" w:themeColor="text1"/>
        </w:rPr>
        <w:t>ISAIAS JOHAN FISNE PIÑATE</w:t>
      </w:r>
      <w:r w:rsidR="00E04A97">
        <w:rPr>
          <w:rFonts w:ascii="Century Gothic" w:hAnsi="Century Gothic"/>
          <w:color w:val="000000" w:themeColor="text1"/>
        </w:rPr>
        <w:t xml:space="preserve">, en calidad de hijo del causante y </w:t>
      </w:r>
      <w:r w:rsidR="00BE65F8">
        <w:rPr>
          <w:rFonts w:ascii="Century Gothic" w:hAnsi="Century Gothic"/>
          <w:color w:val="000000" w:themeColor="text1"/>
        </w:rPr>
        <w:t xml:space="preserve">$50.000.000 </w:t>
      </w:r>
      <w:r w:rsidR="00E04A97">
        <w:rPr>
          <w:rFonts w:ascii="Century Gothic" w:hAnsi="Century Gothic"/>
          <w:color w:val="000000" w:themeColor="text1"/>
        </w:rPr>
        <w:t xml:space="preserve">en favor de la señora </w:t>
      </w:r>
      <w:r w:rsidR="00E04A97" w:rsidRPr="00B71D74">
        <w:rPr>
          <w:rFonts w:ascii="Century Gothic" w:hAnsi="Century Gothic"/>
          <w:color w:val="000000" w:themeColor="text1"/>
        </w:rPr>
        <w:t>CARMEN TERESA PARRA</w:t>
      </w:r>
      <w:r w:rsidR="00E04A97">
        <w:rPr>
          <w:rFonts w:ascii="Century Gothic" w:hAnsi="Century Gothic"/>
          <w:color w:val="000000" w:themeColor="text1"/>
        </w:rPr>
        <w:t xml:space="preserve">, en calidad de madre de este último. </w:t>
      </w:r>
      <w:r w:rsidRPr="00B71D74">
        <w:rPr>
          <w:rFonts w:ascii="Century Gothic" w:hAnsi="Century Gothic"/>
          <w:color w:val="000000" w:themeColor="text1"/>
        </w:rPr>
        <w:t>Lo anterior, debido a</w:t>
      </w:r>
      <w:r w:rsidR="00546A25">
        <w:rPr>
          <w:rFonts w:ascii="Century Gothic" w:hAnsi="Century Gothic"/>
          <w:color w:val="000000" w:themeColor="text1"/>
        </w:rPr>
        <w:t>l deceso súbito d</w:t>
      </w:r>
      <w:r w:rsidRPr="00B71D74">
        <w:rPr>
          <w:rFonts w:ascii="Century Gothic" w:hAnsi="Century Gothic"/>
          <w:color w:val="000000" w:themeColor="text1"/>
        </w:rPr>
        <w:t xml:space="preserve">el señor PEDRO MANUEL FUNE PARRA, </w:t>
      </w:r>
      <w:r w:rsidR="00546A25">
        <w:rPr>
          <w:rFonts w:ascii="Century Gothic" w:hAnsi="Century Gothic"/>
          <w:color w:val="000000" w:themeColor="text1"/>
        </w:rPr>
        <w:t>con ocasión al</w:t>
      </w:r>
      <w:r w:rsidRPr="00B71D74">
        <w:rPr>
          <w:rFonts w:ascii="Century Gothic" w:hAnsi="Century Gothic"/>
          <w:color w:val="000000" w:themeColor="text1"/>
        </w:rPr>
        <w:t xml:space="preserve"> accidente, circunstancia que por demás modifica de manera significativa y permanente la cotidianidad de sus familiares y el desarrollo de su proyecto de vida.</w:t>
      </w:r>
    </w:p>
    <w:p w14:paraId="79147647" w14:textId="46A85FDB"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 xml:space="preserve">La cuantificación de este perjuicio atiende a que en casos similares la Corte Suprema de Justicia ha reconocido el valor de $50.000.000 para cada una de las víctimas en razón del fallecimiento de parientes en primer grado de consanguinidad (SC 5686-2018). Si bien este perjuicio ha sido reconocido en múltiples sentencias únicamente a la víctima directa, debe resaltarse que esta es una posición minoritaria, ya que precisamente en decisiones como la Sentencia de 18 de agosto de 2023 proferida por la Sala de Decisión Civil del Tribunal Superior del Distrito Judicial de Cali. M.P.: Julián Alberto Villegas Perea, se ha reconocido el perjuicio de daño a la vida de relación tanto a la víctima directa como indirecta </w:t>
      </w:r>
      <w:r w:rsidRPr="00B71D74">
        <w:rPr>
          <w:rFonts w:ascii="Century Gothic" w:hAnsi="Century Gothic"/>
          <w:color w:val="000000" w:themeColor="text1"/>
        </w:rPr>
        <w:lastRenderedPageBreak/>
        <w:t xml:space="preserve">debido a las afectaciones que cada uno de éstos ha sufrida en la cotidianidad y el disfrute de la vida.  </w:t>
      </w:r>
    </w:p>
    <w:p w14:paraId="56AF067C" w14:textId="4628FFD3" w:rsidR="0055109D"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Se recuerda que este perjuicio será reconocido únicamente frente a la madre del causante y frente a su hijo toda vez que la señora RAILMESI WINAIKY PIÑATE MANRIQUE, quien afirma haber sido compañera permanente del fallecido no aporta prueba alguna de su convivencia o de que existiese dicha relación al momento del accidente.</w:t>
      </w:r>
    </w:p>
    <w:p w14:paraId="5620437A" w14:textId="101BEE95" w:rsidR="00906282" w:rsidRPr="00B71D74" w:rsidRDefault="0055109D" w:rsidP="0055109D">
      <w:pPr>
        <w:spacing w:line="360" w:lineRule="auto"/>
        <w:jc w:val="both"/>
        <w:rPr>
          <w:rFonts w:ascii="Century Gothic" w:hAnsi="Century Gothic"/>
          <w:color w:val="000000" w:themeColor="text1"/>
        </w:rPr>
      </w:pPr>
      <w:r w:rsidRPr="00B71D74">
        <w:rPr>
          <w:rFonts w:ascii="Century Gothic" w:hAnsi="Century Gothic"/>
          <w:color w:val="000000" w:themeColor="text1"/>
        </w:rPr>
        <w:t>4.</w:t>
      </w:r>
      <w:r w:rsidRPr="00B71D74">
        <w:rPr>
          <w:rFonts w:ascii="Century Gothic" w:hAnsi="Century Gothic"/>
          <w:color w:val="000000" w:themeColor="text1"/>
        </w:rPr>
        <w:tab/>
        <w:t xml:space="preserve">Deducible: La póliza no contempla </w:t>
      </w:r>
      <w:r w:rsidR="000A5E68">
        <w:rPr>
          <w:rFonts w:ascii="Century Gothic" w:hAnsi="Century Gothic"/>
          <w:color w:val="000000" w:themeColor="text1"/>
        </w:rPr>
        <w:t xml:space="preserve">un </w:t>
      </w:r>
      <w:r w:rsidRPr="00B71D74">
        <w:rPr>
          <w:rFonts w:ascii="Century Gothic" w:hAnsi="Century Gothic"/>
          <w:color w:val="000000" w:themeColor="text1"/>
        </w:rPr>
        <w:t>deducible</w:t>
      </w:r>
      <w:r w:rsidR="000A5E68">
        <w:rPr>
          <w:rFonts w:ascii="Century Gothic" w:hAnsi="Century Gothic"/>
          <w:color w:val="000000" w:themeColor="text1"/>
        </w:rPr>
        <w:t xml:space="preserve"> para el amparo de responsabilidad civil extracontractual.</w:t>
      </w:r>
    </w:p>
    <w:p w14:paraId="2EC980BA" w14:textId="6687561B" w:rsidR="00906282" w:rsidRPr="00B71D74" w:rsidRDefault="00906282" w:rsidP="00645581">
      <w:pPr>
        <w:spacing w:line="360" w:lineRule="auto"/>
        <w:rPr>
          <w:rFonts w:ascii="Century Gothic" w:hAnsi="Century Gothic"/>
          <w:color w:val="000000" w:themeColor="text1"/>
        </w:rPr>
      </w:pPr>
      <w:r w:rsidRPr="00B71D74">
        <w:rPr>
          <w:rFonts w:ascii="Century Gothic" w:hAnsi="Century Gothic"/>
          <w:b/>
          <w:color w:val="000000" w:themeColor="text1"/>
        </w:rPr>
        <w:t>Excepciones</w:t>
      </w:r>
      <w:r w:rsidRPr="00B71D74">
        <w:rPr>
          <w:rFonts w:ascii="Century Gothic" w:hAnsi="Century Gothic"/>
          <w:color w:val="000000" w:themeColor="text1"/>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2473CC" w:rsidRPr="00B71D74">
            <w:rPr>
              <w:rFonts w:ascii="Century Gothic" w:hAnsi="Century Gothic"/>
              <w:color w:val="000000" w:themeColor="text1"/>
            </w:rPr>
            <w:t xml:space="preserve">EXCEPCIONES DE FONDO FRENTE A LA RESPONSABILIDAD </w:t>
          </w:r>
          <w:r w:rsidR="002473CC" w:rsidRPr="00B71D74">
            <w:rPr>
              <w:rFonts w:ascii="Century Gothic" w:hAnsi="Century Gothic"/>
              <w:color w:val="000000" w:themeColor="text1"/>
            </w:rPr>
            <w:br/>
            <w:t>1. EXIMENTE DE LA RESPONSABILIDAD DE LOS DEMANDADOS POR CONFIGURARSE LA CAUSAL “HECHO EXCLUSIVO DE LA VICTIMA”.</w:t>
          </w:r>
          <w:r w:rsidR="002473CC" w:rsidRPr="00B71D74">
            <w:rPr>
              <w:rFonts w:ascii="Century Gothic" w:hAnsi="Century Gothic"/>
              <w:color w:val="000000" w:themeColor="text1"/>
            </w:rPr>
            <w:br/>
            <w:t xml:space="preserve">2. INEXISTENCIA DE RESPONSABILIDAD A CARGO DE LOS DEMANDADOS POR LA FALTA DE ACREDITACIÓN DEL NEXO CAUSAL. </w:t>
          </w:r>
          <w:r w:rsidR="002473CC" w:rsidRPr="00B71D74">
            <w:rPr>
              <w:rFonts w:ascii="Century Gothic" w:hAnsi="Century Gothic"/>
              <w:color w:val="000000" w:themeColor="text1"/>
            </w:rPr>
            <w:br/>
            <w:t xml:space="preserve">3. EXIMENTE DE LA RESPONSABILIDAD DE LOS DEMANDADOS POR CONFIGURARSE LA CAUSAL “HECHO DE UN TERCERO”. </w:t>
          </w:r>
          <w:r w:rsidR="002473CC" w:rsidRPr="00B71D74">
            <w:rPr>
              <w:rFonts w:ascii="Century Gothic" w:hAnsi="Century Gothic"/>
              <w:color w:val="000000" w:themeColor="text1"/>
            </w:rPr>
            <w:br/>
            <w:t>4. FALTA DE LEGITIMACIÓN EN LA CAUSA POR ACTIVA DE RAILMESI WINAIKY PIÑATE MANRIQUE.</w:t>
          </w:r>
          <w:r w:rsidR="002473CC" w:rsidRPr="00B71D74">
            <w:rPr>
              <w:rFonts w:ascii="Century Gothic" w:hAnsi="Century Gothic"/>
              <w:color w:val="000000" w:themeColor="text1"/>
            </w:rPr>
            <w:br/>
            <w:t>5. REDUCCIÓN DE LA INDEMNIZACIÓN DERIVADA DE LA INTERVENCIÓN CAUSAL DE LA VÍCTIMA EN EL ACCIDENTE.</w:t>
          </w:r>
          <w:r w:rsidR="002473CC" w:rsidRPr="00B71D74">
            <w:rPr>
              <w:rFonts w:ascii="Century Gothic" w:hAnsi="Century Gothic"/>
              <w:color w:val="000000" w:themeColor="text1"/>
            </w:rPr>
            <w:br/>
            <w:t>6. IMPROCEDENCIA Y FALTA DE PRUEBA DEL LUCRO CESANTE.</w:t>
          </w:r>
          <w:r w:rsidR="002473CC" w:rsidRPr="00B71D74">
            <w:rPr>
              <w:rFonts w:ascii="Century Gothic" w:hAnsi="Century Gothic"/>
              <w:color w:val="000000" w:themeColor="text1"/>
            </w:rPr>
            <w:br/>
            <w:t>7. IMPROCEDENCIA DEL RECONOCIMIENTO Y TASACIÓN EXORBITANTE DEL DAÑO MORAL.</w:t>
          </w:r>
          <w:r w:rsidR="002473CC" w:rsidRPr="00B71D74">
            <w:rPr>
              <w:rFonts w:ascii="Century Gothic" w:hAnsi="Century Gothic"/>
              <w:color w:val="000000" w:themeColor="text1"/>
            </w:rPr>
            <w:br/>
            <w:t xml:space="preserve">8. IMPROCEDENCIA DEL DAÑO A LA VIDA EN RELACIÓN.   </w:t>
          </w:r>
          <w:r w:rsidR="002473CC" w:rsidRPr="00B71D74">
            <w:rPr>
              <w:rFonts w:ascii="Century Gothic" w:hAnsi="Century Gothic"/>
              <w:color w:val="000000" w:themeColor="text1"/>
            </w:rPr>
            <w:br/>
          </w:r>
          <w:r w:rsidR="002473CC" w:rsidRPr="00B71D74">
            <w:rPr>
              <w:rFonts w:ascii="Century Gothic" w:hAnsi="Century Gothic"/>
              <w:color w:val="000000" w:themeColor="text1"/>
            </w:rPr>
            <w:br/>
            <w:t>EXCEPCIONES DE FONDO FRENTE AL CONTRATO DE SEGURO</w:t>
          </w:r>
          <w:r w:rsidR="002473CC" w:rsidRPr="00B71D74">
            <w:rPr>
              <w:rFonts w:ascii="Century Gothic" w:hAnsi="Century Gothic"/>
              <w:color w:val="000000" w:themeColor="text1"/>
            </w:rPr>
            <w:br/>
          </w:r>
          <w:r w:rsidR="002473CC" w:rsidRPr="00B71D74">
            <w:rPr>
              <w:rFonts w:ascii="Century Gothic" w:hAnsi="Century Gothic"/>
              <w:color w:val="000000" w:themeColor="text1"/>
            </w:rPr>
            <w:br/>
            <w:t xml:space="preserve">1. INEXISTENCIA DE OBLIGACIÓN DE INDEMNIZAR A CARGO DE LA EQUIDAD SEGUROS GENERALES O.C. POR INCUMPLIMIENTO DE LAS CARGAS DEL ARTÍCULO 1077 DEL CÓDIGO DE COMERCIO.  </w:t>
          </w:r>
          <w:r w:rsidR="002473CC" w:rsidRPr="00B71D74">
            <w:rPr>
              <w:rFonts w:ascii="Century Gothic" w:hAnsi="Century Gothic"/>
              <w:color w:val="000000" w:themeColor="text1"/>
            </w:rPr>
            <w:br/>
            <w:t xml:space="preserve">2. RIESGOS EXPRESAMENTE EXCLUIDOS EN LA PÓLIZA DE SEGURO RCE DE SERVICIO </w:t>
          </w:r>
          <w:r w:rsidR="002473CC" w:rsidRPr="00B71D74">
            <w:rPr>
              <w:rFonts w:ascii="Century Gothic" w:hAnsi="Century Gothic"/>
              <w:color w:val="000000" w:themeColor="text1"/>
            </w:rPr>
            <w:lastRenderedPageBreak/>
            <w:t>PÚBLICO No. AA075827.</w:t>
          </w:r>
          <w:r w:rsidR="002473CC" w:rsidRPr="00B71D74">
            <w:rPr>
              <w:rFonts w:ascii="Century Gothic" w:hAnsi="Century Gothic"/>
              <w:color w:val="000000" w:themeColor="text1"/>
            </w:rPr>
            <w:br/>
            <w:t>3. IMPROCEDENCIA DE PAGO DE INTERESES MORATORIOS DEL ARTÍCULO 1080 DEL CÓDIGO DE COMERCIO.</w:t>
          </w:r>
          <w:r w:rsidR="002473CC" w:rsidRPr="00B71D74">
            <w:rPr>
              <w:rFonts w:ascii="Century Gothic" w:hAnsi="Century Gothic"/>
              <w:color w:val="000000" w:themeColor="text1"/>
            </w:rPr>
            <w:br/>
            <w:t>4. SUJECIÓN A LAS CONDICIONES PARTICULARES Y GENERALES DEL CONTRATO DE SEGURO, EL CLAUSULADO Y LOS AMPAROS.</w:t>
          </w:r>
          <w:r w:rsidR="002473CC" w:rsidRPr="00B71D74">
            <w:rPr>
              <w:rFonts w:ascii="Century Gothic" w:hAnsi="Century Gothic"/>
              <w:color w:val="000000" w:themeColor="text1"/>
            </w:rPr>
            <w:br/>
            <w:t xml:space="preserve">5. CARÁCTER MERAMENTE INDEMNIZATORIO QUE REVISTEN LOS CONTRATOS DE SEGUROS. </w:t>
          </w:r>
          <w:r w:rsidR="002473CC" w:rsidRPr="00B71D74">
            <w:rPr>
              <w:rFonts w:ascii="Century Gothic" w:hAnsi="Century Gothic"/>
              <w:color w:val="000000" w:themeColor="text1"/>
            </w:rPr>
            <w:br/>
            <w:t>6. EN CUALQUIER CASO, DE NINGUNA FORMA SE PODRÁ EXCEDER EL LÍMITE ASEGURADO.</w:t>
          </w:r>
          <w:r w:rsidR="002473CC" w:rsidRPr="00B71D74">
            <w:rPr>
              <w:rFonts w:ascii="Century Gothic" w:hAnsi="Century Gothic"/>
              <w:color w:val="000000" w:themeColor="text1"/>
            </w:rPr>
            <w:br/>
            <w:t>7. DISPONIBILIDAD DE LA SUMA ASEGURADA</w:t>
          </w:r>
          <w:r w:rsidR="002473CC" w:rsidRPr="00B71D74">
            <w:rPr>
              <w:rFonts w:ascii="Century Gothic" w:hAnsi="Century Gothic"/>
              <w:color w:val="000000" w:themeColor="text1"/>
            </w:rPr>
            <w:br/>
            <w:t xml:space="preserve">8. GENÉRICA O INNOMINADA   </w:t>
          </w:r>
          <w:r w:rsidR="002473CC" w:rsidRPr="00B71D74">
            <w:rPr>
              <w:rFonts w:ascii="Century Gothic" w:hAnsi="Century Gothic"/>
              <w:color w:val="000000" w:themeColor="text1"/>
            </w:rPr>
            <w:br/>
          </w:r>
        </w:sdtContent>
      </w:sdt>
      <w:r w:rsidRPr="00B71D74">
        <w:rPr>
          <w:rFonts w:ascii="Century Gothic" w:hAnsi="Century Gothic"/>
          <w:color w:val="000000" w:themeColor="text1"/>
        </w:rPr>
        <w:t xml:space="preserve"> </w:t>
      </w:r>
    </w:p>
    <w:p w14:paraId="035C3E82" w14:textId="07643FFC"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Siniestro</w:t>
      </w:r>
      <w:r w:rsidRPr="00B71D74">
        <w:rPr>
          <w:rFonts w:ascii="Century Gothic" w:hAnsi="Century Gothic"/>
          <w:color w:val="000000" w:themeColor="text1"/>
        </w:rPr>
        <w:t xml:space="preserve">: </w:t>
      </w:r>
      <w:sdt>
        <w:sdtPr>
          <w:rPr>
            <w:rStyle w:val="Estilo3"/>
            <w:b w:val="0"/>
            <w:bCs/>
            <w:color w:val="000000" w:themeColor="text1"/>
          </w:rPr>
          <w:alias w:val="NUMUERO SINIESTRO"/>
          <w:tag w:val="NUMERO SINIESTRO"/>
          <w:id w:val="1952504439"/>
          <w:placeholder>
            <w:docPart w:val="3DA5AA211C5C445BBDE6C93FB94D889A"/>
          </w:placeholder>
          <w:text/>
        </w:sdtPr>
        <w:sdtContent>
          <w:r w:rsidR="002473CC" w:rsidRPr="002C05CB">
            <w:rPr>
              <w:rStyle w:val="Estilo3"/>
              <w:b w:val="0"/>
              <w:bCs/>
              <w:color w:val="000000" w:themeColor="text1"/>
            </w:rPr>
            <w:t>102</w:t>
          </w:r>
          <w:r w:rsidR="00037916" w:rsidRPr="002C05CB">
            <w:rPr>
              <w:rStyle w:val="Estilo3"/>
              <w:b w:val="0"/>
              <w:bCs/>
              <w:color w:val="000000" w:themeColor="text1"/>
            </w:rPr>
            <w:t>43087</w:t>
          </w:r>
          <w:r w:rsidRPr="002C05CB">
            <w:rPr>
              <w:rStyle w:val="Estilo3"/>
              <w:b w:val="0"/>
              <w:bCs/>
              <w:color w:val="000000" w:themeColor="text1"/>
            </w:rPr>
            <w:t xml:space="preserve"> </w:t>
          </w:r>
        </w:sdtContent>
      </w:sdt>
    </w:p>
    <w:p w14:paraId="04D6BA07" w14:textId="7CA1A03B"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Póliza</w:t>
      </w:r>
      <w:r w:rsidRPr="00B71D74">
        <w:rPr>
          <w:rFonts w:ascii="Century Gothic" w:hAnsi="Century Gothic"/>
          <w:color w:val="000000" w:themeColor="text1"/>
        </w:rPr>
        <w:t xml:space="preserve">:  </w:t>
      </w:r>
      <w:sdt>
        <w:sdtPr>
          <w:rPr>
            <w:rFonts w:ascii="Century Gothic" w:hAnsi="Century Gothic"/>
            <w:b/>
            <w:caps/>
            <w:color w:val="000000" w:themeColor="text1"/>
          </w:rPr>
          <w:alias w:val="PÓLIZA"/>
          <w:tag w:val="PÓLIZA"/>
          <w:id w:val="481668139"/>
          <w:placeholder>
            <w:docPart w:val="BB6D70A7F84D45A79C09B46975C26B96"/>
          </w:placeholder>
          <w:text/>
        </w:sdtPr>
        <w:sdtContent>
          <w:r w:rsidR="00FA25B3" w:rsidRPr="00FA25B3">
            <w:rPr>
              <w:rFonts w:ascii="Century Gothic" w:hAnsi="Century Gothic"/>
              <w:b/>
              <w:caps/>
              <w:color w:val="000000" w:themeColor="text1"/>
            </w:rPr>
            <w:t xml:space="preserve">PÓLIZA de </w:t>
          </w:r>
          <w:r w:rsidR="00FA25B3">
            <w:rPr>
              <w:rFonts w:ascii="Century Gothic" w:hAnsi="Century Gothic"/>
              <w:b/>
              <w:caps/>
              <w:color w:val="000000" w:themeColor="text1"/>
            </w:rPr>
            <w:t xml:space="preserve">seguro </w:t>
          </w:r>
          <w:r w:rsidR="00FA25B3" w:rsidRPr="00FA25B3">
            <w:rPr>
              <w:rFonts w:ascii="Century Gothic" w:hAnsi="Century Gothic"/>
              <w:b/>
              <w:caps/>
              <w:color w:val="000000" w:themeColor="text1"/>
            </w:rPr>
            <w:t>rce servicio publico NO. AA075827</w:t>
          </w:r>
          <w:r w:rsidR="00FA25B3">
            <w:rPr>
              <w:rFonts w:ascii="Century Gothic" w:hAnsi="Century Gothic"/>
              <w:b/>
              <w:caps/>
              <w:color w:val="000000" w:themeColor="text1"/>
            </w:rPr>
            <w:t xml:space="preserve"> </w:t>
          </w:r>
        </w:sdtContent>
      </w:sdt>
    </w:p>
    <w:p w14:paraId="3CAB45E1" w14:textId="46CB9531"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Vigencia Afectada</w:t>
      </w:r>
      <w:r w:rsidRPr="00B71D74">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fullDate="2021-10-21T00:00:00Z">
            <w:dateFormat w:val="dd/MM/yyyy"/>
            <w:lid w:val="es-CO"/>
            <w:storeMappedDataAs w:val="dateTime"/>
            <w:calendar w:val="gregorian"/>
          </w:date>
        </w:sdtPr>
        <w:sdtContent>
          <w:r w:rsidR="00037916" w:rsidRPr="00B71D74">
            <w:rPr>
              <w:rFonts w:ascii="Century Gothic" w:hAnsi="Century Gothic"/>
              <w:color w:val="000000" w:themeColor="text1"/>
            </w:rPr>
            <w:t>21</w:t>
          </w:r>
          <w:r w:rsidRPr="00B71D74">
            <w:rPr>
              <w:rFonts w:ascii="Century Gothic" w:hAnsi="Century Gothic"/>
              <w:color w:val="000000" w:themeColor="text1"/>
            </w:rPr>
            <w:t>/1</w:t>
          </w:r>
          <w:r w:rsidR="00037916" w:rsidRPr="00B71D74">
            <w:rPr>
              <w:rFonts w:ascii="Century Gothic" w:hAnsi="Century Gothic"/>
              <w:color w:val="000000" w:themeColor="text1"/>
            </w:rPr>
            <w:t>0</w:t>
          </w:r>
          <w:r w:rsidRPr="00B71D74">
            <w:rPr>
              <w:rFonts w:ascii="Century Gothic" w:hAnsi="Century Gothic"/>
              <w:color w:val="000000" w:themeColor="text1"/>
            </w:rPr>
            <w:t>/20</w:t>
          </w:r>
          <w:r w:rsidR="00037916" w:rsidRPr="00B71D74">
            <w:rPr>
              <w:rFonts w:ascii="Century Gothic" w:hAnsi="Century Gothic"/>
              <w:color w:val="000000" w:themeColor="text1"/>
            </w:rPr>
            <w:t>21</w:t>
          </w:r>
        </w:sdtContent>
      </w:sdt>
      <w:r w:rsidRPr="00B71D74">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fullDate="2022-10-21T00:00:00Z">
            <w:dateFormat w:val="dd/MM/yyyy"/>
            <w:lid w:val="es-CO"/>
            <w:storeMappedDataAs w:val="dateTime"/>
            <w:calendar w:val="gregorian"/>
          </w:date>
        </w:sdtPr>
        <w:sdtContent>
          <w:r w:rsidR="00037916" w:rsidRPr="00B71D74">
            <w:rPr>
              <w:rFonts w:ascii="Century Gothic" w:hAnsi="Century Gothic"/>
              <w:color w:val="000000" w:themeColor="text1"/>
            </w:rPr>
            <w:t>21</w:t>
          </w:r>
          <w:r w:rsidRPr="00B71D74">
            <w:rPr>
              <w:rFonts w:ascii="Century Gothic" w:hAnsi="Century Gothic"/>
              <w:color w:val="000000" w:themeColor="text1"/>
            </w:rPr>
            <w:t>/1</w:t>
          </w:r>
          <w:r w:rsidR="00037916" w:rsidRPr="00B71D74">
            <w:rPr>
              <w:rFonts w:ascii="Century Gothic" w:hAnsi="Century Gothic"/>
              <w:color w:val="000000" w:themeColor="text1"/>
            </w:rPr>
            <w:t>0</w:t>
          </w:r>
          <w:r w:rsidRPr="00B71D74">
            <w:rPr>
              <w:rFonts w:ascii="Century Gothic" w:hAnsi="Century Gothic"/>
              <w:color w:val="000000" w:themeColor="text1"/>
            </w:rPr>
            <w:t>/20</w:t>
          </w:r>
          <w:r w:rsidR="00037916" w:rsidRPr="00B71D74">
            <w:rPr>
              <w:rFonts w:ascii="Century Gothic" w:hAnsi="Century Gothic"/>
              <w:color w:val="000000" w:themeColor="text1"/>
            </w:rPr>
            <w:t>22</w:t>
          </w:r>
        </w:sdtContent>
      </w:sdt>
    </w:p>
    <w:p w14:paraId="11A4B071" w14:textId="77777777"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Ramo</w:t>
      </w:r>
      <w:r w:rsidRPr="00B71D74">
        <w:rPr>
          <w:rFonts w:ascii="Century Gothic" w:hAnsi="Century Gothic"/>
          <w:color w:val="000000" w:themeColor="text1"/>
        </w:rPr>
        <w:t xml:space="preserve">: </w:t>
      </w:r>
      <w:sdt>
        <w:sdtPr>
          <w:rPr>
            <w:rStyle w:val="Estilo3"/>
            <w:b w:val="0"/>
            <w:bCs/>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Pr="002C05CB">
            <w:rPr>
              <w:rStyle w:val="Estilo3"/>
              <w:b w:val="0"/>
              <w:bCs/>
              <w:color w:val="000000" w:themeColor="text1"/>
            </w:rPr>
            <w:t>RCE</w:t>
          </w:r>
        </w:sdtContent>
      </w:sdt>
    </w:p>
    <w:p w14:paraId="7611A182" w14:textId="3018A989"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Agencia Expide</w:t>
      </w:r>
      <w:r w:rsidRPr="00B71D74">
        <w:rPr>
          <w:rFonts w:ascii="Century Gothic" w:hAnsi="Century Gothic"/>
          <w:color w:val="000000" w:themeColor="text1"/>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3253AA" w:rsidRPr="00B71D74">
            <w:rPr>
              <w:rStyle w:val="Estilo3"/>
              <w:b w:val="0"/>
              <w:color w:val="000000" w:themeColor="text1"/>
            </w:rPr>
            <w:t>100005 MEDELLÍN</w:t>
          </w:r>
        </w:sdtContent>
      </w:sdt>
    </w:p>
    <w:p w14:paraId="1D6DFCDA" w14:textId="39994FBE"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Placa</w:t>
      </w:r>
      <w:r w:rsidRPr="00B71D74">
        <w:rPr>
          <w:rFonts w:ascii="Century Gothic" w:hAnsi="Century Gothic"/>
          <w:color w:val="000000" w:themeColor="text1"/>
        </w:rPr>
        <w:t xml:space="preserve">: </w:t>
      </w:r>
      <w:sdt>
        <w:sdtPr>
          <w:rPr>
            <w:rStyle w:val="Estilo3"/>
            <w:b w:val="0"/>
            <w:color w:val="000000" w:themeColor="text1"/>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3253AA" w:rsidRPr="00B71D74">
            <w:rPr>
              <w:rStyle w:val="Estilo3"/>
              <w:color w:val="000000" w:themeColor="text1"/>
            </w:rPr>
            <w:t>STC 413</w:t>
          </w:r>
          <w:r w:rsidRPr="00B71D74">
            <w:rPr>
              <w:rStyle w:val="Estilo3"/>
              <w:color w:val="000000" w:themeColor="text1"/>
            </w:rPr>
            <w:t xml:space="preserve"> </w:t>
          </w:r>
        </w:sdtContent>
      </w:sdt>
    </w:p>
    <w:p w14:paraId="1F89FE28" w14:textId="5065054F"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Valor Asegurado</w:t>
      </w:r>
      <w:r w:rsidRPr="00B71D74">
        <w:rPr>
          <w:rFonts w:ascii="Century Gothic" w:hAnsi="Century Gothic"/>
          <w:color w:val="000000" w:themeColor="text1"/>
        </w:rPr>
        <w:t xml:space="preserve">: </w:t>
      </w:r>
      <w:sdt>
        <w:sdtPr>
          <w:rPr>
            <w:rFonts w:ascii="Century Gothic" w:hAnsi="Century Gothic"/>
            <w:color w:val="000000" w:themeColor="text1"/>
          </w:rPr>
          <w:alias w:val="VALOR"/>
          <w:tag w:val="VALOR"/>
          <w:id w:val="-187528886"/>
          <w:placeholder>
            <w:docPart w:val="968A0E66FC8D4F148DA96A842443FA67"/>
          </w:placeholder>
          <w:text/>
        </w:sdtPr>
        <w:sdtContent>
          <w:r w:rsidR="00DD67B7" w:rsidRPr="00B71D74">
            <w:rPr>
              <w:rFonts w:ascii="Century Gothic" w:hAnsi="Century Gothic"/>
              <w:color w:val="000000" w:themeColor="text1"/>
            </w:rPr>
            <w:t>60 SMMLV</w:t>
          </w:r>
        </w:sdtContent>
      </w:sdt>
    </w:p>
    <w:p w14:paraId="0BE7F889" w14:textId="0C245DD8"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Deducible</w:t>
      </w:r>
      <w:r w:rsidRPr="00B71D74">
        <w:rPr>
          <w:rFonts w:ascii="Century Gothic" w:hAnsi="Century Gothic"/>
          <w:color w:val="000000" w:themeColor="text1"/>
        </w:rPr>
        <w:t xml:space="preserve">:  </w:t>
      </w:r>
      <w:sdt>
        <w:sdtPr>
          <w:rPr>
            <w:rStyle w:val="Estilo3"/>
            <w:b w:val="0"/>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DD67B7" w:rsidRPr="00B71D74">
            <w:rPr>
              <w:rStyle w:val="Estilo3"/>
              <w:color w:val="000000" w:themeColor="text1"/>
            </w:rPr>
            <w:t>0</w:t>
          </w:r>
        </w:sdtContent>
      </w:sdt>
      <w:r w:rsidRPr="00B71D74">
        <w:rPr>
          <w:rFonts w:ascii="Century Gothic" w:hAnsi="Century Gothic"/>
          <w:color w:val="000000" w:themeColor="text1"/>
        </w:rPr>
        <w:t xml:space="preserve">% </w:t>
      </w:r>
    </w:p>
    <w:p w14:paraId="5D36557E" w14:textId="064B2FE8"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Exceso</w:t>
      </w:r>
      <w:r w:rsidRPr="00B71D74">
        <w:rPr>
          <w:rFonts w:ascii="Century Gothic" w:hAnsi="Century Gothic"/>
          <w:color w:val="000000" w:themeColor="text1"/>
        </w:rPr>
        <w:t xml:space="preserve">: </w:t>
      </w: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B71D74">
            <w:rPr>
              <w:rStyle w:val="Estilo3"/>
              <w:color w:val="000000" w:themeColor="text1"/>
            </w:rPr>
            <w:t>NO</w:t>
          </w:r>
        </w:sdtContent>
      </w:sdt>
      <w:r w:rsidRPr="00B71D74">
        <w:rPr>
          <w:rFonts w:ascii="Century Gothic" w:hAnsi="Century Gothic"/>
          <w:color w:val="000000" w:themeColor="text1"/>
        </w:rPr>
        <w:t xml:space="preserve"> </w:t>
      </w:r>
    </w:p>
    <w:p w14:paraId="087AA5AF" w14:textId="77777777" w:rsidR="00906282" w:rsidRPr="00B71D74" w:rsidRDefault="00906282" w:rsidP="00906282">
      <w:pPr>
        <w:spacing w:line="360" w:lineRule="auto"/>
        <w:rPr>
          <w:rFonts w:ascii="Century Gothic" w:hAnsi="Century Gothic"/>
          <w:color w:val="000000" w:themeColor="text1"/>
        </w:rPr>
      </w:pPr>
      <w:r w:rsidRPr="00B71D74">
        <w:rPr>
          <w:rFonts w:ascii="Century Gothic" w:hAnsi="Century Gothic"/>
          <w:b/>
          <w:color w:val="000000" w:themeColor="text1"/>
        </w:rPr>
        <w:t>Contingencia</w:t>
      </w:r>
      <w:r w:rsidRPr="00B71D74">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Pr="00B71D74">
            <w:rPr>
              <w:rStyle w:val="Estilo3"/>
              <w:color w:val="000000" w:themeColor="text1"/>
            </w:rPr>
            <w:t>PROBABLE</w:t>
          </w:r>
        </w:sdtContent>
      </w:sdt>
    </w:p>
    <w:p w14:paraId="0D2479EB" w14:textId="20BE7D05" w:rsidR="00906282" w:rsidRPr="00B71D74" w:rsidRDefault="00906282" w:rsidP="00906282">
      <w:pPr>
        <w:spacing w:line="360" w:lineRule="auto"/>
        <w:jc w:val="both"/>
        <w:rPr>
          <w:rFonts w:ascii="Century Gothic" w:hAnsi="Century Gothic"/>
          <w:color w:val="000000" w:themeColor="text1"/>
        </w:rPr>
      </w:pPr>
      <w:r w:rsidRPr="00B71D74">
        <w:rPr>
          <w:rFonts w:ascii="Century Gothic" w:hAnsi="Century Gothic"/>
          <w:b/>
          <w:color w:val="000000" w:themeColor="text1"/>
        </w:rPr>
        <w:t>Reserva sugerida</w:t>
      </w:r>
      <w:r w:rsidRPr="00B71D74">
        <w:rPr>
          <w:rFonts w:ascii="Century Gothic" w:hAnsi="Century Gothic"/>
          <w:color w:val="000000" w:themeColor="text1"/>
        </w:rPr>
        <w:t>:</w:t>
      </w:r>
      <w:r w:rsidR="00AC00CB" w:rsidRPr="00B71D74">
        <w:rPr>
          <w:rFonts w:ascii="Century Gothic" w:hAnsi="Century Gothic"/>
          <w:color w:val="000000" w:themeColor="text1"/>
        </w:rPr>
        <w:t xml:space="preserve"> </w:t>
      </w:r>
      <w:sdt>
        <w:sdtPr>
          <w:rPr>
            <w:rFonts w:ascii="Century Gothic" w:hAnsi="Century Gothic"/>
            <w:color w:val="000000" w:themeColor="text1"/>
          </w:rPr>
          <w:alias w:val="VALOR"/>
          <w:tag w:val="VALOR"/>
          <w:id w:val="169612294"/>
          <w:placeholder>
            <w:docPart w:val="832641FC25A34669A7634A459E4F9229"/>
          </w:placeholder>
          <w:text/>
        </w:sdtPr>
        <w:sdtContent>
          <w:r w:rsidR="00961BBB" w:rsidRPr="00B71D74">
            <w:rPr>
              <w:rFonts w:ascii="Century Gothic" w:hAnsi="Century Gothic"/>
              <w:color w:val="000000" w:themeColor="text1"/>
            </w:rPr>
            <w:t>$</w:t>
          </w:r>
          <w:r w:rsidR="002C05CB">
            <w:rPr>
              <w:rFonts w:ascii="Century Gothic" w:hAnsi="Century Gothic"/>
              <w:color w:val="000000" w:themeColor="text1"/>
            </w:rPr>
            <w:t>290.800.120</w:t>
          </w:r>
        </w:sdtContent>
      </w:sdt>
    </w:p>
    <w:p w14:paraId="1D972186" w14:textId="6434B44F" w:rsidR="00906282" w:rsidRPr="00B71D74" w:rsidRDefault="00906282" w:rsidP="002C05CB">
      <w:pPr>
        <w:spacing w:line="360" w:lineRule="auto"/>
        <w:jc w:val="both"/>
        <w:rPr>
          <w:rFonts w:ascii="Century Gothic" w:hAnsi="Century Gothic"/>
          <w:color w:val="000000" w:themeColor="text1"/>
        </w:rPr>
      </w:pPr>
      <w:r w:rsidRPr="00B71D74">
        <w:rPr>
          <w:rFonts w:ascii="Century Gothic" w:hAnsi="Century Gothic"/>
          <w:b/>
          <w:bCs/>
          <w:color w:val="000000" w:themeColor="text1"/>
        </w:rPr>
        <w:t>Concepto del Apoderado designado para el caso</w:t>
      </w:r>
      <w:r w:rsidRPr="00B71D74">
        <w:rPr>
          <w:rFonts w:ascii="Century Gothic" w:hAnsi="Century Gothic"/>
          <w:color w:val="000000" w:themeColor="text1"/>
        </w:rPr>
        <w:t xml:space="preserve">:  </w:t>
      </w:r>
      <w:sdt>
        <w:sdtPr>
          <w:rPr>
            <w:rFonts w:ascii="Century Gothic" w:eastAsia="Calibri" w:hAnsi="Century Gothic" w:cs="Calibri"/>
            <w:color w:val="000000" w:themeColor="text1"/>
            <w:lang w:eastAsia="ja-JP"/>
          </w:rPr>
          <w:alias w:val="CONCEPTO"/>
          <w:tag w:val="CONCEPTO"/>
          <w:id w:val="1861537587"/>
          <w:placeholder>
            <w:docPart w:val="DAAC124E38E7469E8D00AB9F63941AF3"/>
          </w:placeholder>
          <w:text/>
        </w:sdtPr>
        <w:sdtContent>
          <w:r w:rsidR="00022735" w:rsidRPr="002C05CB">
            <w:rPr>
              <w:rFonts w:ascii="Century Gothic" w:eastAsia="Calibri" w:hAnsi="Century Gothic" w:cs="Calibri"/>
              <w:color w:val="000000" w:themeColor="text1"/>
              <w:lang w:eastAsia="ja-JP"/>
            </w:rPr>
            <w:t xml:space="preserve">La contingencia se califica como PROBABLE, ya que el contrato de seguro presta cobertura material y temporal. </w:t>
          </w:r>
          <w:r w:rsidR="002C05CB" w:rsidRPr="002C05CB">
            <w:rPr>
              <w:rFonts w:ascii="Century Gothic" w:eastAsia="Calibri" w:hAnsi="Century Gothic" w:cs="Calibri"/>
              <w:color w:val="000000" w:themeColor="text1"/>
              <w:lang w:eastAsia="ja-JP"/>
            </w:rPr>
            <w:t>Además,</w:t>
          </w:r>
          <w:r w:rsidR="00022735" w:rsidRPr="002C05CB">
            <w:rPr>
              <w:rFonts w:ascii="Century Gothic" w:eastAsia="Calibri" w:hAnsi="Century Gothic" w:cs="Calibri"/>
              <w:color w:val="000000" w:themeColor="text1"/>
              <w:lang w:eastAsia="ja-JP"/>
            </w:rPr>
            <w:t xml:space="preserve"> porque la responsabilidad del asegurado se encuentra demostrada.   </w:t>
          </w:r>
          <w:r w:rsidR="00022735" w:rsidRPr="002C05CB">
            <w:rPr>
              <w:rFonts w:ascii="Century Gothic" w:eastAsia="Calibri" w:hAnsi="Century Gothic" w:cs="Calibri"/>
              <w:color w:val="000000" w:themeColor="text1"/>
              <w:lang w:eastAsia="ja-JP"/>
            </w:rPr>
            <w:br/>
          </w:r>
          <w:r w:rsidR="00022735" w:rsidRPr="002C05CB">
            <w:rPr>
              <w:rFonts w:ascii="Century Gothic" w:eastAsia="Calibri" w:hAnsi="Century Gothic" w:cs="Calibri"/>
              <w:color w:val="000000" w:themeColor="text1"/>
              <w:lang w:eastAsia="ja-JP"/>
            </w:rPr>
            <w:lastRenderedPageBreak/>
            <w:br/>
            <w:t>Lo primero que debe tenerse en cuenta es que la PÓLIZA DE SEGURO RCE SERVICIO PUBLICO NO. AA075827, cuyo asegurado</w:t>
          </w:r>
          <w:r w:rsidR="00D97290" w:rsidRPr="002C05CB">
            <w:rPr>
              <w:rFonts w:ascii="Century Gothic" w:eastAsia="Calibri" w:hAnsi="Century Gothic" w:cs="Calibri"/>
              <w:color w:val="000000" w:themeColor="text1"/>
              <w:lang w:eastAsia="ja-JP"/>
            </w:rPr>
            <w:t xml:space="preserve"> es</w:t>
          </w:r>
          <w:r w:rsidR="00022735" w:rsidRPr="002C05CB">
            <w:rPr>
              <w:rFonts w:ascii="Century Gothic" w:eastAsia="Calibri" w:hAnsi="Century Gothic" w:cs="Calibri"/>
              <w:color w:val="000000" w:themeColor="text1"/>
              <w:lang w:eastAsia="ja-JP"/>
            </w:rPr>
            <w:t xml:space="preserve"> el señor Jorge Eliecer Vélez Ramírez, presta cobertura material </w:t>
          </w:r>
          <w:r w:rsidR="00D97290" w:rsidRPr="002C05CB">
            <w:rPr>
              <w:rFonts w:ascii="Century Gothic" w:eastAsia="Calibri" w:hAnsi="Century Gothic" w:cs="Calibri"/>
              <w:color w:val="000000" w:themeColor="text1"/>
              <w:lang w:eastAsia="ja-JP"/>
            </w:rPr>
            <w:t>y temporal a los hechos materia del litigio</w:t>
          </w:r>
          <w:r w:rsidR="00022735" w:rsidRPr="002C05CB">
            <w:rPr>
              <w:rFonts w:ascii="Century Gothic" w:eastAsia="Calibri" w:hAnsi="Century Gothic" w:cs="Calibri"/>
              <w:color w:val="000000" w:themeColor="text1"/>
              <w:lang w:eastAsia="ja-JP"/>
            </w:rPr>
            <w:t>. Frente a la cobertura temporal, debe decirse que</w:t>
          </w:r>
          <w:r w:rsidR="00D97290" w:rsidRPr="002C05CB">
            <w:rPr>
              <w:rFonts w:ascii="Century Gothic" w:eastAsia="Calibri" w:hAnsi="Century Gothic" w:cs="Calibri"/>
              <w:color w:val="000000" w:themeColor="text1"/>
              <w:lang w:eastAsia="ja-JP"/>
            </w:rPr>
            <w:t xml:space="preserve"> el hecho, esto es, el accidente de tránsito </w:t>
          </w:r>
          <w:r w:rsidR="00F4417B" w:rsidRPr="002C05CB">
            <w:rPr>
              <w:rFonts w:ascii="Century Gothic" w:eastAsia="Calibri" w:hAnsi="Century Gothic" w:cs="Calibri"/>
              <w:color w:val="000000" w:themeColor="text1"/>
              <w:lang w:eastAsia="ja-JP"/>
            </w:rPr>
            <w:t xml:space="preserve">en el que perdió la vida el señor PEDRO MANUEL FUNE PARRA (Q.E.P.D), </w:t>
          </w:r>
          <w:r w:rsidR="008B6676" w:rsidRPr="002C05CB">
            <w:rPr>
              <w:rFonts w:ascii="Century Gothic" w:eastAsia="Calibri" w:hAnsi="Century Gothic" w:cs="Calibri"/>
              <w:color w:val="000000" w:themeColor="text1"/>
              <w:lang w:eastAsia="ja-JP"/>
            </w:rPr>
            <w:t xml:space="preserve">acaecido el 26 de diciembre de 2021, ocurrió dentro de la vigencia </w:t>
          </w:r>
          <w:r w:rsidR="007B76F9" w:rsidRPr="002C05CB">
            <w:rPr>
              <w:rFonts w:ascii="Century Gothic" w:eastAsia="Calibri" w:hAnsi="Century Gothic" w:cs="Calibri"/>
              <w:color w:val="000000" w:themeColor="text1"/>
              <w:lang w:eastAsia="ja-JP"/>
            </w:rPr>
            <w:t xml:space="preserve">de la póliza </w:t>
          </w:r>
          <w:r w:rsidR="008B6676" w:rsidRPr="002C05CB">
            <w:rPr>
              <w:rFonts w:ascii="Century Gothic" w:eastAsia="Calibri" w:hAnsi="Century Gothic" w:cs="Calibri"/>
              <w:color w:val="000000" w:themeColor="text1"/>
              <w:lang w:eastAsia="ja-JP"/>
            </w:rPr>
            <w:t xml:space="preserve">comprendida </w:t>
          </w:r>
          <w:r w:rsidR="00022735" w:rsidRPr="002C05CB">
            <w:rPr>
              <w:rFonts w:ascii="Century Gothic" w:eastAsia="Calibri" w:hAnsi="Century Gothic" w:cs="Calibri"/>
              <w:color w:val="000000" w:themeColor="text1"/>
              <w:lang w:eastAsia="ja-JP"/>
            </w:rPr>
            <w:t>entre el 21 de octubre de 2021 y el 21 de octubre de 2022</w:t>
          </w:r>
          <w:r w:rsidR="008B6676" w:rsidRPr="002C05CB">
            <w:rPr>
              <w:rFonts w:ascii="Century Gothic" w:eastAsia="Calibri" w:hAnsi="Century Gothic" w:cs="Calibri"/>
              <w:color w:val="000000" w:themeColor="text1"/>
              <w:lang w:eastAsia="ja-JP"/>
            </w:rPr>
            <w:t>.</w:t>
          </w:r>
          <w:r w:rsidR="00F4417B" w:rsidRPr="002C05CB">
            <w:rPr>
              <w:rFonts w:ascii="Century Gothic" w:eastAsia="Calibri" w:hAnsi="Century Gothic" w:cs="Calibri"/>
              <w:color w:val="000000" w:themeColor="text1"/>
              <w:lang w:eastAsia="ja-JP"/>
            </w:rPr>
            <w:t xml:space="preserve"> </w:t>
          </w:r>
          <w:r w:rsidR="00D65668" w:rsidRPr="002C05CB">
            <w:rPr>
              <w:rFonts w:ascii="Century Gothic" w:eastAsia="Calibri" w:hAnsi="Century Gothic" w:cs="Calibri"/>
              <w:color w:val="000000" w:themeColor="text1"/>
              <w:lang w:eastAsia="ja-JP"/>
            </w:rPr>
            <w:t>Aunado a ello, presta cobertura material en cuanto ampara la responsabilidad civil extracontractual, pretensión que se le endilga al asegurado.</w:t>
          </w:r>
          <w:r w:rsidR="008B6676" w:rsidRPr="002C05CB">
            <w:rPr>
              <w:rFonts w:ascii="Century Gothic" w:eastAsia="Calibri" w:hAnsi="Century Gothic" w:cs="Calibri"/>
              <w:color w:val="000000" w:themeColor="text1"/>
              <w:lang w:eastAsia="ja-JP"/>
            </w:rPr>
            <w:br/>
          </w:r>
          <w:r w:rsidR="008B6676" w:rsidRPr="002C05CB">
            <w:rPr>
              <w:rFonts w:ascii="Century Gothic" w:eastAsia="Calibri" w:hAnsi="Century Gothic" w:cs="Calibri"/>
              <w:color w:val="000000" w:themeColor="text1"/>
              <w:lang w:eastAsia="ja-JP"/>
            </w:rPr>
            <w:br/>
          </w:r>
          <w:r w:rsidR="00022735" w:rsidRPr="002C05CB">
            <w:rPr>
              <w:rFonts w:ascii="Century Gothic" w:eastAsia="Calibri" w:hAnsi="Century Gothic" w:cs="Calibri"/>
              <w:color w:val="000000" w:themeColor="text1"/>
              <w:lang w:eastAsia="ja-JP"/>
            </w:rPr>
            <w:t>Por otro lado, frente a la responsabilidad del asegurado debe decirse que</w:t>
          </w:r>
          <w:r w:rsidR="00C64619" w:rsidRPr="002C05CB">
            <w:rPr>
              <w:rFonts w:ascii="Century Gothic" w:eastAsia="Calibri" w:hAnsi="Century Gothic" w:cs="Calibri"/>
              <w:color w:val="000000" w:themeColor="text1"/>
              <w:lang w:eastAsia="ja-JP"/>
            </w:rPr>
            <w:t xml:space="preserve">, si bien </w:t>
          </w:r>
          <w:r w:rsidR="00736DB4" w:rsidRPr="002C05CB">
            <w:rPr>
              <w:rFonts w:ascii="Century Gothic" w:eastAsia="Calibri" w:hAnsi="Century Gothic" w:cs="Calibri"/>
              <w:color w:val="000000" w:themeColor="text1"/>
              <w:lang w:eastAsia="ja-JP"/>
            </w:rPr>
            <w:t xml:space="preserve">en el </w:t>
          </w:r>
          <w:r w:rsidR="00C64619" w:rsidRPr="002C05CB">
            <w:rPr>
              <w:rFonts w:ascii="Century Gothic" w:eastAsia="Calibri" w:hAnsi="Century Gothic" w:cs="Calibri"/>
              <w:color w:val="000000" w:themeColor="text1"/>
              <w:lang w:eastAsia="ja-JP"/>
            </w:rPr>
            <w:t>Informe Policial de Accidente de Tránsito no se codificó hipótesis alguna a los conductores involucrados</w:t>
          </w:r>
          <w:r w:rsidR="00736DB4" w:rsidRPr="002C05CB">
            <w:rPr>
              <w:rFonts w:ascii="Century Gothic" w:eastAsia="Calibri" w:hAnsi="Century Gothic" w:cs="Calibri"/>
              <w:color w:val="000000" w:themeColor="text1"/>
              <w:lang w:eastAsia="ja-JP"/>
            </w:rPr>
            <w:t>,</w:t>
          </w:r>
          <w:r w:rsidR="00022735" w:rsidRPr="002C05CB">
            <w:rPr>
              <w:rFonts w:ascii="Century Gothic" w:eastAsia="Calibri" w:hAnsi="Century Gothic" w:cs="Calibri"/>
              <w:color w:val="000000" w:themeColor="text1"/>
              <w:lang w:eastAsia="ja-JP"/>
            </w:rPr>
            <w:t xml:space="preserve"> </w:t>
          </w:r>
          <w:r w:rsidR="00736DB4" w:rsidRPr="002C05CB">
            <w:rPr>
              <w:rFonts w:ascii="Century Gothic" w:eastAsia="Calibri" w:hAnsi="Century Gothic" w:cs="Calibri"/>
              <w:color w:val="000000" w:themeColor="text1"/>
              <w:lang w:eastAsia="ja-JP"/>
            </w:rPr>
            <w:t>debe decirse que dentro</w:t>
          </w:r>
          <w:r w:rsidR="00022735" w:rsidRPr="002C05CB">
            <w:rPr>
              <w:rFonts w:ascii="Century Gothic" w:eastAsia="Calibri" w:hAnsi="Century Gothic" w:cs="Calibri"/>
              <w:color w:val="000000" w:themeColor="text1"/>
              <w:lang w:eastAsia="ja-JP"/>
            </w:rPr>
            <w:t xml:space="preserve"> del proceso contravencional</w:t>
          </w:r>
          <w:r w:rsidR="008D037D" w:rsidRPr="002C05CB">
            <w:rPr>
              <w:rFonts w:ascii="Century Gothic" w:eastAsia="Calibri" w:hAnsi="Century Gothic" w:cs="Calibri"/>
              <w:color w:val="000000" w:themeColor="text1"/>
              <w:lang w:eastAsia="ja-JP"/>
            </w:rPr>
            <w:t xml:space="preserve"> se atribuyó responsabilidad a ambos conductores </w:t>
          </w:r>
          <w:r w:rsidR="00FD4D8C" w:rsidRPr="002C05CB">
            <w:rPr>
              <w:rFonts w:ascii="Century Gothic" w:eastAsia="Calibri" w:hAnsi="Century Gothic" w:cs="Calibri"/>
              <w:color w:val="000000" w:themeColor="text1"/>
              <w:lang w:eastAsia="ja-JP"/>
            </w:rPr>
            <w:t>por desconocer las normas de tránsito</w:t>
          </w:r>
          <w:r w:rsidR="00022735" w:rsidRPr="002C05CB">
            <w:rPr>
              <w:rFonts w:ascii="Century Gothic" w:eastAsia="Calibri" w:hAnsi="Century Gothic" w:cs="Calibri"/>
              <w:color w:val="000000" w:themeColor="text1"/>
              <w:lang w:eastAsia="ja-JP"/>
            </w:rPr>
            <w:t>.</w:t>
          </w:r>
          <w:r w:rsidR="00FD4D8C" w:rsidRPr="002C05CB">
            <w:rPr>
              <w:rFonts w:ascii="Century Gothic" w:eastAsia="Calibri" w:hAnsi="Century Gothic" w:cs="Calibri"/>
              <w:color w:val="000000" w:themeColor="text1"/>
              <w:lang w:eastAsia="ja-JP"/>
            </w:rPr>
            <w:t xml:space="preserve"> Aunado a ello</w:t>
          </w:r>
          <w:r w:rsidR="003B4600" w:rsidRPr="002C05CB">
            <w:rPr>
              <w:rFonts w:ascii="Century Gothic" w:eastAsia="Calibri" w:hAnsi="Century Gothic" w:cs="Calibri"/>
              <w:color w:val="000000" w:themeColor="text1"/>
              <w:lang w:eastAsia="ja-JP"/>
            </w:rPr>
            <w:t>, con el RAT elaborado por IRS</w:t>
          </w:r>
          <w:r w:rsidR="00C8403B" w:rsidRPr="002C05CB">
            <w:rPr>
              <w:rFonts w:ascii="Century Gothic" w:eastAsia="Calibri" w:hAnsi="Century Gothic" w:cs="Calibri"/>
              <w:color w:val="000000" w:themeColor="text1"/>
              <w:lang w:eastAsia="ja-JP"/>
            </w:rPr>
            <w:t xml:space="preserve"> </w:t>
          </w:r>
          <w:r w:rsidR="003B4600" w:rsidRPr="002C05CB">
            <w:rPr>
              <w:rFonts w:ascii="Century Gothic" w:eastAsia="Calibri" w:hAnsi="Century Gothic" w:cs="Calibri"/>
              <w:color w:val="000000" w:themeColor="text1"/>
              <w:lang w:eastAsia="ja-JP"/>
            </w:rPr>
            <w:t xml:space="preserve">VIAL a solicitud de la compañía </w:t>
          </w:r>
          <w:r w:rsidR="00022735" w:rsidRPr="002C05CB">
            <w:rPr>
              <w:rFonts w:ascii="Century Gothic" w:eastAsia="Calibri" w:hAnsi="Century Gothic" w:cs="Calibri"/>
              <w:color w:val="000000" w:themeColor="text1"/>
              <w:lang w:eastAsia="ja-JP"/>
            </w:rPr>
            <w:t xml:space="preserve">se </w:t>
          </w:r>
          <w:r w:rsidR="003B4600" w:rsidRPr="002C05CB">
            <w:rPr>
              <w:rFonts w:ascii="Century Gothic" w:eastAsia="Calibri" w:hAnsi="Century Gothic" w:cs="Calibri"/>
              <w:color w:val="000000" w:themeColor="text1"/>
              <w:lang w:eastAsia="ja-JP"/>
            </w:rPr>
            <w:t xml:space="preserve">determinó </w:t>
          </w:r>
          <w:r w:rsidR="00022735" w:rsidRPr="002C05CB">
            <w:rPr>
              <w:rFonts w:ascii="Century Gothic" w:eastAsia="Calibri" w:hAnsi="Century Gothic" w:cs="Calibri"/>
              <w:color w:val="000000" w:themeColor="text1"/>
              <w:lang w:eastAsia="ja-JP"/>
            </w:rPr>
            <w:t xml:space="preserve">que el vehículo asegurado </w:t>
          </w:r>
          <w:r w:rsidR="00C8403B" w:rsidRPr="002C05CB">
            <w:rPr>
              <w:rFonts w:ascii="Century Gothic" w:eastAsia="Calibri" w:hAnsi="Century Gothic" w:cs="Calibri"/>
              <w:color w:val="000000" w:themeColor="text1"/>
              <w:lang w:eastAsia="ja-JP"/>
            </w:rPr>
            <w:t>transitaba con</w:t>
          </w:r>
          <w:r w:rsidR="00022735" w:rsidRPr="002C05CB">
            <w:rPr>
              <w:rFonts w:ascii="Century Gothic" w:eastAsia="Calibri" w:hAnsi="Century Gothic" w:cs="Calibri"/>
              <w:color w:val="000000" w:themeColor="text1"/>
              <w:lang w:eastAsia="ja-JP"/>
            </w:rPr>
            <w:t xml:space="preserve"> exceso de velocidad, </w:t>
          </w:r>
          <w:r w:rsidR="00C8403B" w:rsidRPr="002C05CB">
            <w:rPr>
              <w:rFonts w:ascii="Century Gothic" w:eastAsia="Calibri" w:hAnsi="Century Gothic" w:cs="Calibri"/>
              <w:color w:val="000000" w:themeColor="text1"/>
              <w:lang w:eastAsia="ja-JP"/>
            </w:rPr>
            <w:t>circunstancia que se convalida con el material fílmico que obra al interior del expediente.</w:t>
          </w:r>
          <w:r w:rsidR="00A30E14" w:rsidRPr="002C05CB">
            <w:rPr>
              <w:rFonts w:ascii="Century Gothic" w:eastAsia="Calibri" w:hAnsi="Century Gothic" w:cs="Calibri"/>
              <w:color w:val="000000" w:themeColor="text1"/>
              <w:lang w:eastAsia="ja-JP"/>
            </w:rPr>
            <w:t xml:space="preserve"> Por lo anterior, es claro que</w:t>
          </w:r>
          <w:r w:rsidR="00022735" w:rsidRPr="002C05CB">
            <w:rPr>
              <w:rFonts w:ascii="Century Gothic" w:eastAsia="Calibri" w:hAnsi="Century Gothic" w:cs="Calibri"/>
              <w:color w:val="000000" w:themeColor="text1"/>
              <w:lang w:eastAsia="ja-JP"/>
            </w:rPr>
            <w:t xml:space="preserve"> </w:t>
          </w:r>
          <w:r w:rsidR="00A30E14" w:rsidRPr="002C05CB">
            <w:rPr>
              <w:rFonts w:ascii="Century Gothic" w:eastAsia="Calibri" w:hAnsi="Century Gothic" w:cs="Calibri"/>
              <w:color w:val="000000" w:themeColor="text1"/>
              <w:lang w:eastAsia="ja-JP"/>
            </w:rPr>
            <w:t xml:space="preserve">la responsabilidad del conductor del vehículo asegurado quedó demostrada sin que existan elementos de prueba que permitan </w:t>
          </w:r>
          <w:r w:rsidR="006E5141" w:rsidRPr="002C05CB">
            <w:rPr>
              <w:rFonts w:ascii="Century Gothic" w:eastAsia="Calibri" w:hAnsi="Century Gothic" w:cs="Calibri"/>
              <w:color w:val="000000" w:themeColor="text1"/>
              <w:lang w:eastAsia="ja-JP"/>
            </w:rPr>
            <w:t>establecer lo contrario.</w:t>
          </w:r>
          <w:r w:rsidR="004F46BE" w:rsidRPr="002C05CB">
            <w:rPr>
              <w:rFonts w:ascii="Century Gothic" w:eastAsia="Calibri" w:hAnsi="Century Gothic" w:cs="Calibri"/>
              <w:color w:val="000000" w:themeColor="text1"/>
              <w:lang w:eastAsia="ja-JP"/>
            </w:rPr>
            <w:br/>
          </w:r>
          <w:r w:rsidR="004F46BE" w:rsidRPr="002C05CB">
            <w:rPr>
              <w:rFonts w:ascii="Century Gothic" w:eastAsia="Calibri" w:hAnsi="Century Gothic" w:cs="Calibri"/>
              <w:color w:val="000000" w:themeColor="text1"/>
              <w:lang w:eastAsia="ja-JP"/>
            </w:rPr>
            <w:br/>
          </w:r>
          <w:r w:rsidR="008F712A" w:rsidRPr="002C05CB">
            <w:rPr>
              <w:rFonts w:ascii="Century Gothic" w:eastAsia="Calibri" w:hAnsi="Century Gothic" w:cs="Calibri"/>
              <w:color w:val="000000" w:themeColor="text1"/>
              <w:lang w:eastAsia="ja-JP"/>
            </w:rPr>
            <w:t>Todo lo anterior sin perjuicio del</w:t>
          </w:r>
          <w:r w:rsidR="00022735" w:rsidRPr="002C05CB">
            <w:rPr>
              <w:rFonts w:ascii="Century Gothic" w:eastAsia="Calibri" w:hAnsi="Century Gothic" w:cs="Calibri"/>
              <w:color w:val="000000" w:themeColor="text1"/>
              <w:lang w:eastAsia="ja-JP"/>
            </w:rPr>
            <w:t xml:space="preserve"> carácter contingente del proceso.  </w:t>
          </w:r>
        </w:sdtContent>
      </w:sdt>
    </w:p>
    <w:p w14:paraId="503C34FB" w14:textId="77777777" w:rsidR="00714849" w:rsidRPr="00B71D74" w:rsidRDefault="00714849" w:rsidP="00906282">
      <w:pPr>
        <w:spacing w:line="360" w:lineRule="auto"/>
        <w:rPr>
          <w:rFonts w:ascii="Century Gothic" w:hAnsi="Century Gothic"/>
          <w:bCs/>
          <w:color w:val="000000" w:themeColor="text1"/>
        </w:rPr>
      </w:pPr>
    </w:p>
    <w:p w14:paraId="30C958B3" w14:textId="77777777" w:rsidR="00906282" w:rsidRPr="00B71D74" w:rsidRDefault="00906282" w:rsidP="00906282">
      <w:pPr>
        <w:spacing w:line="360" w:lineRule="auto"/>
        <w:rPr>
          <w:rFonts w:ascii="Century Gothic" w:hAnsi="Century Gothic"/>
          <w:bCs/>
          <w:color w:val="000000" w:themeColor="text1"/>
        </w:rPr>
      </w:pPr>
      <w:r w:rsidRPr="00B71D74">
        <w:rPr>
          <w:rFonts w:ascii="Century Gothic" w:hAnsi="Century Gothic"/>
          <w:bCs/>
          <w:color w:val="000000" w:themeColor="text1"/>
        </w:rPr>
        <w:t xml:space="preserve">Firma: </w:t>
      </w:r>
    </w:p>
    <w:p w14:paraId="375CAADD" w14:textId="77777777" w:rsidR="00906282" w:rsidRPr="00B71D74" w:rsidRDefault="00906282" w:rsidP="00906282">
      <w:pPr>
        <w:spacing w:after="0" w:line="360" w:lineRule="auto"/>
        <w:rPr>
          <w:rFonts w:ascii="Century Gothic" w:hAnsi="Century Gothic"/>
          <w:color w:val="000000" w:themeColor="text1"/>
        </w:rPr>
      </w:pPr>
    </w:p>
    <w:p w14:paraId="79139FF9" w14:textId="77777777" w:rsidR="00906282" w:rsidRPr="00B71D74" w:rsidRDefault="00906282" w:rsidP="00906282">
      <w:pPr>
        <w:spacing w:after="0" w:line="300" w:lineRule="auto"/>
        <w:rPr>
          <w:rFonts w:ascii="Century Gothic" w:hAnsi="Century Gothic"/>
          <w:bCs/>
          <w:color w:val="000000" w:themeColor="text1"/>
        </w:rPr>
      </w:pPr>
      <w:r w:rsidRPr="00B71D74">
        <w:rPr>
          <w:rFonts w:ascii="Century Gothic" w:hAnsi="Century Gothic"/>
          <w:bCs/>
          <w:color w:val="000000" w:themeColor="text1"/>
        </w:rPr>
        <w:t>________________________</w:t>
      </w:r>
    </w:p>
    <w:p w14:paraId="00ECFC70" w14:textId="77777777" w:rsidR="00906282" w:rsidRPr="00B71D74" w:rsidRDefault="00906282" w:rsidP="00906282">
      <w:pPr>
        <w:spacing w:line="300" w:lineRule="auto"/>
        <w:rPr>
          <w:rFonts w:ascii="Century Gothic" w:hAnsi="Century Gothic"/>
          <w:bCs/>
          <w:color w:val="000000" w:themeColor="text1"/>
        </w:rPr>
      </w:pPr>
      <w:r w:rsidRPr="00B71D74">
        <w:rPr>
          <w:rFonts w:ascii="Century Gothic" w:hAnsi="Century Gothic"/>
          <w:bCs/>
          <w:color w:val="000000" w:themeColor="text1"/>
        </w:rPr>
        <w:t xml:space="preserve">Abogado </w:t>
      </w:r>
    </w:p>
    <w:p w14:paraId="06526756" w14:textId="77777777" w:rsidR="000F0821" w:rsidRPr="00B71D74" w:rsidRDefault="000F0821" w:rsidP="000F0821">
      <w:pPr>
        <w:rPr>
          <w:rFonts w:ascii="Century Gothic" w:eastAsia="Times New Roman" w:hAnsi="Century Gothic"/>
          <w:color w:val="000000" w:themeColor="text1"/>
        </w:rPr>
      </w:pPr>
    </w:p>
    <w:sectPr w:rsidR="000F0821" w:rsidRPr="00B71D7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69981" w14:textId="77777777" w:rsidR="00A1490E" w:rsidRDefault="00A1490E" w:rsidP="00F361C1">
      <w:pPr>
        <w:spacing w:after="0" w:line="240" w:lineRule="auto"/>
      </w:pPr>
      <w:r>
        <w:separator/>
      </w:r>
    </w:p>
  </w:endnote>
  <w:endnote w:type="continuationSeparator" w:id="0">
    <w:p w14:paraId="3A655D8E" w14:textId="77777777" w:rsidR="00A1490E" w:rsidRDefault="00A1490E" w:rsidP="00F361C1">
      <w:pPr>
        <w:spacing w:after="0" w:line="240" w:lineRule="auto"/>
      </w:pPr>
      <w:r>
        <w:continuationSeparator/>
      </w:r>
    </w:p>
  </w:endnote>
  <w:endnote w:type="continuationNotice" w:id="1">
    <w:p w14:paraId="163E5096" w14:textId="77777777" w:rsidR="00A1490E" w:rsidRDefault="00A14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907C0" w14:textId="77777777" w:rsidR="00A1490E" w:rsidRDefault="00A1490E" w:rsidP="00F361C1">
      <w:pPr>
        <w:spacing w:after="0" w:line="240" w:lineRule="auto"/>
      </w:pPr>
      <w:r>
        <w:separator/>
      </w:r>
    </w:p>
  </w:footnote>
  <w:footnote w:type="continuationSeparator" w:id="0">
    <w:p w14:paraId="08EA3753" w14:textId="77777777" w:rsidR="00A1490E" w:rsidRDefault="00A1490E" w:rsidP="00F361C1">
      <w:pPr>
        <w:spacing w:after="0" w:line="240" w:lineRule="auto"/>
      </w:pPr>
      <w:r>
        <w:continuationSeparator/>
      </w:r>
    </w:p>
  </w:footnote>
  <w:footnote w:type="continuationNotice" w:id="1">
    <w:p w14:paraId="21CADA3B" w14:textId="77777777" w:rsidR="00A1490E" w:rsidRDefault="00A14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0F26"/>
    <w:multiLevelType w:val="multilevel"/>
    <w:tmpl w:val="A634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129214">
    <w:abstractNumId w:val="1"/>
  </w:num>
  <w:num w:numId="2" w16cid:durableId="2015377537">
    <w:abstractNumId w:val="2"/>
  </w:num>
  <w:num w:numId="3" w16cid:durableId="1569464008">
    <w:abstractNumId w:val="3"/>
  </w:num>
  <w:num w:numId="4" w16cid:durableId="145085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22735"/>
    <w:rsid w:val="00037916"/>
    <w:rsid w:val="00041DFD"/>
    <w:rsid w:val="000A5E68"/>
    <w:rsid w:val="000F0821"/>
    <w:rsid w:val="00101BEF"/>
    <w:rsid w:val="0011517E"/>
    <w:rsid w:val="001358C5"/>
    <w:rsid w:val="0016387B"/>
    <w:rsid w:val="00170DFF"/>
    <w:rsid w:val="001B5729"/>
    <w:rsid w:val="001E7963"/>
    <w:rsid w:val="001F5A86"/>
    <w:rsid w:val="00217582"/>
    <w:rsid w:val="00225AC7"/>
    <w:rsid w:val="00237FE1"/>
    <w:rsid w:val="002473CC"/>
    <w:rsid w:val="002917FF"/>
    <w:rsid w:val="002A7F51"/>
    <w:rsid w:val="002B795C"/>
    <w:rsid w:val="002C05CB"/>
    <w:rsid w:val="002D0571"/>
    <w:rsid w:val="002E424C"/>
    <w:rsid w:val="002E6DB4"/>
    <w:rsid w:val="003253AA"/>
    <w:rsid w:val="003377F2"/>
    <w:rsid w:val="00375DE6"/>
    <w:rsid w:val="003B4600"/>
    <w:rsid w:val="0042794B"/>
    <w:rsid w:val="004B44D4"/>
    <w:rsid w:val="004C2467"/>
    <w:rsid w:val="004F46BE"/>
    <w:rsid w:val="00546A25"/>
    <w:rsid w:val="0055109D"/>
    <w:rsid w:val="00577247"/>
    <w:rsid w:val="005848BD"/>
    <w:rsid w:val="005E5452"/>
    <w:rsid w:val="006021B6"/>
    <w:rsid w:val="00617042"/>
    <w:rsid w:val="00645581"/>
    <w:rsid w:val="0066334A"/>
    <w:rsid w:val="00665293"/>
    <w:rsid w:val="006763E7"/>
    <w:rsid w:val="00697ED4"/>
    <w:rsid w:val="006B280A"/>
    <w:rsid w:val="006E5141"/>
    <w:rsid w:val="00714849"/>
    <w:rsid w:val="00726F98"/>
    <w:rsid w:val="00730BF7"/>
    <w:rsid w:val="0073155D"/>
    <w:rsid w:val="00736DB4"/>
    <w:rsid w:val="00743AC2"/>
    <w:rsid w:val="00772DEF"/>
    <w:rsid w:val="007B76F9"/>
    <w:rsid w:val="007C7CAA"/>
    <w:rsid w:val="008278C1"/>
    <w:rsid w:val="00891322"/>
    <w:rsid w:val="008A6468"/>
    <w:rsid w:val="008B408B"/>
    <w:rsid w:val="008B6676"/>
    <w:rsid w:val="008D037D"/>
    <w:rsid w:val="008F712A"/>
    <w:rsid w:val="00906282"/>
    <w:rsid w:val="0092241F"/>
    <w:rsid w:val="00961BBB"/>
    <w:rsid w:val="00993B48"/>
    <w:rsid w:val="009D04F8"/>
    <w:rsid w:val="009E220C"/>
    <w:rsid w:val="009E35BC"/>
    <w:rsid w:val="00A1490E"/>
    <w:rsid w:val="00A30E14"/>
    <w:rsid w:val="00A71964"/>
    <w:rsid w:val="00AC00CB"/>
    <w:rsid w:val="00AD309F"/>
    <w:rsid w:val="00B0056D"/>
    <w:rsid w:val="00B04BBF"/>
    <w:rsid w:val="00B23310"/>
    <w:rsid w:val="00B4416D"/>
    <w:rsid w:val="00B524ED"/>
    <w:rsid w:val="00B57286"/>
    <w:rsid w:val="00B61F79"/>
    <w:rsid w:val="00B71D74"/>
    <w:rsid w:val="00B82002"/>
    <w:rsid w:val="00B92704"/>
    <w:rsid w:val="00B95E36"/>
    <w:rsid w:val="00BA2943"/>
    <w:rsid w:val="00BE3FA9"/>
    <w:rsid w:val="00BE65F8"/>
    <w:rsid w:val="00BF1FA7"/>
    <w:rsid w:val="00BF6737"/>
    <w:rsid w:val="00C05943"/>
    <w:rsid w:val="00C64619"/>
    <w:rsid w:val="00C74F3D"/>
    <w:rsid w:val="00C8403B"/>
    <w:rsid w:val="00C97BDB"/>
    <w:rsid w:val="00CE6437"/>
    <w:rsid w:val="00D0158D"/>
    <w:rsid w:val="00D16CE4"/>
    <w:rsid w:val="00D65668"/>
    <w:rsid w:val="00D87C88"/>
    <w:rsid w:val="00D97290"/>
    <w:rsid w:val="00DA1593"/>
    <w:rsid w:val="00DB28BC"/>
    <w:rsid w:val="00DD67B7"/>
    <w:rsid w:val="00DE485D"/>
    <w:rsid w:val="00E04A97"/>
    <w:rsid w:val="00E234E1"/>
    <w:rsid w:val="00E37063"/>
    <w:rsid w:val="00E617BB"/>
    <w:rsid w:val="00E738C3"/>
    <w:rsid w:val="00E848B6"/>
    <w:rsid w:val="00EA057E"/>
    <w:rsid w:val="00EF1AB0"/>
    <w:rsid w:val="00F361C1"/>
    <w:rsid w:val="00F4417B"/>
    <w:rsid w:val="00FA25B3"/>
    <w:rsid w:val="00FD4D8C"/>
    <w:rsid w:val="093BA3A1"/>
    <w:rsid w:val="0F2968F4"/>
    <w:rsid w:val="18AC750E"/>
    <w:rsid w:val="3BF4C4F3"/>
    <w:rsid w:val="48EAC32C"/>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07A85421-74BD-4934-9919-3E7C8A2F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85416">
      <w:bodyDiv w:val="1"/>
      <w:marLeft w:val="0"/>
      <w:marRight w:val="0"/>
      <w:marTop w:val="0"/>
      <w:marBottom w:val="0"/>
      <w:divBdr>
        <w:top w:val="none" w:sz="0" w:space="0" w:color="auto"/>
        <w:left w:val="none" w:sz="0" w:space="0" w:color="auto"/>
        <w:bottom w:val="none" w:sz="0" w:space="0" w:color="auto"/>
        <w:right w:val="none" w:sz="0" w:space="0" w:color="auto"/>
      </w:divBdr>
      <w:divsChild>
        <w:div w:id="59643796">
          <w:marLeft w:val="0"/>
          <w:marRight w:val="0"/>
          <w:marTop w:val="0"/>
          <w:marBottom w:val="0"/>
          <w:divBdr>
            <w:top w:val="none" w:sz="0" w:space="0" w:color="auto"/>
            <w:left w:val="none" w:sz="0" w:space="0" w:color="auto"/>
            <w:bottom w:val="none" w:sz="0" w:space="0" w:color="auto"/>
            <w:right w:val="none" w:sz="0" w:space="0" w:color="auto"/>
          </w:divBdr>
        </w:div>
        <w:div w:id="615986251">
          <w:marLeft w:val="0"/>
          <w:marRight w:val="0"/>
          <w:marTop w:val="0"/>
          <w:marBottom w:val="0"/>
          <w:divBdr>
            <w:top w:val="none" w:sz="0" w:space="0" w:color="auto"/>
            <w:left w:val="none" w:sz="0" w:space="0" w:color="auto"/>
            <w:bottom w:val="none" w:sz="0" w:space="0" w:color="auto"/>
            <w:right w:val="none" w:sz="0" w:space="0" w:color="auto"/>
          </w:divBdr>
        </w:div>
        <w:div w:id="628169021">
          <w:marLeft w:val="0"/>
          <w:marRight w:val="0"/>
          <w:marTop w:val="0"/>
          <w:marBottom w:val="0"/>
          <w:divBdr>
            <w:top w:val="none" w:sz="0" w:space="0" w:color="auto"/>
            <w:left w:val="none" w:sz="0" w:space="0" w:color="auto"/>
            <w:bottom w:val="none" w:sz="0" w:space="0" w:color="auto"/>
            <w:right w:val="none" w:sz="0" w:space="0" w:color="auto"/>
          </w:divBdr>
        </w:div>
        <w:div w:id="669261982">
          <w:marLeft w:val="0"/>
          <w:marRight w:val="0"/>
          <w:marTop w:val="0"/>
          <w:marBottom w:val="0"/>
          <w:divBdr>
            <w:top w:val="none" w:sz="0" w:space="0" w:color="auto"/>
            <w:left w:val="none" w:sz="0" w:space="0" w:color="auto"/>
            <w:bottom w:val="none" w:sz="0" w:space="0" w:color="auto"/>
            <w:right w:val="none" w:sz="0" w:space="0" w:color="auto"/>
          </w:divBdr>
        </w:div>
        <w:div w:id="1130049083">
          <w:marLeft w:val="0"/>
          <w:marRight w:val="0"/>
          <w:marTop w:val="0"/>
          <w:marBottom w:val="0"/>
          <w:divBdr>
            <w:top w:val="none" w:sz="0" w:space="0" w:color="auto"/>
            <w:left w:val="none" w:sz="0" w:space="0" w:color="auto"/>
            <w:bottom w:val="none" w:sz="0" w:space="0" w:color="auto"/>
            <w:right w:val="none" w:sz="0" w:space="0" w:color="auto"/>
          </w:divBdr>
        </w:div>
        <w:div w:id="1327787542">
          <w:marLeft w:val="0"/>
          <w:marRight w:val="0"/>
          <w:marTop w:val="0"/>
          <w:marBottom w:val="0"/>
          <w:divBdr>
            <w:top w:val="none" w:sz="0" w:space="0" w:color="auto"/>
            <w:left w:val="none" w:sz="0" w:space="0" w:color="auto"/>
            <w:bottom w:val="none" w:sz="0" w:space="0" w:color="auto"/>
            <w:right w:val="none" w:sz="0" w:space="0" w:color="auto"/>
          </w:divBdr>
        </w:div>
        <w:div w:id="1436291595">
          <w:marLeft w:val="0"/>
          <w:marRight w:val="0"/>
          <w:marTop w:val="0"/>
          <w:marBottom w:val="0"/>
          <w:divBdr>
            <w:top w:val="none" w:sz="0" w:space="0" w:color="auto"/>
            <w:left w:val="none" w:sz="0" w:space="0" w:color="auto"/>
            <w:bottom w:val="none" w:sz="0" w:space="0" w:color="auto"/>
            <w:right w:val="none" w:sz="0" w:space="0" w:color="auto"/>
          </w:divBdr>
        </w:div>
        <w:div w:id="1452627067">
          <w:marLeft w:val="0"/>
          <w:marRight w:val="0"/>
          <w:marTop w:val="0"/>
          <w:marBottom w:val="0"/>
          <w:divBdr>
            <w:top w:val="none" w:sz="0" w:space="0" w:color="auto"/>
            <w:left w:val="none" w:sz="0" w:space="0" w:color="auto"/>
            <w:bottom w:val="none" w:sz="0" w:space="0" w:color="auto"/>
            <w:right w:val="none" w:sz="0" w:space="0" w:color="auto"/>
          </w:divBdr>
        </w:div>
        <w:div w:id="1685017364">
          <w:marLeft w:val="0"/>
          <w:marRight w:val="0"/>
          <w:marTop w:val="0"/>
          <w:marBottom w:val="0"/>
          <w:divBdr>
            <w:top w:val="none" w:sz="0" w:space="0" w:color="auto"/>
            <w:left w:val="none" w:sz="0" w:space="0" w:color="auto"/>
            <w:bottom w:val="none" w:sz="0" w:space="0" w:color="auto"/>
            <w:right w:val="none" w:sz="0" w:space="0" w:color="auto"/>
          </w:divBdr>
        </w:div>
        <w:div w:id="1687291505">
          <w:marLeft w:val="0"/>
          <w:marRight w:val="0"/>
          <w:marTop w:val="0"/>
          <w:marBottom w:val="0"/>
          <w:divBdr>
            <w:top w:val="none" w:sz="0" w:space="0" w:color="auto"/>
            <w:left w:val="none" w:sz="0" w:space="0" w:color="auto"/>
            <w:bottom w:val="none" w:sz="0" w:space="0" w:color="auto"/>
            <w:right w:val="none" w:sz="0" w:space="0" w:color="auto"/>
          </w:divBdr>
        </w:div>
        <w:div w:id="2002661070">
          <w:marLeft w:val="0"/>
          <w:marRight w:val="0"/>
          <w:marTop w:val="0"/>
          <w:marBottom w:val="0"/>
          <w:divBdr>
            <w:top w:val="none" w:sz="0" w:space="0" w:color="auto"/>
            <w:left w:val="none" w:sz="0" w:space="0" w:color="auto"/>
            <w:bottom w:val="none" w:sz="0" w:space="0" w:color="auto"/>
            <w:right w:val="none" w:sz="0" w:space="0" w:color="auto"/>
          </w:divBdr>
        </w:div>
        <w:div w:id="2045404792">
          <w:marLeft w:val="0"/>
          <w:marRight w:val="0"/>
          <w:marTop w:val="0"/>
          <w:marBottom w:val="0"/>
          <w:divBdr>
            <w:top w:val="none" w:sz="0" w:space="0" w:color="auto"/>
            <w:left w:val="none" w:sz="0" w:space="0" w:color="auto"/>
            <w:bottom w:val="none" w:sz="0" w:space="0" w:color="auto"/>
            <w:right w:val="none" w:sz="0" w:space="0" w:color="auto"/>
          </w:divBdr>
        </w:div>
      </w:divsChild>
    </w:div>
    <w:div w:id="404449413">
      <w:bodyDiv w:val="1"/>
      <w:marLeft w:val="0"/>
      <w:marRight w:val="0"/>
      <w:marTop w:val="0"/>
      <w:marBottom w:val="0"/>
      <w:divBdr>
        <w:top w:val="none" w:sz="0" w:space="0" w:color="auto"/>
        <w:left w:val="none" w:sz="0" w:space="0" w:color="auto"/>
        <w:bottom w:val="none" w:sz="0" w:space="0" w:color="auto"/>
        <w:right w:val="none" w:sz="0" w:space="0" w:color="auto"/>
      </w:divBdr>
      <w:divsChild>
        <w:div w:id="120612821">
          <w:marLeft w:val="0"/>
          <w:marRight w:val="0"/>
          <w:marTop w:val="0"/>
          <w:marBottom w:val="0"/>
          <w:divBdr>
            <w:top w:val="none" w:sz="0" w:space="0" w:color="auto"/>
            <w:left w:val="none" w:sz="0" w:space="0" w:color="auto"/>
            <w:bottom w:val="none" w:sz="0" w:space="0" w:color="auto"/>
            <w:right w:val="none" w:sz="0" w:space="0" w:color="auto"/>
          </w:divBdr>
        </w:div>
        <w:div w:id="206142256">
          <w:marLeft w:val="0"/>
          <w:marRight w:val="0"/>
          <w:marTop w:val="0"/>
          <w:marBottom w:val="0"/>
          <w:divBdr>
            <w:top w:val="none" w:sz="0" w:space="0" w:color="auto"/>
            <w:left w:val="none" w:sz="0" w:space="0" w:color="auto"/>
            <w:bottom w:val="none" w:sz="0" w:space="0" w:color="auto"/>
            <w:right w:val="none" w:sz="0" w:space="0" w:color="auto"/>
          </w:divBdr>
        </w:div>
        <w:div w:id="811407763">
          <w:marLeft w:val="0"/>
          <w:marRight w:val="0"/>
          <w:marTop w:val="0"/>
          <w:marBottom w:val="0"/>
          <w:divBdr>
            <w:top w:val="none" w:sz="0" w:space="0" w:color="auto"/>
            <w:left w:val="none" w:sz="0" w:space="0" w:color="auto"/>
            <w:bottom w:val="none" w:sz="0" w:space="0" w:color="auto"/>
            <w:right w:val="none" w:sz="0" w:space="0" w:color="auto"/>
          </w:divBdr>
        </w:div>
        <w:div w:id="818116099">
          <w:marLeft w:val="0"/>
          <w:marRight w:val="0"/>
          <w:marTop w:val="0"/>
          <w:marBottom w:val="0"/>
          <w:divBdr>
            <w:top w:val="none" w:sz="0" w:space="0" w:color="auto"/>
            <w:left w:val="none" w:sz="0" w:space="0" w:color="auto"/>
            <w:bottom w:val="none" w:sz="0" w:space="0" w:color="auto"/>
            <w:right w:val="none" w:sz="0" w:space="0" w:color="auto"/>
          </w:divBdr>
        </w:div>
        <w:div w:id="818839425">
          <w:marLeft w:val="0"/>
          <w:marRight w:val="0"/>
          <w:marTop w:val="0"/>
          <w:marBottom w:val="0"/>
          <w:divBdr>
            <w:top w:val="none" w:sz="0" w:space="0" w:color="auto"/>
            <w:left w:val="none" w:sz="0" w:space="0" w:color="auto"/>
            <w:bottom w:val="none" w:sz="0" w:space="0" w:color="auto"/>
            <w:right w:val="none" w:sz="0" w:space="0" w:color="auto"/>
          </w:divBdr>
        </w:div>
        <w:div w:id="853344585">
          <w:marLeft w:val="0"/>
          <w:marRight w:val="0"/>
          <w:marTop w:val="0"/>
          <w:marBottom w:val="0"/>
          <w:divBdr>
            <w:top w:val="none" w:sz="0" w:space="0" w:color="auto"/>
            <w:left w:val="none" w:sz="0" w:space="0" w:color="auto"/>
            <w:bottom w:val="none" w:sz="0" w:space="0" w:color="auto"/>
            <w:right w:val="none" w:sz="0" w:space="0" w:color="auto"/>
          </w:divBdr>
        </w:div>
        <w:div w:id="1377319059">
          <w:marLeft w:val="0"/>
          <w:marRight w:val="0"/>
          <w:marTop w:val="0"/>
          <w:marBottom w:val="0"/>
          <w:divBdr>
            <w:top w:val="none" w:sz="0" w:space="0" w:color="auto"/>
            <w:left w:val="none" w:sz="0" w:space="0" w:color="auto"/>
            <w:bottom w:val="none" w:sz="0" w:space="0" w:color="auto"/>
            <w:right w:val="none" w:sz="0" w:space="0" w:color="auto"/>
          </w:divBdr>
        </w:div>
        <w:div w:id="1435008214">
          <w:marLeft w:val="0"/>
          <w:marRight w:val="0"/>
          <w:marTop w:val="0"/>
          <w:marBottom w:val="0"/>
          <w:divBdr>
            <w:top w:val="none" w:sz="0" w:space="0" w:color="auto"/>
            <w:left w:val="none" w:sz="0" w:space="0" w:color="auto"/>
            <w:bottom w:val="none" w:sz="0" w:space="0" w:color="auto"/>
            <w:right w:val="none" w:sz="0" w:space="0" w:color="auto"/>
          </w:divBdr>
        </w:div>
        <w:div w:id="1451049906">
          <w:marLeft w:val="0"/>
          <w:marRight w:val="0"/>
          <w:marTop w:val="0"/>
          <w:marBottom w:val="0"/>
          <w:divBdr>
            <w:top w:val="none" w:sz="0" w:space="0" w:color="auto"/>
            <w:left w:val="none" w:sz="0" w:space="0" w:color="auto"/>
            <w:bottom w:val="none" w:sz="0" w:space="0" w:color="auto"/>
            <w:right w:val="none" w:sz="0" w:space="0" w:color="auto"/>
          </w:divBdr>
        </w:div>
        <w:div w:id="1464422355">
          <w:marLeft w:val="0"/>
          <w:marRight w:val="0"/>
          <w:marTop w:val="0"/>
          <w:marBottom w:val="0"/>
          <w:divBdr>
            <w:top w:val="none" w:sz="0" w:space="0" w:color="auto"/>
            <w:left w:val="none" w:sz="0" w:space="0" w:color="auto"/>
            <w:bottom w:val="none" w:sz="0" w:space="0" w:color="auto"/>
            <w:right w:val="none" w:sz="0" w:space="0" w:color="auto"/>
          </w:divBdr>
        </w:div>
        <w:div w:id="1530752201">
          <w:marLeft w:val="0"/>
          <w:marRight w:val="0"/>
          <w:marTop w:val="0"/>
          <w:marBottom w:val="0"/>
          <w:divBdr>
            <w:top w:val="none" w:sz="0" w:space="0" w:color="auto"/>
            <w:left w:val="none" w:sz="0" w:space="0" w:color="auto"/>
            <w:bottom w:val="none" w:sz="0" w:space="0" w:color="auto"/>
            <w:right w:val="none" w:sz="0" w:space="0" w:color="auto"/>
          </w:divBdr>
        </w:div>
        <w:div w:id="2142796572">
          <w:marLeft w:val="0"/>
          <w:marRight w:val="0"/>
          <w:marTop w:val="0"/>
          <w:marBottom w:val="0"/>
          <w:divBdr>
            <w:top w:val="none" w:sz="0" w:space="0" w:color="auto"/>
            <w:left w:val="none" w:sz="0" w:space="0" w:color="auto"/>
            <w:bottom w:val="none" w:sz="0" w:space="0" w:color="auto"/>
            <w:right w:val="none" w:sz="0" w:space="0" w:color="auto"/>
          </w:divBdr>
        </w:div>
      </w:divsChild>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377137"/>
    <w:rsid w:val="005875E6"/>
    <w:rsid w:val="00617042"/>
    <w:rsid w:val="009E220C"/>
    <w:rsid w:val="00A11A07"/>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1379</Words>
  <Characters>7589</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2024-11-13T19:49:00Z</dcterms:created>
  <dcterms:modified xsi:type="dcterms:W3CDTF">2024-11-13T19:49:00Z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