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A1E5F" w:rsidR="003314A2" w:rsidP="003314A2" w:rsidRDefault="003314A2" w14:paraId="250ECD83" w14:textId="77777777">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422EA9">
                <v:stroke joinstyle="miter"/>
                <v:path gradientshapeok="t" o:connecttype="rect"/>
              </v:shapetype>
              <v:shape id="Cuadro de texto 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v:textbo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rsidRPr="00BA1E5F" w:rsidR="00F67EF8" w:rsidP="00F67EF8" w:rsidRDefault="00F67EF8" w14:paraId="6BDC3A49" w14:textId="77777777">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Pr="00BA1E5F" w:rsidR="00F67EF8" w:rsidTr="003827E1" w14:paraId="077F9E4D" w14:textId="77777777">
        <w:trPr>
          <w:trHeight w:val="454"/>
        </w:trPr>
        <w:tc>
          <w:tcPr>
            <w:tcW w:w="4537" w:type="dxa"/>
            <w:vAlign w:val="center"/>
          </w:tcPr>
          <w:p w:rsidRPr="00BA1E5F" w:rsidR="00F67EF8" w:rsidP="003B7F1A" w:rsidRDefault="00F67EF8" w14:paraId="239BC5A7" w14:textId="7E10D35F">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rsidRPr="00BA1E5F" w:rsidR="00F67EF8" w:rsidP="00F67EF8" w:rsidRDefault="00190425" w14:paraId="29FA6EF6" w14:textId="1C060550">
            <w:pPr>
              <w:spacing w:line="276" w:lineRule="auto"/>
              <w:jc w:val="both"/>
              <w:rPr>
                <w:rFonts w:ascii="Century Gothic" w:hAnsi="Century Gothic"/>
                <w:sz w:val="22"/>
                <w:szCs w:val="22"/>
              </w:rPr>
            </w:pPr>
            <w:r>
              <w:rPr>
                <w:rFonts w:ascii="Century Gothic" w:hAnsi="Century Gothic"/>
                <w:sz w:val="22"/>
                <w:szCs w:val="22"/>
              </w:rPr>
              <w:t>22</w:t>
            </w:r>
            <w:r w:rsidR="00B775EB">
              <w:rPr>
                <w:rFonts w:ascii="Century Gothic" w:hAnsi="Century Gothic"/>
                <w:sz w:val="22"/>
                <w:szCs w:val="22"/>
              </w:rPr>
              <w:t>/</w:t>
            </w:r>
            <w:r>
              <w:rPr>
                <w:rFonts w:ascii="Century Gothic" w:hAnsi="Century Gothic"/>
                <w:sz w:val="22"/>
                <w:szCs w:val="22"/>
              </w:rPr>
              <w:t>08</w:t>
            </w:r>
            <w:r w:rsidR="00B775EB">
              <w:rPr>
                <w:rFonts w:ascii="Century Gothic" w:hAnsi="Century Gothic"/>
                <w:sz w:val="22"/>
                <w:szCs w:val="22"/>
              </w:rPr>
              <w:t>/2025</w:t>
            </w:r>
          </w:p>
        </w:tc>
      </w:tr>
      <w:tr w:rsidRPr="00BA1E5F" w:rsidR="00F67EF8" w:rsidTr="003827E1" w14:paraId="6959AD48" w14:textId="77777777">
        <w:trPr>
          <w:trHeight w:val="454"/>
        </w:trPr>
        <w:tc>
          <w:tcPr>
            <w:tcW w:w="4537" w:type="dxa"/>
            <w:vAlign w:val="center"/>
          </w:tcPr>
          <w:p w:rsidRPr="00BA1E5F" w:rsidR="00F67EF8" w:rsidP="003B7F1A" w:rsidRDefault="00F67EF8" w14:paraId="45E895A9" w14:textId="1E20E681">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rsidRPr="00BA1E5F" w:rsidR="00F67EF8" w:rsidP="00F67EF8" w:rsidRDefault="00B775EB" w14:paraId="06C25C40" w14:textId="5CFD278A">
            <w:pPr>
              <w:spacing w:line="276" w:lineRule="auto"/>
              <w:jc w:val="both"/>
              <w:rPr>
                <w:rFonts w:ascii="Century Gothic" w:hAnsi="Century Gothic"/>
                <w:sz w:val="22"/>
                <w:szCs w:val="22"/>
              </w:rPr>
            </w:pPr>
            <w:r>
              <w:rPr>
                <w:rFonts w:ascii="Century Gothic" w:hAnsi="Century Gothic"/>
                <w:sz w:val="22"/>
                <w:szCs w:val="22"/>
              </w:rPr>
              <w:t>Externo</w:t>
            </w:r>
          </w:p>
        </w:tc>
      </w:tr>
      <w:tr w:rsidRPr="00BA1E5F" w:rsidR="00F67EF8" w:rsidTr="003827E1" w14:paraId="2F6DA3B0" w14:textId="77777777">
        <w:trPr>
          <w:trHeight w:val="454"/>
        </w:trPr>
        <w:tc>
          <w:tcPr>
            <w:tcW w:w="4537" w:type="dxa"/>
            <w:vAlign w:val="center"/>
          </w:tcPr>
          <w:p w:rsidRPr="00BA1E5F" w:rsidR="00F67EF8" w:rsidP="003B7F1A" w:rsidRDefault="00F67EF8" w14:paraId="30599F8A" w14:textId="674A8832">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rsidRPr="00BA1E5F" w:rsidR="00F67EF8" w:rsidP="00F67EF8" w:rsidRDefault="00190425" w14:paraId="794A38B0" w14:textId="212FCE87">
            <w:pPr>
              <w:spacing w:line="276" w:lineRule="auto"/>
              <w:jc w:val="both"/>
              <w:rPr>
                <w:rFonts w:ascii="Century Gothic" w:hAnsi="Century Gothic"/>
                <w:sz w:val="22"/>
                <w:szCs w:val="22"/>
              </w:rPr>
            </w:pPr>
            <w:r w:rsidRPr="00190425">
              <w:rPr>
                <w:rFonts w:ascii="Century Gothic" w:hAnsi="Century Gothic"/>
                <w:sz w:val="22"/>
                <w:szCs w:val="22"/>
              </w:rPr>
              <w:t>LA EQUIDAD DE SEGUROS GENERALES O.C</w:t>
            </w:r>
          </w:p>
        </w:tc>
      </w:tr>
      <w:tr w:rsidRPr="00BA1E5F" w:rsidR="00F67EF8" w:rsidTr="003827E1" w14:paraId="490540BB" w14:textId="77777777">
        <w:trPr>
          <w:trHeight w:val="454"/>
        </w:trPr>
        <w:tc>
          <w:tcPr>
            <w:tcW w:w="4537" w:type="dxa"/>
            <w:vAlign w:val="center"/>
          </w:tcPr>
          <w:p w:rsidRPr="00BA1E5F" w:rsidR="00F67EF8" w:rsidP="003B7F1A" w:rsidRDefault="00992368" w14:paraId="1C2D5235" w14:textId="2B4007F3">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rsidRPr="00BA1E5F" w:rsidR="00F67EF8" w:rsidP="00F67EF8" w:rsidRDefault="003A3AE2" w14:paraId="11B788BC" w14:textId="7CCAA2F4">
            <w:pPr>
              <w:spacing w:line="276" w:lineRule="auto"/>
              <w:jc w:val="both"/>
              <w:rPr>
                <w:rFonts w:ascii="Century Gothic" w:hAnsi="Century Gothic"/>
                <w:sz w:val="22"/>
                <w:szCs w:val="22"/>
              </w:rPr>
            </w:pPr>
            <w:r w:rsidRPr="003A3AE2">
              <w:rPr>
                <w:rFonts w:ascii="Century Gothic" w:hAnsi="Century Gothic"/>
                <w:sz w:val="22"/>
                <w:szCs w:val="22"/>
              </w:rPr>
              <w:t>10600</w:t>
            </w:r>
          </w:p>
        </w:tc>
      </w:tr>
      <w:tr w:rsidRPr="00BA1E5F" w:rsidR="00F67EF8" w:rsidTr="003827E1" w14:paraId="1D86DF69" w14:textId="77777777">
        <w:trPr>
          <w:trHeight w:val="454"/>
        </w:trPr>
        <w:tc>
          <w:tcPr>
            <w:tcW w:w="4537" w:type="dxa"/>
            <w:vAlign w:val="center"/>
          </w:tcPr>
          <w:p w:rsidRPr="00BA1E5F" w:rsidR="00F67EF8" w:rsidP="003B7F1A" w:rsidRDefault="00992368" w14:paraId="699114C2" w14:textId="0BB9EC2F">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rsidRPr="00BA1E5F" w:rsidR="00F67EF8" w:rsidP="00F67EF8" w:rsidRDefault="00190425" w14:paraId="7DD6339C" w14:textId="7F9768D9">
            <w:pPr>
              <w:spacing w:line="276" w:lineRule="auto"/>
              <w:jc w:val="both"/>
              <w:rPr>
                <w:rFonts w:ascii="Century Gothic" w:hAnsi="Century Gothic"/>
                <w:sz w:val="22"/>
                <w:szCs w:val="22"/>
              </w:rPr>
            </w:pPr>
            <w:r w:rsidRPr="00190425">
              <w:rPr>
                <w:rFonts w:ascii="Century Gothic" w:hAnsi="Century Gothic"/>
                <w:sz w:val="22"/>
                <w:szCs w:val="22"/>
              </w:rPr>
              <w:t>JUZGADO PROMISCUO DEL CIRCUITO DE PAZ DE RÍO – BOYACÁ</w:t>
            </w:r>
          </w:p>
        </w:tc>
      </w:tr>
      <w:tr w:rsidRPr="00BA1E5F" w:rsidR="00F67EF8" w:rsidTr="003827E1" w14:paraId="54742FD8" w14:textId="77777777">
        <w:trPr>
          <w:trHeight w:val="454"/>
        </w:trPr>
        <w:tc>
          <w:tcPr>
            <w:tcW w:w="4537" w:type="dxa"/>
            <w:vAlign w:val="center"/>
          </w:tcPr>
          <w:p w:rsidRPr="00BA1E5F" w:rsidR="00F67EF8" w:rsidP="003B7F1A" w:rsidRDefault="00992368" w14:paraId="5A357CCF" w14:textId="3C7FFC83">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rsidRPr="00BA1E5F" w:rsidR="00F67EF8" w:rsidP="00F67EF8" w:rsidRDefault="00190425" w14:paraId="5101FDD8" w14:textId="4D57ED66">
            <w:pPr>
              <w:spacing w:line="276" w:lineRule="auto"/>
              <w:jc w:val="both"/>
              <w:rPr>
                <w:rFonts w:ascii="Century Gothic" w:hAnsi="Century Gothic"/>
                <w:sz w:val="22"/>
                <w:szCs w:val="22"/>
              </w:rPr>
            </w:pPr>
            <w:r>
              <w:rPr>
                <w:rFonts w:ascii="Century Gothic" w:hAnsi="Century Gothic"/>
                <w:sz w:val="22"/>
                <w:szCs w:val="22"/>
              </w:rPr>
              <w:t>BOYACÁ</w:t>
            </w:r>
          </w:p>
        </w:tc>
      </w:tr>
      <w:tr w:rsidRPr="00BA1E5F" w:rsidR="00992368" w:rsidTr="003827E1" w14:paraId="3983A9CE" w14:textId="77777777">
        <w:trPr>
          <w:trHeight w:val="454"/>
        </w:trPr>
        <w:tc>
          <w:tcPr>
            <w:tcW w:w="4537" w:type="dxa"/>
            <w:vAlign w:val="center"/>
          </w:tcPr>
          <w:p w:rsidRPr="00BA1E5F" w:rsidR="00992368" w:rsidP="003B7F1A" w:rsidRDefault="008E249B" w14:paraId="7EC7EF81" w14:textId="3CF9A0A9">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rsidRPr="00BA1E5F" w:rsidR="00992368" w:rsidP="00F67EF8" w:rsidRDefault="00190425" w14:paraId="573C25D1" w14:textId="273AFB0A">
            <w:pPr>
              <w:spacing w:line="276" w:lineRule="auto"/>
              <w:jc w:val="both"/>
              <w:rPr>
                <w:rFonts w:ascii="Century Gothic" w:hAnsi="Century Gothic"/>
                <w:sz w:val="22"/>
                <w:szCs w:val="22"/>
              </w:rPr>
            </w:pPr>
            <w:r w:rsidRPr="00190425">
              <w:rPr>
                <w:rFonts w:ascii="Century Gothic" w:hAnsi="Century Gothic"/>
                <w:sz w:val="22"/>
                <w:szCs w:val="22"/>
              </w:rPr>
              <w:t>15537318900120240006200</w:t>
            </w:r>
          </w:p>
        </w:tc>
      </w:tr>
      <w:tr w:rsidRPr="00BA1E5F" w:rsidR="00992368" w:rsidTr="003827E1" w14:paraId="4A0D8041" w14:textId="77777777">
        <w:trPr>
          <w:trHeight w:val="454"/>
        </w:trPr>
        <w:tc>
          <w:tcPr>
            <w:tcW w:w="4537" w:type="dxa"/>
            <w:vAlign w:val="center"/>
          </w:tcPr>
          <w:p w:rsidRPr="00BA1E5F" w:rsidR="00992368" w:rsidP="003B7F1A" w:rsidRDefault="00B2787D" w14:paraId="6BA2EEB5" w14:textId="7369F36B">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rsidRPr="00BA1E5F" w:rsidR="00992368" w:rsidP="00F67EF8" w:rsidRDefault="00190425" w14:paraId="64AC88EB" w14:textId="7020143E">
            <w:pPr>
              <w:spacing w:line="276" w:lineRule="auto"/>
              <w:jc w:val="both"/>
              <w:rPr>
                <w:rFonts w:ascii="Century Gothic" w:hAnsi="Century Gothic"/>
                <w:sz w:val="22"/>
                <w:szCs w:val="22"/>
              </w:rPr>
            </w:pPr>
            <w:r>
              <w:rPr>
                <w:rFonts w:ascii="Century Gothic" w:hAnsi="Century Gothic"/>
                <w:sz w:val="22"/>
                <w:szCs w:val="22"/>
              </w:rPr>
              <w:t>29 DE JULIO DE 2025</w:t>
            </w:r>
          </w:p>
        </w:tc>
      </w:tr>
      <w:tr w:rsidRPr="00BA1E5F" w:rsidR="00992368" w:rsidTr="003827E1" w14:paraId="028BDD81" w14:textId="77777777">
        <w:trPr>
          <w:trHeight w:val="454"/>
        </w:trPr>
        <w:tc>
          <w:tcPr>
            <w:tcW w:w="4537" w:type="dxa"/>
            <w:vAlign w:val="center"/>
          </w:tcPr>
          <w:p w:rsidRPr="00BA1E5F" w:rsidR="00992368" w:rsidP="003B7F1A" w:rsidRDefault="00B2787D" w14:paraId="74AA3CB7" w14:textId="0154798B">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rsidRPr="00BA1E5F" w:rsidR="00992368" w:rsidP="00F67EF8" w:rsidRDefault="00190425" w14:paraId="41E82979" w14:textId="33687C46">
            <w:pPr>
              <w:spacing w:line="276" w:lineRule="auto"/>
              <w:jc w:val="both"/>
              <w:rPr>
                <w:rFonts w:ascii="Century Gothic" w:hAnsi="Century Gothic"/>
                <w:sz w:val="22"/>
                <w:szCs w:val="22"/>
              </w:rPr>
            </w:pPr>
            <w:r>
              <w:rPr>
                <w:rFonts w:ascii="Century Gothic" w:hAnsi="Century Gothic"/>
                <w:sz w:val="22"/>
                <w:szCs w:val="22"/>
              </w:rPr>
              <w:t xml:space="preserve">28 DE AGOSTO DE 2025 </w:t>
            </w:r>
          </w:p>
        </w:tc>
      </w:tr>
    </w:tbl>
    <w:p w:rsidR="00BA1E5F" w:rsidRDefault="00BA1E5F" w14:paraId="619AE562" w14:textId="77777777"/>
    <w:p w:rsidR="00BA1E5F" w:rsidRDefault="00BA1E5F" w14:paraId="64A76143" w14:textId="77777777"/>
    <w:tbl>
      <w:tblPr>
        <w:tblStyle w:val="Tablaconcuadrcula"/>
        <w:tblW w:w="10207" w:type="dxa"/>
        <w:tblInd w:w="-431" w:type="dxa"/>
        <w:tblLook w:val="04A0" w:firstRow="1" w:lastRow="0" w:firstColumn="1" w:lastColumn="0" w:noHBand="0" w:noVBand="1"/>
      </w:tblPr>
      <w:tblGrid>
        <w:gridCol w:w="10207"/>
      </w:tblGrid>
      <w:tr w:rsidRPr="00BA1E5F" w:rsidR="00B2787D" w:rsidTr="0095378E" w14:paraId="55765E90" w14:textId="77777777">
        <w:tc>
          <w:tcPr>
            <w:tcW w:w="10207" w:type="dxa"/>
            <w:shd w:val="clear" w:color="auto" w:fill="C5E0B3" w:themeFill="accent6" w:themeFillTint="66"/>
            <w:vAlign w:val="center"/>
          </w:tcPr>
          <w:p w:rsidRPr="00BA1E5F" w:rsidR="00B2787D" w:rsidP="00B2787D" w:rsidRDefault="00B2787D" w14:paraId="7B465D4D" w14:textId="5CAE6B68">
            <w:pPr>
              <w:spacing w:line="276" w:lineRule="auto"/>
              <w:jc w:val="center"/>
              <w:rPr>
                <w:rFonts w:ascii="Century Gothic" w:hAnsi="Century Gothic"/>
                <w:sz w:val="22"/>
                <w:szCs w:val="22"/>
              </w:rPr>
            </w:pPr>
            <w:r w:rsidRPr="00BA1E5F">
              <w:rPr>
                <w:rFonts w:ascii="Century Gothic" w:hAnsi="Century Gothic"/>
                <w:b/>
                <w:bCs/>
                <w:sz w:val="22"/>
                <w:szCs w:val="22"/>
              </w:rPr>
              <w:t>Hechos</w:t>
            </w:r>
            <w:r w:rsidRPr="00BA1E5F" w:rsidR="007C37D7">
              <w:rPr>
                <w:rFonts w:ascii="Century Gothic" w:hAnsi="Century Gothic"/>
                <w:b/>
                <w:bCs/>
                <w:sz w:val="22"/>
                <w:szCs w:val="22"/>
              </w:rPr>
              <w:t xml:space="preserve"> </w:t>
            </w:r>
            <w:r w:rsidRPr="00BA1E5F" w:rsidR="007C37D7">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Pr="00BA1E5F" w:rsidR="00B2787D" w:rsidTr="006056E7" w14:paraId="59EA92D0" w14:textId="77777777">
        <w:tc>
          <w:tcPr>
            <w:tcW w:w="10207" w:type="dxa"/>
            <w:vAlign w:val="center"/>
          </w:tcPr>
          <w:p w:rsidRPr="00BA1E5F" w:rsidR="00B2787D" w:rsidP="007C37D7" w:rsidRDefault="00B2787D" w14:paraId="7D5C850F" w14:textId="77777777">
            <w:pPr>
              <w:spacing w:line="276" w:lineRule="auto"/>
              <w:jc w:val="center"/>
              <w:rPr>
                <w:rFonts w:ascii="Century Gothic" w:hAnsi="Century Gothic"/>
                <w:sz w:val="22"/>
                <w:szCs w:val="22"/>
              </w:rPr>
            </w:pPr>
          </w:p>
          <w:p w:rsidRPr="00190425" w:rsidR="00190425" w:rsidP="00190425" w:rsidRDefault="00190425" w14:paraId="5A0BEB11" w14:textId="6FBB5B1B">
            <w:pPr>
              <w:numPr>
                <w:ilvl w:val="0"/>
                <w:numId w:val="8"/>
              </w:numPr>
              <w:spacing w:line="276" w:lineRule="auto"/>
              <w:jc w:val="both"/>
              <w:rPr>
                <w:rFonts w:ascii="Century Gothic" w:hAnsi="Century Gothic"/>
                <w:sz w:val="22"/>
                <w:szCs w:val="22"/>
                <w:lang w:val="es-CO"/>
              </w:rPr>
            </w:pPr>
            <w:r w:rsidRPr="00190425">
              <w:rPr>
                <w:rFonts w:ascii="Century Gothic" w:hAnsi="Century Gothic"/>
                <w:sz w:val="22"/>
                <w:szCs w:val="22"/>
                <w:lang w:val="es-CO"/>
              </w:rPr>
              <w:t>El 13 de marzo de 2020, alrededor de las 2:00 p.m., el bus de placas XGD-586, afiliado a Cootracero, colisionó con la motocicleta BGA-39C conducida por </w:t>
            </w:r>
            <w:proofErr w:type="spellStart"/>
            <w:r w:rsidRPr="00190425">
              <w:rPr>
                <w:rFonts w:ascii="Century Gothic" w:hAnsi="Century Gothic"/>
                <w:sz w:val="22"/>
                <w:szCs w:val="22"/>
                <w:lang w:val="es-CO"/>
              </w:rPr>
              <w:t>Edinson</w:t>
            </w:r>
            <w:proofErr w:type="spellEnd"/>
            <w:r w:rsidRPr="00190425">
              <w:rPr>
                <w:rFonts w:ascii="Century Gothic" w:hAnsi="Century Gothic"/>
                <w:sz w:val="22"/>
                <w:szCs w:val="22"/>
                <w:lang w:val="es-CO"/>
              </w:rPr>
              <w:t> Gil </w:t>
            </w:r>
            <w:proofErr w:type="spellStart"/>
            <w:r w:rsidRPr="00190425">
              <w:rPr>
                <w:rFonts w:ascii="Century Gothic" w:hAnsi="Century Gothic"/>
                <w:sz w:val="22"/>
                <w:szCs w:val="22"/>
                <w:lang w:val="es-CO"/>
              </w:rPr>
              <w:t>Gil</w:t>
            </w:r>
            <w:proofErr w:type="spellEnd"/>
            <w:r w:rsidRPr="00190425">
              <w:rPr>
                <w:rFonts w:ascii="Century Gothic" w:hAnsi="Century Gothic"/>
                <w:sz w:val="22"/>
                <w:szCs w:val="22"/>
                <w:lang w:val="es-CO"/>
              </w:rPr>
              <w:t xml:space="preserve">. El bus, conducido por </w:t>
            </w:r>
            <w:proofErr w:type="spellStart"/>
            <w:r w:rsidRPr="00190425">
              <w:rPr>
                <w:rFonts w:ascii="Century Gothic" w:hAnsi="Century Gothic"/>
                <w:sz w:val="22"/>
                <w:szCs w:val="22"/>
                <w:lang w:val="es-CO"/>
              </w:rPr>
              <w:t>Yesdy</w:t>
            </w:r>
            <w:proofErr w:type="spellEnd"/>
            <w:r w:rsidRPr="00190425">
              <w:rPr>
                <w:rFonts w:ascii="Century Gothic" w:hAnsi="Century Gothic"/>
                <w:sz w:val="22"/>
                <w:szCs w:val="22"/>
                <w:lang w:val="es-CO"/>
              </w:rPr>
              <w:t xml:space="preserve"> Alexander Lara Tapias, transitaba la ruta </w:t>
            </w:r>
            <w:proofErr w:type="spellStart"/>
            <w:r w:rsidRPr="00190425">
              <w:rPr>
                <w:rFonts w:ascii="Century Gothic" w:hAnsi="Century Gothic"/>
                <w:sz w:val="22"/>
                <w:szCs w:val="22"/>
                <w:lang w:val="es-CO"/>
              </w:rPr>
              <w:t>Otengá</w:t>
            </w:r>
            <w:proofErr w:type="spellEnd"/>
            <w:r w:rsidRPr="00190425">
              <w:rPr>
                <w:rFonts w:ascii="Century Gothic" w:hAnsi="Century Gothic"/>
                <w:sz w:val="22"/>
                <w:szCs w:val="22"/>
                <w:lang w:val="es-CO"/>
              </w:rPr>
              <w:t xml:space="preserve"> – </w:t>
            </w:r>
            <w:proofErr w:type="spellStart"/>
            <w:r w:rsidRPr="00190425">
              <w:rPr>
                <w:rFonts w:ascii="Century Gothic" w:hAnsi="Century Gothic"/>
                <w:sz w:val="22"/>
                <w:szCs w:val="22"/>
                <w:lang w:val="es-CO"/>
              </w:rPr>
              <w:t>Beteitiva</w:t>
            </w:r>
            <w:proofErr w:type="spellEnd"/>
            <w:r w:rsidRPr="00190425">
              <w:rPr>
                <w:rFonts w:ascii="Century Gothic" w:hAnsi="Century Gothic"/>
                <w:sz w:val="22"/>
                <w:szCs w:val="22"/>
                <w:lang w:val="es-CO"/>
              </w:rPr>
              <w:t xml:space="preserve"> – Sogamoso.</w:t>
            </w:r>
          </w:p>
          <w:p w:rsidRPr="00190425" w:rsidR="00190425" w:rsidP="00190425" w:rsidRDefault="00190425" w14:paraId="1645DE7E" w14:textId="77777777">
            <w:pPr>
              <w:spacing w:line="276" w:lineRule="auto"/>
              <w:jc w:val="both"/>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11755028" w14:textId="77777777">
            <w:pPr>
              <w:numPr>
                <w:ilvl w:val="0"/>
                <w:numId w:val="9"/>
              </w:numPr>
              <w:spacing w:line="276" w:lineRule="auto"/>
              <w:jc w:val="both"/>
              <w:rPr>
                <w:rFonts w:ascii="Century Gothic" w:hAnsi="Century Gothic"/>
                <w:sz w:val="22"/>
                <w:szCs w:val="22"/>
                <w:lang w:val="es-CO"/>
              </w:rPr>
            </w:pPr>
            <w:r w:rsidRPr="00190425">
              <w:rPr>
                <w:rFonts w:ascii="Century Gothic" w:hAnsi="Century Gothic"/>
                <w:sz w:val="22"/>
                <w:szCs w:val="22"/>
                <w:lang w:val="es-CO"/>
              </w:rPr>
              <w:t>Se resalta una competencia entre rutas de buses por recoger pasajeros, lo cual genera exceso de velocidad y riesgo de accidentes. El accidente ocurrió en una curva, en una vía sin pavimentar, con calzada angosta, y fue producto de una maniobra imprudente y negligente del conductor del bus. El conductor del bus tenía la licencia vencida desde mayo de 2018 y requería gafas para conducir, condición que no se sabe si cumplía.</w:t>
            </w:r>
          </w:p>
          <w:p w:rsidRPr="00190425" w:rsidR="00190425" w:rsidP="00190425" w:rsidRDefault="00190425" w14:paraId="5C90D3D7" w14:textId="77777777">
            <w:pPr>
              <w:spacing w:line="276" w:lineRule="auto"/>
              <w:jc w:val="both"/>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3B1BB99F" w14:textId="77777777">
            <w:pPr>
              <w:numPr>
                <w:ilvl w:val="0"/>
                <w:numId w:val="10"/>
              </w:numPr>
              <w:spacing w:line="276" w:lineRule="auto"/>
              <w:jc w:val="both"/>
              <w:rPr>
                <w:rFonts w:ascii="Century Gothic" w:hAnsi="Century Gothic"/>
                <w:sz w:val="22"/>
                <w:szCs w:val="22"/>
                <w:lang w:val="es-CO"/>
              </w:rPr>
            </w:pPr>
            <w:r w:rsidRPr="00190425">
              <w:rPr>
                <w:rFonts w:ascii="Century Gothic" w:hAnsi="Century Gothic"/>
                <w:sz w:val="22"/>
                <w:szCs w:val="22"/>
                <w:lang w:val="es-CO"/>
              </w:rPr>
              <w:t>El demandante, </w:t>
            </w:r>
            <w:proofErr w:type="spellStart"/>
            <w:r w:rsidRPr="00190425">
              <w:rPr>
                <w:rFonts w:ascii="Century Gothic" w:hAnsi="Century Gothic"/>
                <w:sz w:val="22"/>
                <w:szCs w:val="22"/>
                <w:lang w:val="es-CO"/>
              </w:rPr>
              <w:t>Edinson</w:t>
            </w:r>
            <w:proofErr w:type="spellEnd"/>
            <w:r w:rsidRPr="00190425">
              <w:rPr>
                <w:rFonts w:ascii="Century Gothic" w:hAnsi="Century Gothic"/>
                <w:sz w:val="22"/>
                <w:szCs w:val="22"/>
                <w:lang w:val="es-CO"/>
              </w:rPr>
              <w:t> Gil, se dirigía a su trabajo en el campo y circulaba en su calzada a velocidad adecuada al momento del accidente.</w:t>
            </w:r>
          </w:p>
          <w:p w:rsidRPr="00190425" w:rsidR="00190425" w:rsidP="00190425" w:rsidRDefault="00190425" w14:paraId="31ACCC6C" w14:textId="77777777">
            <w:pPr>
              <w:spacing w:line="276" w:lineRule="auto"/>
              <w:jc w:val="both"/>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4D2B25E6" w14:textId="77777777">
            <w:pPr>
              <w:numPr>
                <w:ilvl w:val="0"/>
                <w:numId w:val="11"/>
              </w:numPr>
              <w:spacing w:line="276" w:lineRule="auto"/>
              <w:jc w:val="both"/>
              <w:rPr>
                <w:rFonts w:ascii="Century Gothic" w:hAnsi="Century Gothic"/>
                <w:sz w:val="22"/>
                <w:szCs w:val="22"/>
                <w:lang w:val="es-CO"/>
              </w:rPr>
            </w:pPr>
            <w:r w:rsidRPr="00190425">
              <w:rPr>
                <w:rFonts w:ascii="Century Gothic" w:hAnsi="Century Gothic"/>
                <w:sz w:val="22"/>
                <w:szCs w:val="22"/>
                <w:lang w:val="es-CO"/>
              </w:rPr>
              <w:t>La motocicleta sufrió daños y fue retenida por la Policía de Tránsito. </w:t>
            </w:r>
            <w:proofErr w:type="spellStart"/>
            <w:r w:rsidRPr="00190425">
              <w:rPr>
                <w:rFonts w:ascii="Century Gothic" w:hAnsi="Century Gothic"/>
                <w:sz w:val="22"/>
                <w:szCs w:val="22"/>
                <w:lang w:val="es-CO"/>
              </w:rPr>
              <w:t>Edinson</w:t>
            </w:r>
            <w:proofErr w:type="spellEnd"/>
            <w:r w:rsidRPr="00190425">
              <w:rPr>
                <w:rFonts w:ascii="Century Gothic" w:hAnsi="Century Gothic"/>
                <w:sz w:val="22"/>
                <w:szCs w:val="22"/>
                <w:lang w:val="es-CO"/>
              </w:rPr>
              <w:t xml:space="preserve"> Gil sufrió una incapacidad médico-legal definitiva de 105 días con secuelas permanentes: deformidad física y perturbación funcional transitoria. La Junta Regional de Calificación de Invalidez le dictaminó una pérdida de capacidad laboral del 21,75%. El </w:t>
            </w:r>
            <w:r w:rsidRPr="00190425">
              <w:rPr>
                <w:rFonts w:ascii="Century Gothic" w:hAnsi="Century Gothic"/>
                <w:sz w:val="22"/>
                <w:szCs w:val="22"/>
                <w:lang w:val="es-CO"/>
              </w:rPr>
              <w:lastRenderedPageBreak/>
              <w:t>demandante tuvo que pagar una evaluación médica, ya que el conductor del bus no presentó el SOAT y no recibió atención de la aseguradora.</w:t>
            </w:r>
          </w:p>
          <w:p w:rsidRPr="00190425" w:rsidR="00190425" w:rsidP="00190425" w:rsidRDefault="00190425" w14:paraId="0B59BA28" w14:textId="77777777">
            <w:pPr>
              <w:spacing w:line="276" w:lineRule="auto"/>
              <w:jc w:val="both"/>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0C473C98" w14:textId="77777777">
            <w:pPr>
              <w:numPr>
                <w:ilvl w:val="0"/>
                <w:numId w:val="12"/>
              </w:numPr>
              <w:spacing w:line="276" w:lineRule="auto"/>
              <w:jc w:val="both"/>
              <w:rPr>
                <w:rFonts w:ascii="Century Gothic" w:hAnsi="Century Gothic"/>
                <w:sz w:val="22"/>
                <w:szCs w:val="22"/>
                <w:lang w:val="es-CO"/>
              </w:rPr>
            </w:pPr>
            <w:r w:rsidRPr="00190425">
              <w:rPr>
                <w:rFonts w:ascii="Century Gothic" w:hAnsi="Century Gothic"/>
                <w:sz w:val="22"/>
                <w:szCs w:val="22"/>
                <w:lang w:val="es-CO"/>
              </w:rPr>
              <w:t>La aseguradora La Equidad Seguros negó el siniestro y ofreció una propuesta mínima de conciliación, no aceptada por el demandante.</w:t>
            </w:r>
          </w:p>
          <w:p w:rsidRPr="00190425" w:rsidR="00190425" w:rsidP="00190425" w:rsidRDefault="00190425" w14:paraId="23EC3F34" w14:textId="77777777">
            <w:pPr>
              <w:spacing w:line="276" w:lineRule="auto"/>
              <w:jc w:val="both"/>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39417945" w14:textId="77777777">
            <w:pPr>
              <w:numPr>
                <w:ilvl w:val="0"/>
                <w:numId w:val="13"/>
              </w:numPr>
              <w:spacing w:line="276" w:lineRule="auto"/>
              <w:jc w:val="both"/>
              <w:rPr>
                <w:rFonts w:ascii="Century Gothic" w:hAnsi="Century Gothic"/>
                <w:sz w:val="22"/>
                <w:szCs w:val="22"/>
                <w:lang w:val="es-CO"/>
              </w:rPr>
            </w:pPr>
            <w:r w:rsidRPr="00190425">
              <w:rPr>
                <w:rFonts w:ascii="Century Gothic" w:hAnsi="Century Gothic"/>
                <w:sz w:val="22"/>
                <w:szCs w:val="22"/>
                <w:lang w:val="es-CO"/>
              </w:rPr>
              <w:t>La Fiscalía de Santa Rosa de Viterbo adelanta investigación penal por los hechos.</w:t>
            </w:r>
          </w:p>
          <w:p w:rsidRPr="00190425" w:rsidR="00190425" w:rsidP="00190425" w:rsidRDefault="00190425" w14:paraId="1FD61B91" w14:textId="77777777">
            <w:pPr>
              <w:spacing w:line="276" w:lineRule="auto"/>
              <w:jc w:val="both"/>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73EC58CC" w14:textId="77777777">
            <w:pPr>
              <w:numPr>
                <w:ilvl w:val="0"/>
                <w:numId w:val="14"/>
              </w:numPr>
              <w:spacing w:line="276" w:lineRule="auto"/>
              <w:jc w:val="both"/>
              <w:rPr>
                <w:rFonts w:ascii="Century Gothic" w:hAnsi="Century Gothic"/>
                <w:sz w:val="22"/>
                <w:szCs w:val="22"/>
                <w:lang w:val="es-CO"/>
              </w:rPr>
            </w:pPr>
            <w:r w:rsidRPr="00190425">
              <w:rPr>
                <w:rFonts w:ascii="Century Gothic" w:hAnsi="Century Gothic"/>
                <w:sz w:val="22"/>
                <w:szCs w:val="22"/>
                <w:lang w:val="es-CO"/>
              </w:rPr>
              <w:t>Se establece que la única causa del accidente fue la conducta culposa del conductor del bus. Se culpa al conductor por exceso de velocidad, invasión de carril contrario y conducción imprudente en una vía riesgosa.</w:t>
            </w:r>
          </w:p>
          <w:p w:rsidRPr="00190425" w:rsidR="00190425" w:rsidP="00190425" w:rsidRDefault="00190425" w14:paraId="4D17831E" w14:textId="77777777">
            <w:pPr>
              <w:spacing w:line="276" w:lineRule="auto"/>
              <w:jc w:val="both"/>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1A0DFD3A" w14:textId="77777777">
            <w:pPr>
              <w:numPr>
                <w:ilvl w:val="0"/>
                <w:numId w:val="15"/>
              </w:numPr>
              <w:spacing w:line="276" w:lineRule="auto"/>
              <w:jc w:val="both"/>
              <w:rPr>
                <w:rFonts w:ascii="Century Gothic" w:hAnsi="Century Gothic"/>
                <w:sz w:val="22"/>
                <w:szCs w:val="22"/>
                <w:lang w:val="es-CO"/>
              </w:rPr>
            </w:pPr>
            <w:r w:rsidRPr="00190425">
              <w:rPr>
                <w:rFonts w:ascii="Century Gothic" w:hAnsi="Century Gothic"/>
                <w:sz w:val="22"/>
                <w:szCs w:val="22"/>
                <w:lang w:val="es-CO"/>
              </w:rPr>
              <w:t>Audiencia de conciliación fallida el día 19 de marzo de 2024, llevada ante la Cámara de Comercio de Sogamoso. </w:t>
            </w:r>
          </w:p>
          <w:p w:rsidRPr="00190425" w:rsidR="00190425" w:rsidP="00190425" w:rsidRDefault="00190425" w14:paraId="25B8600E" w14:textId="77777777">
            <w:pPr>
              <w:spacing w:line="276" w:lineRule="auto"/>
              <w:jc w:val="both"/>
              <w:rPr>
                <w:rFonts w:ascii="Century Gothic" w:hAnsi="Century Gothic"/>
                <w:sz w:val="22"/>
                <w:szCs w:val="22"/>
                <w:lang w:val="es-CO"/>
              </w:rPr>
            </w:pPr>
            <w:r w:rsidRPr="00190425">
              <w:rPr>
                <w:rFonts w:ascii="Century Gothic" w:hAnsi="Century Gothic"/>
                <w:sz w:val="22"/>
                <w:szCs w:val="22"/>
                <w:lang w:val="es-CO"/>
              </w:rPr>
              <w:t> </w:t>
            </w:r>
          </w:p>
          <w:p w:rsidRPr="00BA1E5F" w:rsidR="00B2787D" w:rsidP="007C37D7" w:rsidRDefault="00B2787D" w14:paraId="285181BA" w14:textId="77777777">
            <w:pPr>
              <w:spacing w:line="276" w:lineRule="auto"/>
              <w:jc w:val="center"/>
              <w:rPr>
                <w:rFonts w:ascii="Century Gothic" w:hAnsi="Century Gothic"/>
                <w:sz w:val="22"/>
                <w:szCs w:val="22"/>
              </w:rPr>
            </w:pPr>
          </w:p>
        </w:tc>
      </w:tr>
    </w:tbl>
    <w:p w:rsidR="003827E1" w:rsidRDefault="003827E1" w14:paraId="20C76EE3" w14:textId="77777777"/>
    <w:tbl>
      <w:tblPr>
        <w:tblStyle w:val="Tablaconcuadrcula"/>
        <w:tblW w:w="10207" w:type="dxa"/>
        <w:tblInd w:w="-431" w:type="dxa"/>
        <w:tblLook w:val="04A0" w:firstRow="1" w:lastRow="0" w:firstColumn="1" w:lastColumn="0" w:noHBand="0" w:noVBand="1"/>
      </w:tblPr>
      <w:tblGrid>
        <w:gridCol w:w="4537"/>
        <w:gridCol w:w="5670"/>
      </w:tblGrid>
      <w:tr w:rsidRPr="00BA1E5F" w:rsidR="007C37D7" w:rsidTr="0095378E" w14:paraId="2BD14B8D" w14:textId="77777777">
        <w:tc>
          <w:tcPr>
            <w:tcW w:w="10207" w:type="dxa"/>
            <w:gridSpan w:val="2"/>
            <w:shd w:val="clear" w:color="auto" w:fill="C5E0B3" w:themeFill="accent6" w:themeFillTint="66"/>
            <w:vAlign w:val="center"/>
          </w:tcPr>
          <w:p w:rsidRPr="00BA1E5F" w:rsidR="007C37D7" w:rsidP="007C37D7" w:rsidRDefault="007C37D7" w14:paraId="00111EA5" w14:textId="08575358">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Pr="00BA1E5F" w:rsidR="007C37D7" w:rsidTr="006056E7" w14:paraId="2B7256CB" w14:textId="77777777">
        <w:tc>
          <w:tcPr>
            <w:tcW w:w="10207" w:type="dxa"/>
            <w:gridSpan w:val="2"/>
            <w:vAlign w:val="center"/>
          </w:tcPr>
          <w:p w:rsidRPr="00BA1E5F" w:rsidR="007C37D7" w:rsidP="007C37D7" w:rsidRDefault="007C37D7" w14:paraId="11B57CBF" w14:textId="77777777">
            <w:pPr>
              <w:spacing w:line="276" w:lineRule="auto"/>
              <w:jc w:val="center"/>
              <w:rPr>
                <w:rFonts w:ascii="Century Gothic" w:hAnsi="Century Gothic"/>
                <w:sz w:val="22"/>
                <w:szCs w:val="22"/>
              </w:rPr>
            </w:pPr>
          </w:p>
          <w:p w:rsidRPr="00190425" w:rsidR="00190425" w:rsidP="00190425" w:rsidRDefault="00190425" w14:paraId="5EE00DD2" w14:textId="77777777">
            <w:pPr>
              <w:spacing w:line="276" w:lineRule="auto"/>
              <w:rPr>
                <w:rFonts w:ascii="Century Gothic" w:hAnsi="Century Gothic"/>
                <w:sz w:val="22"/>
                <w:szCs w:val="22"/>
                <w:lang w:val="es-CO"/>
              </w:rPr>
            </w:pPr>
            <w:r w:rsidRPr="00190425">
              <w:rPr>
                <w:rFonts w:ascii="Century Gothic" w:hAnsi="Century Gothic"/>
                <w:b/>
                <w:bCs/>
                <w:sz w:val="22"/>
                <w:szCs w:val="22"/>
                <w:lang w:val="es-CO"/>
              </w:rPr>
              <w:t>Pretensiones declarativas.</w:t>
            </w:r>
          </w:p>
          <w:p w:rsidRPr="00190425" w:rsidR="00190425" w:rsidP="00190425" w:rsidRDefault="00190425" w14:paraId="547F2607" w14:textId="77777777">
            <w:pPr>
              <w:spacing w:line="276" w:lineRule="auto"/>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2CE2B43C" w14:textId="77777777">
            <w:pPr>
              <w:numPr>
                <w:ilvl w:val="0"/>
                <w:numId w:val="16"/>
              </w:numPr>
              <w:spacing w:line="276" w:lineRule="auto"/>
              <w:rPr>
                <w:rFonts w:ascii="Century Gothic" w:hAnsi="Century Gothic"/>
                <w:sz w:val="22"/>
                <w:szCs w:val="22"/>
                <w:lang w:val="es-CO"/>
              </w:rPr>
            </w:pPr>
            <w:r w:rsidRPr="00190425">
              <w:rPr>
                <w:rFonts w:ascii="Century Gothic" w:hAnsi="Century Gothic"/>
                <w:sz w:val="22"/>
                <w:szCs w:val="22"/>
                <w:lang w:val="es-CO"/>
              </w:rPr>
              <w:t>Declarar la responsabilidad civil extracontractual, por el accidente ocurrido el 13 de marzo de 2020:</w:t>
            </w:r>
          </w:p>
          <w:p w:rsidRPr="00190425" w:rsidR="00190425" w:rsidP="00190425" w:rsidRDefault="00190425" w14:paraId="10292589" w14:textId="77777777">
            <w:pPr>
              <w:spacing w:line="276" w:lineRule="auto"/>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1591B40A" w14:textId="77777777">
            <w:pPr>
              <w:numPr>
                <w:ilvl w:val="0"/>
                <w:numId w:val="17"/>
              </w:numPr>
              <w:spacing w:line="276" w:lineRule="auto"/>
              <w:rPr>
                <w:rFonts w:ascii="Century Gothic" w:hAnsi="Century Gothic"/>
                <w:sz w:val="22"/>
                <w:szCs w:val="22"/>
                <w:lang w:val="es-CO"/>
              </w:rPr>
            </w:pPr>
            <w:r w:rsidRPr="00190425">
              <w:rPr>
                <w:rFonts w:ascii="Century Gothic" w:hAnsi="Century Gothic"/>
                <w:sz w:val="22"/>
                <w:szCs w:val="22"/>
                <w:lang w:val="es-CO"/>
              </w:rPr>
              <w:t>Declarar que los demandados están obligados al pago de los perjuicios causados al demandante: daño emergente, lucro cesante y perjuicios morales.</w:t>
            </w:r>
          </w:p>
          <w:p w:rsidRPr="00190425" w:rsidR="00190425" w:rsidP="00190425" w:rsidRDefault="00190425" w14:paraId="11B4B11D" w14:textId="77777777">
            <w:pPr>
              <w:spacing w:line="276" w:lineRule="auto"/>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5BFB51F7" w14:textId="77777777">
            <w:pPr>
              <w:spacing w:line="276" w:lineRule="auto"/>
              <w:rPr>
                <w:rFonts w:ascii="Century Gothic" w:hAnsi="Century Gothic"/>
                <w:sz w:val="22"/>
                <w:szCs w:val="22"/>
                <w:lang w:val="es-CO"/>
              </w:rPr>
            </w:pPr>
            <w:r w:rsidRPr="00190425">
              <w:rPr>
                <w:rFonts w:ascii="Century Gothic" w:hAnsi="Century Gothic"/>
                <w:b/>
                <w:bCs/>
                <w:sz w:val="22"/>
                <w:szCs w:val="22"/>
                <w:lang w:val="es-CO"/>
              </w:rPr>
              <w:t>Pretensiones condenatorias</w:t>
            </w:r>
          </w:p>
          <w:p w:rsidRPr="00190425" w:rsidR="00190425" w:rsidP="00190425" w:rsidRDefault="00190425" w14:paraId="538465EB" w14:textId="77777777">
            <w:pPr>
              <w:spacing w:line="276" w:lineRule="auto"/>
              <w:rPr>
                <w:rFonts w:ascii="Century Gothic" w:hAnsi="Century Gothic"/>
                <w:sz w:val="22"/>
                <w:szCs w:val="22"/>
                <w:lang w:val="es-CO"/>
              </w:rPr>
            </w:pPr>
            <w:r w:rsidRPr="00190425">
              <w:rPr>
                <w:rFonts w:ascii="Century Gothic" w:hAnsi="Century Gothic"/>
                <w:sz w:val="22"/>
                <w:szCs w:val="22"/>
                <w:lang w:val="es-CO"/>
              </w:rPr>
              <w:t> </w:t>
            </w:r>
          </w:p>
          <w:p w:rsidRPr="00190425" w:rsidR="00190425" w:rsidP="00190425" w:rsidRDefault="00190425" w14:paraId="1946C582" w14:textId="77777777">
            <w:pPr>
              <w:numPr>
                <w:ilvl w:val="0"/>
                <w:numId w:val="18"/>
              </w:numPr>
              <w:spacing w:line="276" w:lineRule="auto"/>
              <w:rPr>
                <w:rFonts w:ascii="Century Gothic" w:hAnsi="Century Gothic"/>
                <w:sz w:val="22"/>
                <w:szCs w:val="22"/>
                <w:lang w:val="es-CO"/>
              </w:rPr>
            </w:pPr>
            <w:r w:rsidRPr="00190425">
              <w:rPr>
                <w:rFonts w:ascii="Century Gothic" w:hAnsi="Century Gothic"/>
                <w:sz w:val="22"/>
                <w:szCs w:val="22"/>
                <w:lang w:val="es-CO"/>
              </w:rPr>
              <w:t>Daño emergente: $52.304.465</w:t>
            </w:r>
          </w:p>
          <w:p w:rsidRPr="00190425" w:rsidR="00190425" w:rsidP="00190425" w:rsidRDefault="00190425" w14:paraId="4B13DD99" w14:textId="77777777">
            <w:pPr>
              <w:numPr>
                <w:ilvl w:val="0"/>
                <w:numId w:val="18"/>
              </w:numPr>
              <w:spacing w:line="276" w:lineRule="auto"/>
              <w:rPr>
                <w:rFonts w:ascii="Century Gothic" w:hAnsi="Century Gothic"/>
                <w:sz w:val="22"/>
                <w:szCs w:val="22"/>
                <w:lang w:val="es-CO"/>
              </w:rPr>
            </w:pPr>
            <w:r w:rsidRPr="00190425">
              <w:rPr>
                <w:rFonts w:ascii="Century Gothic" w:hAnsi="Century Gothic"/>
                <w:sz w:val="22"/>
                <w:szCs w:val="22"/>
                <w:lang w:val="es-CO"/>
              </w:rPr>
              <w:t>Lucro cesante: Consolidado (marzo 2022 a junio 2024): $6.979.730</w:t>
            </w:r>
          </w:p>
          <w:p w:rsidRPr="00190425" w:rsidR="00190425" w:rsidP="00190425" w:rsidRDefault="00190425" w14:paraId="54291A76" w14:textId="77777777">
            <w:pPr>
              <w:numPr>
                <w:ilvl w:val="0"/>
                <w:numId w:val="18"/>
              </w:numPr>
              <w:spacing w:line="276" w:lineRule="auto"/>
              <w:rPr>
                <w:rFonts w:ascii="Century Gothic" w:hAnsi="Century Gothic"/>
                <w:sz w:val="22"/>
                <w:szCs w:val="22"/>
                <w:lang w:val="es-CO"/>
              </w:rPr>
            </w:pPr>
            <w:r w:rsidRPr="00190425">
              <w:rPr>
                <w:rFonts w:ascii="Century Gothic" w:hAnsi="Century Gothic"/>
                <w:sz w:val="22"/>
                <w:szCs w:val="22"/>
                <w:lang w:val="es-CO"/>
              </w:rPr>
              <w:t>Lucro cesante futuro: Futuro (julio 2024 a julio 2049): $78.785.775</w:t>
            </w:r>
          </w:p>
          <w:p w:rsidRPr="00190425" w:rsidR="00190425" w:rsidP="00190425" w:rsidRDefault="00190425" w14:paraId="47E8FF94" w14:textId="77777777">
            <w:pPr>
              <w:numPr>
                <w:ilvl w:val="0"/>
                <w:numId w:val="18"/>
              </w:numPr>
              <w:spacing w:line="276" w:lineRule="auto"/>
              <w:rPr>
                <w:rFonts w:ascii="Century Gothic" w:hAnsi="Century Gothic"/>
                <w:sz w:val="22"/>
                <w:szCs w:val="22"/>
                <w:lang w:val="es-CO"/>
              </w:rPr>
            </w:pPr>
            <w:r w:rsidRPr="00190425">
              <w:rPr>
                <w:rFonts w:ascii="Century Gothic" w:hAnsi="Century Gothic"/>
                <w:sz w:val="22"/>
                <w:szCs w:val="22"/>
                <w:lang w:val="es-CO"/>
              </w:rPr>
              <w:t>Daño a la vida en relación: 100 SMMLV ($142.350.000)</w:t>
            </w:r>
          </w:p>
          <w:p w:rsidRPr="00190425" w:rsidR="00190425" w:rsidP="00190425" w:rsidRDefault="00190425" w14:paraId="50A19B05" w14:textId="79CDDE74">
            <w:pPr>
              <w:numPr>
                <w:ilvl w:val="0"/>
                <w:numId w:val="18"/>
              </w:numPr>
              <w:spacing w:line="276" w:lineRule="auto"/>
              <w:rPr>
                <w:rFonts w:ascii="Century Gothic" w:hAnsi="Century Gothic"/>
                <w:sz w:val="22"/>
                <w:szCs w:val="22"/>
                <w:lang w:val="es-CO"/>
              </w:rPr>
            </w:pPr>
            <w:r w:rsidRPr="00190425">
              <w:rPr>
                <w:rFonts w:ascii="Century Gothic" w:hAnsi="Century Gothic"/>
                <w:sz w:val="22"/>
                <w:szCs w:val="22"/>
                <w:lang w:val="es-CO"/>
              </w:rPr>
              <w:t>Perjuicios morales: 2</w:t>
            </w:r>
            <w:r w:rsidR="009D230B">
              <w:rPr>
                <w:rFonts w:ascii="Century Gothic" w:hAnsi="Century Gothic"/>
                <w:sz w:val="22"/>
                <w:szCs w:val="22"/>
                <w:lang w:val="es-CO"/>
              </w:rPr>
              <w:t>5</w:t>
            </w:r>
            <w:r w:rsidRPr="00190425">
              <w:rPr>
                <w:rFonts w:ascii="Century Gothic" w:hAnsi="Century Gothic"/>
                <w:sz w:val="22"/>
                <w:szCs w:val="22"/>
                <w:lang w:val="es-CO"/>
              </w:rPr>
              <w:t>0 SMMLV ($</w:t>
            </w:r>
            <w:r w:rsidR="009D230B">
              <w:rPr>
                <w:rFonts w:ascii="Century Gothic" w:hAnsi="Century Gothic"/>
                <w:sz w:val="22"/>
                <w:szCs w:val="22"/>
                <w:lang w:val="es-CO"/>
              </w:rPr>
              <w:t>355.875</w:t>
            </w:r>
            <w:r w:rsidRPr="00190425">
              <w:rPr>
                <w:rFonts w:ascii="Century Gothic" w:hAnsi="Century Gothic"/>
                <w:sz w:val="22"/>
                <w:szCs w:val="22"/>
                <w:lang w:val="es-CO"/>
              </w:rPr>
              <w:t>.000)</w:t>
            </w:r>
          </w:p>
          <w:p w:rsidRPr="00190425" w:rsidR="00190425" w:rsidP="00190425" w:rsidRDefault="00190425" w14:paraId="62C4E8E1" w14:textId="77777777">
            <w:pPr>
              <w:numPr>
                <w:ilvl w:val="0"/>
                <w:numId w:val="18"/>
              </w:numPr>
              <w:spacing w:line="276" w:lineRule="auto"/>
              <w:rPr>
                <w:rFonts w:ascii="Century Gothic" w:hAnsi="Century Gothic"/>
                <w:sz w:val="22"/>
                <w:szCs w:val="22"/>
                <w:lang w:val="es-CO"/>
              </w:rPr>
            </w:pPr>
            <w:r w:rsidRPr="00190425">
              <w:rPr>
                <w:rFonts w:ascii="Century Gothic" w:hAnsi="Century Gothic"/>
                <w:sz w:val="22"/>
                <w:szCs w:val="22"/>
                <w:lang w:val="es-CO"/>
              </w:rPr>
              <w:t>Indexación de valores con base en el IPC del DANE.</w:t>
            </w:r>
          </w:p>
          <w:p w:rsidRPr="00190425" w:rsidR="00190425" w:rsidP="00190425" w:rsidRDefault="00190425" w14:paraId="3726E651" w14:textId="77777777">
            <w:pPr>
              <w:numPr>
                <w:ilvl w:val="0"/>
                <w:numId w:val="18"/>
              </w:numPr>
              <w:spacing w:line="276" w:lineRule="auto"/>
              <w:rPr>
                <w:rFonts w:ascii="Century Gothic" w:hAnsi="Century Gothic"/>
                <w:sz w:val="22"/>
                <w:szCs w:val="22"/>
                <w:lang w:val="es-CO"/>
              </w:rPr>
            </w:pPr>
            <w:r w:rsidRPr="00190425">
              <w:rPr>
                <w:rFonts w:ascii="Century Gothic" w:hAnsi="Century Gothic"/>
                <w:sz w:val="22"/>
                <w:szCs w:val="22"/>
                <w:lang w:val="es-CO"/>
              </w:rPr>
              <w:t>Reconocimiento de intereses o rendimientos financieros, según tasa certificada por la Superintendencia Financiera.</w:t>
            </w:r>
          </w:p>
          <w:p w:rsidRPr="00190425" w:rsidR="00190425" w:rsidP="00190425" w:rsidRDefault="00190425" w14:paraId="6A5E7E73" w14:textId="77777777">
            <w:pPr>
              <w:numPr>
                <w:ilvl w:val="0"/>
                <w:numId w:val="18"/>
              </w:numPr>
              <w:spacing w:line="276" w:lineRule="auto"/>
              <w:rPr>
                <w:rFonts w:ascii="Century Gothic" w:hAnsi="Century Gothic"/>
                <w:sz w:val="22"/>
                <w:szCs w:val="22"/>
                <w:lang w:val="es-CO"/>
              </w:rPr>
            </w:pPr>
            <w:r w:rsidRPr="00190425">
              <w:rPr>
                <w:rFonts w:ascii="Century Gothic" w:hAnsi="Century Gothic"/>
                <w:sz w:val="22"/>
                <w:szCs w:val="22"/>
                <w:lang w:val="es-CO"/>
              </w:rPr>
              <w:t>Condena en costas y agencias en derecho.</w:t>
            </w:r>
          </w:p>
          <w:p w:rsidRPr="00190425" w:rsidR="00190425" w:rsidP="00190425" w:rsidRDefault="00190425" w14:paraId="4625F77D" w14:textId="77777777">
            <w:pPr>
              <w:spacing w:line="276" w:lineRule="auto"/>
              <w:rPr>
                <w:rFonts w:ascii="Century Gothic" w:hAnsi="Century Gothic"/>
                <w:sz w:val="22"/>
                <w:szCs w:val="22"/>
                <w:lang w:val="es-CO"/>
              </w:rPr>
            </w:pPr>
            <w:r w:rsidRPr="00190425">
              <w:rPr>
                <w:rFonts w:ascii="Century Gothic" w:hAnsi="Century Gothic"/>
                <w:sz w:val="22"/>
                <w:szCs w:val="22"/>
                <w:lang w:val="es-CO"/>
              </w:rPr>
              <w:t> </w:t>
            </w:r>
          </w:p>
          <w:p w:rsidRPr="00190425" w:rsidR="00FD53B3" w:rsidP="00190425" w:rsidRDefault="00190425" w14:paraId="77C06868" w14:textId="09A0F5A7">
            <w:pPr>
              <w:spacing w:line="276" w:lineRule="auto"/>
              <w:rPr>
                <w:rFonts w:ascii="Century Gothic" w:hAnsi="Century Gothic"/>
                <w:sz w:val="22"/>
                <w:szCs w:val="22"/>
                <w:lang w:val="es-CO"/>
              </w:rPr>
            </w:pPr>
            <w:r w:rsidRPr="00190425">
              <w:rPr>
                <w:rFonts w:ascii="Century Gothic" w:hAnsi="Century Gothic"/>
                <w:b/>
                <w:bCs/>
                <w:sz w:val="22"/>
                <w:szCs w:val="22"/>
                <w:lang w:val="es-CO"/>
              </w:rPr>
              <w:t>TOTAL </w:t>
            </w:r>
            <w:r w:rsidRPr="00190425">
              <w:rPr>
                <w:rFonts w:ascii="Century Gothic" w:hAnsi="Century Gothic"/>
                <w:sz w:val="22"/>
                <w:szCs w:val="22"/>
                <w:lang w:val="es-CO"/>
              </w:rPr>
              <w:t>$</w:t>
            </w:r>
            <w:r w:rsidR="009D230B">
              <w:rPr>
                <w:rFonts w:ascii="Century Gothic" w:hAnsi="Century Gothic"/>
                <w:sz w:val="22"/>
                <w:szCs w:val="22"/>
                <w:lang w:val="es-CO"/>
              </w:rPr>
              <w:t>636.294.970</w:t>
            </w:r>
          </w:p>
        </w:tc>
      </w:tr>
      <w:tr w:rsidRPr="00BA1E5F" w:rsidR="00992368" w:rsidTr="003827E1" w14:paraId="50D1C7A7" w14:textId="77777777">
        <w:trPr>
          <w:trHeight w:val="510"/>
        </w:trPr>
        <w:tc>
          <w:tcPr>
            <w:tcW w:w="4537" w:type="dxa"/>
            <w:vAlign w:val="center"/>
          </w:tcPr>
          <w:p w:rsidRPr="00BA1E5F" w:rsidR="00992368" w:rsidP="003B7F1A" w:rsidRDefault="001E1616" w14:paraId="013247F4" w14:textId="68D4118C">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rsidRPr="00BA1E5F" w:rsidR="00992368" w:rsidP="003827E1" w:rsidRDefault="009D230B" w14:paraId="00FEFA37" w14:textId="619F86BD">
            <w:pPr>
              <w:spacing w:line="276" w:lineRule="auto"/>
              <w:rPr>
                <w:rFonts w:ascii="Century Gothic" w:hAnsi="Century Gothic"/>
                <w:sz w:val="22"/>
                <w:szCs w:val="22"/>
              </w:rPr>
            </w:pPr>
            <w:r w:rsidRPr="009D230B">
              <w:rPr>
                <w:rFonts w:ascii="Century Gothic" w:hAnsi="Century Gothic"/>
                <w:sz w:val="22"/>
                <w:szCs w:val="22"/>
              </w:rPr>
              <w:t>$636.294.970</w:t>
            </w:r>
          </w:p>
        </w:tc>
      </w:tr>
      <w:tr w:rsidRPr="00BA1E5F" w:rsidR="00992368" w:rsidTr="003827E1" w14:paraId="668F9413" w14:textId="77777777">
        <w:trPr>
          <w:trHeight w:val="510"/>
        </w:trPr>
        <w:tc>
          <w:tcPr>
            <w:tcW w:w="4537" w:type="dxa"/>
            <w:vAlign w:val="center"/>
          </w:tcPr>
          <w:p w:rsidRPr="00BA1E5F" w:rsidR="00992368" w:rsidP="003B7F1A" w:rsidRDefault="00FD53B3" w14:paraId="34E17619" w14:textId="7EF66606">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rsidRPr="00B30D4A" w:rsidR="00992368" w:rsidP="003436B9" w:rsidRDefault="00B30D4A" w14:paraId="487C6084" w14:textId="47628B1E">
            <w:pPr>
              <w:spacing w:line="276" w:lineRule="auto"/>
              <w:rPr>
                <w:rFonts w:ascii="Century Gothic" w:hAnsi="Century Gothic"/>
                <w:sz w:val="22"/>
                <w:szCs w:val="22"/>
              </w:rPr>
            </w:pPr>
            <w:r w:rsidRPr="00B30D4A">
              <w:rPr>
                <w:rFonts w:ascii="Century Gothic" w:hAnsi="Century Gothic"/>
                <w:sz w:val="22"/>
                <w:szCs w:val="22"/>
                <w:lang w:val="es-CO"/>
              </w:rPr>
              <w:t>$85.410.000</w:t>
            </w:r>
          </w:p>
        </w:tc>
      </w:tr>
    </w:tbl>
    <w:p w:rsidR="0095378E" w:rsidRDefault="0095378E" w14:paraId="146E9C6D" w14:textId="77777777"/>
    <w:tbl>
      <w:tblPr>
        <w:tblStyle w:val="Tablaconcuadrcula"/>
        <w:tblW w:w="10191" w:type="dxa"/>
        <w:tblInd w:w="-431" w:type="dxa"/>
        <w:tblLook w:val="04A0" w:firstRow="1" w:lastRow="0" w:firstColumn="1" w:lastColumn="0" w:noHBand="0" w:noVBand="1"/>
      </w:tblPr>
      <w:tblGrid>
        <w:gridCol w:w="10191"/>
      </w:tblGrid>
      <w:tr w:rsidRPr="00BA1E5F" w:rsidR="00E802BC" w:rsidTr="784AE284" w14:paraId="77F9F71B" w14:textId="77777777">
        <w:trPr>
          <w:trHeight w:val="285"/>
        </w:trPr>
        <w:tc>
          <w:tcPr>
            <w:tcW w:w="10191" w:type="dxa"/>
            <w:shd w:val="clear" w:color="auto" w:fill="C5E0B3" w:themeFill="accent6" w:themeFillTint="66"/>
            <w:tcMar/>
            <w:vAlign w:val="center"/>
          </w:tcPr>
          <w:p w:rsidRPr="00BA1E5F" w:rsidR="00E802BC" w:rsidP="00E802BC" w:rsidRDefault="00E802BC" w14:paraId="10E33877" w14:textId="0E982702">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Pr="00BA1E5F" w:rsidR="003436B9" w:rsidTr="784AE284" w14:paraId="33786C43" w14:textId="77777777">
        <w:trPr>
          <w:trHeight w:val="6406"/>
        </w:trPr>
        <w:tc>
          <w:tcPr>
            <w:tcW w:w="10191" w:type="dxa"/>
            <w:tcMar/>
            <w:vAlign w:val="center"/>
          </w:tcPr>
          <w:p w:rsidR="003436B9" w:rsidP="00812114" w:rsidRDefault="003436B9" w14:paraId="2EB7F804" w14:textId="0BF7AF7E">
            <w:pPr>
              <w:spacing w:line="276" w:lineRule="auto"/>
              <w:jc w:val="both"/>
              <w:rPr>
                <w:rFonts w:ascii="Century Gothic" w:hAnsi="Century Gothic"/>
                <w:sz w:val="22"/>
                <w:szCs w:val="22"/>
                <w:lang w:val="es-CO"/>
              </w:rPr>
            </w:pPr>
            <w:r w:rsidRPr="002E1D2C">
              <w:rPr>
                <w:rFonts w:ascii="Century Gothic" w:hAnsi="Century Gothic"/>
                <w:sz w:val="22"/>
                <w:szCs w:val="22"/>
                <w:lang w:val="es-CO"/>
              </w:rPr>
              <w:t>La liquidación objetiva de las pretensiones asciende a: </w:t>
            </w:r>
            <w:r w:rsidRPr="002E1D2C">
              <w:rPr>
                <w:rFonts w:ascii="Century Gothic" w:hAnsi="Century Gothic"/>
                <w:b/>
                <w:bCs/>
                <w:sz w:val="22"/>
                <w:szCs w:val="22"/>
                <w:lang w:val="es-CO"/>
              </w:rPr>
              <w:t xml:space="preserve">$ </w:t>
            </w:r>
            <w:r w:rsidRPr="00B30D4A" w:rsidR="00B30D4A">
              <w:rPr>
                <w:rFonts w:ascii="Century Gothic" w:hAnsi="Century Gothic"/>
                <w:b/>
                <w:bCs/>
                <w:sz w:val="22"/>
                <w:szCs w:val="22"/>
                <w:lang w:val="es-CO"/>
              </w:rPr>
              <w:t>85.410.000</w:t>
            </w:r>
            <w:r w:rsidRPr="002E1D2C">
              <w:rPr>
                <w:rFonts w:ascii="Century Gothic" w:hAnsi="Century Gothic"/>
                <w:sz w:val="22"/>
                <w:szCs w:val="22"/>
                <w:lang w:val="es-CO"/>
              </w:rPr>
              <w:t>, a este valor se llega de la siguiente manera:</w:t>
            </w:r>
          </w:p>
          <w:p w:rsidR="00190425" w:rsidP="00812114" w:rsidRDefault="00190425" w14:paraId="28D8C7E4" w14:textId="77777777">
            <w:pPr>
              <w:spacing w:line="276" w:lineRule="auto"/>
              <w:jc w:val="both"/>
              <w:rPr>
                <w:rFonts w:ascii="Century Gothic" w:hAnsi="Century Gothic"/>
                <w:sz w:val="22"/>
                <w:szCs w:val="22"/>
                <w:lang w:val="es-CO"/>
              </w:rPr>
            </w:pPr>
          </w:p>
          <w:p w:rsidR="00190425" w:rsidP="00812114" w:rsidRDefault="00190425" w14:paraId="0FAE0587" w14:textId="0C643847">
            <w:pPr>
              <w:spacing w:line="276" w:lineRule="auto"/>
              <w:jc w:val="both"/>
              <w:rPr>
                <w:rFonts w:ascii="Century Gothic" w:hAnsi="Century Gothic"/>
                <w:sz w:val="22"/>
                <w:szCs w:val="22"/>
                <w:lang w:val="es-CO"/>
              </w:rPr>
            </w:pPr>
            <w:r w:rsidRPr="001F4F7C">
              <w:rPr>
                <w:rFonts w:ascii="Century Gothic" w:hAnsi="Century Gothic"/>
                <w:b/>
                <w:bCs/>
                <w:sz w:val="22"/>
                <w:szCs w:val="22"/>
                <w:lang w:val="es-CO"/>
              </w:rPr>
              <w:t>DAÑO EMERGENTE</w:t>
            </w:r>
            <w:r w:rsidRPr="001F4F7C">
              <w:rPr>
                <w:rFonts w:ascii="Century Gothic" w:hAnsi="Century Gothic"/>
                <w:sz w:val="22"/>
                <w:szCs w:val="22"/>
                <w:lang w:val="es-CO"/>
              </w:rPr>
              <w:t xml:space="preserve">: </w:t>
            </w:r>
            <w:r w:rsidRPr="001F4F7C" w:rsidR="003C760F">
              <w:rPr>
                <w:rFonts w:ascii="Century Gothic" w:hAnsi="Century Gothic"/>
                <w:sz w:val="22"/>
                <w:szCs w:val="22"/>
                <w:lang w:val="es-CO"/>
              </w:rPr>
              <w:t>No procede el reconocimiento de suma alguna por este concepto, toda vez que en el proceso no fueron aportadas facturas, recibos u otros documentos idóneos que acrediten los supuestos gastos en los que afirma haber incurrido el demandante. Adicionalmente, los valores reclamados por concepto de dictámenes, valoraciones o audiencias de conciliación corresponden a gastos propios del trámite judicial, los cuales, según el resultado del proceso, se reconocen a través de la condena en costas. En consecuencia, dichos rubros no constituyen un perjuicio indemnizable.</w:t>
            </w:r>
          </w:p>
          <w:p w:rsidRPr="001F4F7C" w:rsidR="001F4F7C" w:rsidP="00812114" w:rsidRDefault="001F4F7C" w14:paraId="13ACFE00" w14:textId="77777777">
            <w:pPr>
              <w:spacing w:line="276" w:lineRule="auto"/>
              <w:jc w:val="both"/>
              <w:rPr>
                <w:rFonts w:ascii="Century Gothic" w:hAnsi="Century Gothic"/>
                <w:sz w:val="22"/>
                <w:szCs w:val="22"/>
                <w:lang w:val="es-CO"/>
              </w:rPr>
            </w:pPr>
          </w:p>
          <w:p w:rsidRPr="001F4F7C" w:rsidR="003C760F" w:rsidP="00812114" w:rsidRDefault="003C760F" w14:paraId="2EC31B5A" w14:textId="092CB4CC">
            <w:pPr>
              <w:spacing w:line="276" w:lineRule="auto"/>
              <w:jc w:val="both"/>
              <w:rPr>
                <w:rFonts w:ascii="Century Gothic" w:hAnsi="Century Gothic"/>
                <w:sz w:val="22"/>
                <w:szCs w:val="22"/>
                <w:lang w:val="es-CO"/>
              </w:rPr>
            </w:pPr>
            <w:r w:rsidRPr="001F4F7C">
              <w:rPr>
                <w:rFonts w:ascii="Century Gothic" w:hAnsi="Century Gothic"/>
                <w:b/>
                <w:bCs/>
                <w:sz w:val="22"/>
                <w:szCs w:val="22"/>
                <w:lang w:val="es-CO"/>
              </w:rPr>
              <w:t>LUCRO CESANTE:</w:t>
            </w:r>
            <w:r w:rsidRPr="001F4F7C">
              <w:rPr>
                <w:rFonts w:ascii="Century Gothic" w:hAnsi="Century Gothic"/>
                <w:sz w:val="22"/>
                <w:szCs w:val="22"/>
                <w:lang w:val="es-CO"/>
              </w:rPr>
              <w:t xml:space="preserve"> Se </w:t>
            </w:r>
            <w:r w:rsidRPr="001F4F7C" w:rsidR="001F4F7C">
              <w:rPr>
                <w:rFonts w:ascii="Century Gothic" w:hAnsi="Century Gothic"/>
                <w:sz w:val="22"/>
                <w:szCs w:val="22"/>
                <w:lang w:val="es-CO"/>
              </w:rPr>
              <w:t>reconocerá</w:t>
            </w:r>
            <w:r w:rsidRPr="001F4F7C">
              <w:rPr>
                <w:rFonts w:ascii="Century Gothic" w:hAnsi="Century Gothic"/>
                <w:sz w:val="22"/>
                <w:szCs w:val="22"/>
                <w:lang w:val="es-CO"/>
              </w:rPr>
              <w:t xml:space="preserve"> la suma de $</w:t>
            </w:r>
            <w:r w:rsidR="001F4F7C">
              <w:rPr>
                <w:rFonts w:ascii="Century Gothic" w:hAnsi="Century Gothic"/>
                <w:sz w:val="22"/>
                <w:szCs w:val="22"/>
                <w:lang w:val="es-CO"/>
              </w:rPr>
              <w:t>57.655.018</w:t>
            </w:r>
            <w:r w:rsidRPr="001F4F7C">
              <w:rPr>
                <w:rFonts w:ascii="Century Gothic" w:hAnsi="Century Gothic"/>
                <w:sz w:val="22"/>
                <w:szCs w:val="22"/>
                <w:lang w:val="es-CO"/>
              </w:rPr>
              <w:t>, discriminado de la siguiente forma:</w:t>
            </w:r>
          </w:p>
          <w:p w:rsidR="003C760F" w:rsidP="00812114" w:rsidRDefault="003C760F" w14:paraId="662FF761" w14:textId="77777777">
            <w:pPr>
              <w:pStyle w:val="Prrafodelista"/>
              <w:spacing w:line="276" w:lineRule="auto"/>
              <w:ind w:left="1440"/>
              <w:jc w:val="both"/>
              <w:rPr>
                <w:rFonts w:ascii="Century Gothic" w:hAnsi="Century Gothic"/>
                <w:sz w:val="22"/>
                <w:szCs w:val="22"/>
                <w:lang w:val="es-CO"/>
              </w:rPr>
            </w:pPr>
          </w:p>
          <w:p w:rsidR="00944D31" w:rsidP="00812114" w:rsidRDefault="003C760F" w14:paraId="56029AA9" w14:textId="18FDD5AE">
            <w:pPr>
              <w:pStyle w:val="Prrafodelista"/>
              <w:numPr>
                <w:ilvl w:val="0"/>
                <w:numId w:val="17"/>
              </w:numPr>
              <w:spacing w:line="276" w:lineRule="auto"/>
              <w:jc w:val="both"/>
              <w:rPr>
                <w:rFonts w:ascii="Century Gothic" w:hAnsi="Century Gothic"/>
                <w:sz w:val="22"/>
                <w:szCs w:val="22"/>
                <w:lang w:val="es-CO"/>
              </w:rPr>
            </w:pPr>
            <w:r>
              <w:rPr>
                <w:rFonts w:ascii="Century Gothic" w:hAnsi="Century Gothic"/>
                <w:sz w:val="22"/>
                <w:szCs w:val="22"/>
                <w:lang w:val="es-CO"/>
              </w:rPr>
              <w:t>Lucro cesante por incapacidad</w:t>
            </w:r>
            <w:r w:rsidR="00944D31">
              <w:rPr>
                <w:rFonts w:ascii="Century Gothic" w:hAnsi="Century Gothic"/>
                <w:sz w:val="22"/>
                <w:szCs w:val="22"/>
                <w:lang w:val="es-CO"/>
              </w:rPr>
              <w:t xml:space="preserve">: </w:t>
            </w:r>
            <w:r w:rsidRPr="00944D31" w:rsidR="00944D31">
              <w:rPr>
                <w:rFonts w:ascii="Century Gothic" w:hAnsi="Century Gothic"/>
                <w:sz w:val="22"/>
                <w:szCs w:val="22"/>
                <w:lang w:val="es-CO"/>
              </w:rPr>
              <w:t>El valor reconocido asciende a $3.290.732, calculado conforme a la fórmula establecida por las altas cortes para este tipo de concepto. Para ello se tomó como base el salario mínimo mensual legal vigente en el año 2020, equivalente a $877.803, debidamente indexado, lo que arrojó un ingreso base de $1.253.612. A esta suma se le descontó el 25% correspondiente a los gastos de subsistencia, y posteriormente se aplicó el período de incapacidad médica de 105 días, lo cual condujo al resultado final de $3.290.732 por este concepto.</w:t>
            </w:r>
          </w:p>
          <w:p w:rsidR="00944D31" w:rsidP="00812114" w:rsidRDefault="00944D31" w14:paraId="29D54C1F" w14:textId="77777777">
            <w:pPr>
              <w:pStyle w:val="Prrafodelista"/>
              <w:spacing w:line="276" w:lineRule="auto"/>
              <w:jc w:val="both"/>
              <w:rPr>
                <w:rFonts w:ascii="Century Gothic" w:hAnsi="Century Gothic"/>
                <w:sz w:val="22"/>
                <w:szCs w:val="22"/>
                <w:lang w:val="es-CO"/>
              </w:rPr>
            </w:pPr>
          </w:p>
          <w:p w:rsidR="003C760F" w:rsidP="00812114" w:rsidRDefault="003C760F" w14:paraId="5F907BEB" w14:textId="118E3C88">
            <w:pPr>
              <w:pStyle w:val="Prrafodelista"/>
              <w:numPr>
                <w:ilvl w:val="0"/>
                <w:numId w:val="17"/>
              </w:numPr>
              <w:spacing w:line="276" w:lineRule="auto"/>
              <w:jc w:val="both"/>
              <w:rPr>
                <w:rFonts w:ascii="Century Gothic" w:hAnsi="Century Gothic"/>
                <w:sz w:val="22"/>
                <w:szCs w:val="22"/>
                <w:lang w:val="es-CO"/>
              </w:rPr>
            </w:pPr>
            <w:r>
              <w:rPr>
                <w:rFonts w:ascii="Century Gothic" w:hAnsi="Century Gothic"/>
                <w:sz w:val="22"/>
                <w:szCs w:val="22"/>
                <w:lang w:val="es-CO"/>
              </w:rPr>
              <w:t>Lucro cesante consolidado</w:t>
            </w:r>
            <w:r w:rsidR="00944D31">
              <w:rPr>
                <w:rFonts w:ascii="Century Gothic" w:hAnsi="Century Gothic"/>
                <w:sz w:val="22"/>
                <w:szCs w:val="22"/>
                <w:lang w:val="es-CO"/>
              </w:rPr>
              <w:t xml:space="preserve">: </w:t>
            </w:r>
            <w:r w:rsidRPr="00EE7167" w:rsidR="00EE7167">
              <w:rPr>
                <w:rFonts w:ascii="Century Gothic" w:hAnsi="Century Gothic"/>
                <w:sz w:val="22"/>
                <w:szCs w:val="22"/>
                <w:lang w:val="es-CO"/>
              </w:rPr>
              <w:t>Se reconoce como lucro cesante consolidado la suma de $</w:t>
            </w:r>
            <w:r w:rsidR="00EE7167">
              <w:rPr>
                <w:rFonts w:ascii="Century Gothic" w:hAnsi="Century Gothic"/>
                <w:sz w:val="22"/>
                <w:szCs w:val="22"/>
                <w:lang w:val="es-CO"/>
              </w:rPr>
              <w:t>15</w:t>
            </w:r>
            <w:r w:rsidRPr="00EE7167" w:rsidR="00EE7167">
              <w:rPr>
                <w:rFonts w:ascii="Century Gothic" w:hAnsi="Century Gothic"/>
                <w:sz w:val="22"/>
                <w:szCs w:val="22"/>
                <w:lang w:val="es-CO"/>
              </w:rPr>
              <w:t>.</w:t>
            </w:r>
            <w:r w:rsidR="00EE7167">
              <w:rPr>
                <w:rFonts w:ascii="Century Gothic" w:hAnsi="Century Gothic"/>
                <w:sz w:val="22"/>
                <w:szCs w:val="22"/>
                <w:lang w:val="es-CO"/>
              </w:rPr>
              <w:t>591.218</w:t>
            </w:r>
            <w:r w:rsidRPr="00EE7167" w:rsidR="00EE7167">
              <w:rPr>
                <w:rFonts w:ascii="Century Gothic" w:hAnsi="Century Gothic"/>
                <w:sz w:val="22"/>
                <w:szCs w:val="22"/>
                <w:lang w:val="es-CO"/>
              </w:rPr>
              <w:t xml:space="preserve"> En aplicación a la fórmula establecida por las altas Cortes, en donde se tuvo en cuenta factores como, </w:t>
            </w:r>
            <w:r w:rsidR="00EE7167">
              <w:rPr>
                <w:rFonts w:ascii="Century Gothic" w:hAnsi="Century Gothic"/>
                <w:sz w:val="22"/>
                <w:szCs w:val="22"/>
                <w:lang w:val="es-CO"/>
              </w:rPr>
              <w:t xml:space="preserve">bajo el presupuesto de que el </w:t>
            </w:r>
            <w:r w:rsidRPr="00EE7167" w:rsidR="00EE7167">
              <w:rPr>
                <w:rFonts w:ascii="Century Gothic" w:hAnsi="Century Gothic"/>
                <w:sz w:val="22"/>
                <w:szCs w:val="22"/>
                <w:lang w:val="es-CO"/>
              </w:rPr>
              <w:t xml:space="preserve">señor </w:t>
            </w:r>
            <w:proofErr w:type="spellStart"/>
            <w:r w:rsidR="00EE7167">
              <w:rPr>
                <w:rFonts w:ascii="Century Gothic" w:hAnsi="Century Gothic"/>
                <w:sz w:val="22"/>
                <w:szCs w:val="22"/>
                <w:lang w:val="es-CO"/>
              </w:rPr>
              <w:t>Edinson</w:t>
            </w:r>
            <w:proofErr w:type="spellEnd"/>
            <w:r w:rsidR="00EE7167">
              <w:rPr>
                <w:rFonts w:ascii="Century Gothic" w:hAnsi="Century Gothic"/>
                <w:sz w:val="22"/>
                <w:szCs w:val="22"/>
                <w:lang w:val="es-CO"/>
              </w:rPr>
              <w:t xml:space="preserve"> Gil</w:t>
            </w:r>
            <w:r w:rsidRPr="00EE7167" w:rsidR="00EE7167">
              <w:rPr>
                <w:rFonts w:ascii="Century Gothic" w:hAnsi="Century Gothic"/>
                <w:sz w:val="22"/>
                <w:szCs w:val="22"/>
                <w:lang w:val="es-CO"/>
              </w:rPr>
              <w:t xml:space="preserve"> </w:t>
            </w:r>
            <w:r w:rsidR="00EE7167">
              <w:rPr>
                <w:rFonts w:ascii="Century Gothic" w:hAnsi="Century Gothic"/>
                <w:sz w:val="22"/>
                <w:szCs w:val="22"/>
                <w:lang w:val="es-CO"/>
              </w:rPr>
              <w:t>devengaba un salario mínimo para el</w:t>
            </w:r>
            <w:r w:rsidRPr="00EE7167" w:rsidR="00EE7167">
              <w:rPr>
                <w:rFonts w:ascii="Century Gothic" w:hAnsi="Century Gothic"/>
                <w:sz w:val="22"/>
                <w:szCs w:val="22"/>
                <w:lang w:val="es-CO"/>
              </w:rPr>
              <w:t xml:space="preserve"> 202</w:t>
            </w:r>
            <w:r w:rsidR="00EE7167">
              <w:rPr>
                <w:rFonts w:ascii="Century Gothic" w:hAnsi="Century Gothic"/>
                <w:sz w:val="22"/>
                <w:szCs w:val="22"/>
                <w:lang w:val="es-CO"/>
              </w:rPr>
              <w:t>0</w:t>
            </w:r>
            <w:r w:rsidRPr="00EE7167" w:rsidR="00EE7167">
              <w:rPr>
                <w:rFonts w:ascii="Century Gothic" w:hAnsi="Century Gothic"/>
                <w:sz w:val="22"/>
                <w:szCs w:val="22"/>
                <w:lang w:val="es-CO"/>
              </w:rPr>
              <w:t xml:space="preserve"> ($</w:t>
            </w:r>
            <w:r w:rsidR="00EE7167">
              <w:rPr>
                <w:rFonts w:ascii="Century Gothic" w:hAnsi="Century Gothic"/>
                <w:sz w:val="22"/>
                <w:szCs w:val="22"/>
                <w:lang w:val="es-CO"/>
              </w:rPr>
              <w:t>877.803</w:t>
            </w:r>
            <w:r w:rsidRPr="00EE7167" w:rsidR="00EE7167">
              <w:rPr>
                <w:rFonts w:ascii="Century Gothic" w:hAnsi="Century Gothic"/>
                <w:sz w:val="22"/>
                <w:szCs w:val="22"/>
                <w:lang w:val="es-CO"/>
              </w:rPr>
              <w:t>) y su respectiva indexación, los meses transcurridos desde el accidente a la fecha del informe (</w:t>
            </w:r>
            <w:r w:rsidR="00EE7167">
              <w:rPr>
                <w:rFonts w:ascii="Century Gothic" w:hAnsi="Century Gothic"/>
                <w:sz w:val="22"/>
                <w:szCs w:val="22"/>
                <w:lang w:val="es-CO"/>
              </w:rPr>
              <w:t>65</w:t>
            </w:r>
            <w:r w:rsidRPr="00EE7167" w:rsidR="00EE7167">
              <w:rPr>
                <w:rFonts w:ascii="Century Gothic" w:hAnsi="Century Gothic"/>
                <w:sz w:val="22"/>
                <w:szCs w:val="22"/>
                <w:lang w:val="es-CO"/>
              </w:rPr>
              <w:t xml:space="preserve"> meses), y </w:t>
            </w:r>
            <w:r w:rsidRPr="00944D31" w:rsidR="00EE7167">
              <w:rPr>
                <w:rFonts w:ascii="Century Gothic" w:hAnsi="Century Gothic"/>
                <w:sz w:val="22"/>
                <w:szCs w:val="22"/>
                <w:lang w:val="es-CO"/>
              </w:rPr>
              <w:t>descontó el 25% correspondiente a los gastos de subsistencia</w:t>
            </w:r>
            <w:r w:rsidRPr="00EE7167" w:rsidR="00EE7167">
              <w:rPr>
                <w:rFonts w:ascii="Century Gothic" w:hAnsi="Century Gothic"/>
                <w:sz w:val="22"/>
                <w:szCs w:val="22"/>
                <w:lang w:val="es-CO"/>
              </w:rPr>
              <w:t>. Considerando estos factores y en aplicación de la fórmula de las altas Cortes, se obtuvo el resultado que de $</w:t>
            </w:r>
            <w:r w:rsidR="00EE7167">
              <w:rPr>
                <w:rFonts w:ascii="Century Gothic" w:hAnsi="Century Gothic"/>
                <w:sz w:val="22"/>
                <w:szCs w:val="22"/>
                <w:lang w:val="es-CO"/>
              </w:rPr>
              <w:t>71.683.762, valor que se computo con el porcentaje de PCL equivalente a 21.75%, lo que arroja u valor total de $15.591.218</w:t>
            </w:r>
            <w:r w:rsidRPr="00EE7167" w:rsidR="00EE7167">
              <w:rPr>
                <w:rFonts w:ascii="Century Gothic" w:hAnsi="Century Gothic"/>
                <w:sz w:val="22"/>
                <w:szCs w:val="22"/>
                <w:lang w:val="es-CO"/>
              </w:rPr>
              <w:t xml:space="preserve">. </w:t>
            </w:r>
          </w:p>
          <w:p w:rsidRPr="00944D31" w:rsidR="00944D31" w:rsidP="00812114" w:rsidRDefault="00944D31" w14:paraId="65C72D24" w14:textId="77777777">
            <w:pPr>
              <w:spacing w:line="276" w:lineRule="auto"/>
              <w:jc w:val="both"/>
              <w:rPr>
                <w:rFonts w:ascii="Century Gothic" w:hAnsi="Century Gothic"/>
                <w:sz w:val="22"/>
                <w:szCs w:val="22"/>
                <w:lang w:val="es-CO"/>
              </w:rPr>
            </w:pPr>
          </w:p>
          <w:p w:rsidRPr="003C760F" w:rsidR="003C760F" w:rsidP="00812114" w:rsidRDefault="003C760F" w14:paraId="381314AA" w14:textId="403181C9">
            <w:pPr>
              <w:pStyle w:val="Prrafodelista"/>
              <w:numPr>
                <w:ilvl w:val="0"/>
                <w:numId w:val="17"/>
              </w:numPr>
              <w:spacing w:line="276" w:lineRule="auto"/>
              <w:jc w:val="both"/>
              <w:rPr>
                <w:rFonts w:ascii="Century Gothic" w:hAnsi="Century Gothic"/>
                <w:sz w:val="22"/>
                <w:szCs w:val="22"/>
                <w:lang w:val="es-CO"/>
              </w:rPr>
            </w:pPr>
            <w:r>
              <w:rPr>
                <w:rFonts w:ascii="Century Gothic" w:hAnsi="Century Gothic"/>
                <w:sz w:val="22"/>
                <w:szCs w:val="22"/>
                <w:lang w:val="es-CO"/>
              </w:rPr>
              <w:t>Lucro cesante futuro</w:t>
            </w:r>
            <w:r w:rsidR="00EE7167">
              <w:rPr>
                <w:rFonts w:ascii="Century Gothic" w:hAnsi="Century Gothic"/>
                <w:sz w:val="22"/>
                <w:szCs w:val="22"/>
                <w:lang w:val="es-CO"/>
              </w:rPr>
              <w:t xml:space="preserve">: </w:t>
            </w:r>
            <w:r w:rsidRPr="001F4F7C" w:rsidR="001F4F7C">
              <w:rPr>
                <w:rFonts w:ascii="Century Gothic" w:hAnsi="Century Gothic"/>
                <w:sz w:val="22"/>
                <w:szCs w:val="22"/>
                <w:lang w:val="es-CO"/>
              </w:rPr>
              <w:t>se reconoce como lucro cesante futuro la suma de $</w:t>
            </w:r>
            <w:r w:rsidR="001F4F7C">
              <w:rPr>
                <w:rFonts w:ascii="Century Gothic" w:hAnsi="Century Gothic"/>
                <w:sz w:val="22"/>
                <w:szCs w:val="22"/>
                <w:lang w:val="es-CO"/>
              </w:rPr>
              <w:t>38.773.068</w:t>
            </w:r>
            <w:r w:rsidRPr="001F4F7C" w:rsidR="001F4F7C">
              <w:rPr>
                <w:rFonts w:ascii="Century Gothic" w:hAnsi="Century Gothic"/>
                <w:sz w:val="22"/>
                <w:szCs w:val="22"/>
                <w:lang w:val="es-CO"/>
              </w:rPr>
              <w:t xml:space="preserve"> En aplicación a la fórmula establecida por las altas Cortes en donde se tuvo en cuenta factores como, </w:t>
            </w:r>
            <w:r w:rsidR="001F4F7C">
              <w:rPr>
                <w:rFonts w:ascii="Century Gothic" w:hAnsi="Century Gothic"/>
                <w:sz w:val="22"/>
                <w:szCs w:val="22"/>
                <w:lang w:val="es-CO"/>
              </w:rPr>
              <w:t>la presunción de un salario mínimo para el año 2020</w:t>
            </w:r>
            <w:r w:rsidRPr="001F4F7C" w:rsidR="001F4F7C">
              <w:rPr>
                <w:rFonts w:ascii="Century Gothic" w:hAnsi="Century Gothic"/>
                <w:sz w:val="22"/>
                <w:szCs w:val="22"/>
                <w:lang w:val="es-CO"/>
              </w:rPr>
              <w:t xml:space="preserve"> ($</w:t>
            </w:r>
            <w:r w:rsidR="001F4F7C">
              <w:rPr>
                <w:rFonts w:ascii="Century Gothic" w:hAnsi="Century Gothic"/>
                <w:sz w:val="22"/>
                <w:szCs w:val="22"/>
                <w:lang w:val="es-CO"/>
              </w:rPr>
              <w:t>877.803</w:t>
            </w:r>
            <w:r w:rsidRPr="001F4F7C" w:rsidR="001F4F7C">
              <w:rPr>
                <w:rFonts w:ascii="Century Gothic" w:hAnsi="Century Gothic"/>
                <w:sz w:val="22"/>
                <w:szCs w:val="22"/>
                <w:lang w:val="es-CO"/>
              </w:rPr>
              <w:t>) y su respectiva indexación, los meses transcurridos desde el accidente a la fecha del informe (</w:t>
            </w:r>
            <w:r w:rsidR="001F4F7C">
              <w:rPr>
                <w:rFonts w:ascii="Century Gothic" w:hAnsi="Century Gothic"/>
                <w:sz w:val="22"/>
                <w:szCs w:val="22"/>
                <w:lang w:val="es-CO"/>
              </w:rPr>
              <w:t>65</w:t>
            </w:r>
            <w:r w:rsidRPr="001F4F7C" w:rsidR="001F4F7C">
              <w:rPr>
                <w:rFonts w:ascii="Century Gothic" w:hAnsi="Century Gothic"/>
                <w:sz w:val="22"/>
                <w:szCs w:val="22"/>
                <w:lang w:val="es-CO"/>
              </w:rPr>
              <w:t xml:space="preserve"> meses), y </w:t>
            </w:r>
            <w:r w:rsidR="001F4F7C">
              <w:rPr>
                <w:rFonts w:ascii="Century Gothic" w:hAnsi="Century Gothic"/>
                <w:sz w:val="22"/>
                <w:szCs w:val="22"/>
                <w:lang w:val="es-CO"/>
              </w:rPr>
              <w:t xml:space="preserve">se </w:t>
            </w:r>
            <w:r w:rsidRPr="00944D31" w:rsidR="001F4F7C">
              <w:rPr>
                <w:rFonts w:ascii="Century Gothic" w:hAnsi="Century Gothic"/>
                <w:sz w:val="22"/>
                <w:szCs w:val="22"/>
                <w:lang w:val="es-CO"/>
              </w:rPr>
              <w:t>descontó el 25% correspondiente a los gastos de subsistencia</w:t>
            </w:r>
            <w:r w:rsidRPr="001F4F7C" w:rsidR="001F4F7C">
              <w:rPr>
                <w:rFonts w:ascii="Century Gothic" w:hAnsi="Century Gothic"/>
                <w:sz w:val="22"/>
                <w:szCs w:val="22"/>
                <w:lang w:val="es-CO"/>
              </w:rPr>
              <w:t xml:space="preserve">, </w:t>
            </w:r>
            <w:r w:rsidRPr="001F4F7C" w:rsidR="001F4F7C">
              <w:rPr>
                <w:rFonts w:ascii="Century Gothic" w:hAnsi="Century Gothic"/>
                <w:sz w:val="22"/>
                <w:szCs w:val="22"/>
                <w:lang w:val="es-CO"/>
              </w:rPr>
              <w:lastRenderedPageBreak/>
              <w:t>la expectativa de vida de la victima de conformidad con lo establecido en la resolución 1555 de 2010 (</w:t>
            </w:r>
            <w:r w:rsidR="001F4F7C">
              <w:rPr>
                <w:rFonts w:ascii="Century Gothic" w:hAnsi="Century Gothic"/>
                <w:sz w:val="22"/>
                <w:szCs w:val="22"/>
                <w:lang w:val="es-CO"/>
              </w:rPr>
              <w:t>31</w:t>
            </w:r>
            <w:r w:rsidRPr="001F4F7C" w:rsidR="001F4F7C">
              <w:rPr>
                <w:rFonts w:ascii="Century Gothic" w:hAnsi="Century Gothic"/>
                <w:sz w:val="22"/>
                <w:szCs w:val="22"/>
                <w:lang w:val="es-CO"/>
              </w:rPr>
              <w:t xml:space="preserve"> años o </w:t>
            </w:r>
            <w:r w:rsidR="001F4F7C">
              <w:rPr>
                <w:rFonts w:ascii="Century Gothic" w:hAnsi="Century Gothic"/>
                <w:sz w:val="22"/>
                <w:szCs w:val="22"/>
                <w:lang w:val="es-CO"/>
              </w:rPr>
              <w:t>592.77</w:t>
            </w:r>
            <w:r w:rsidRPr="001F4F7C" w:rsidR="001F4F7C">
              <w:rPr>
                <w:rFonts w:ascii="Century Gothic" w:hAnsi="Century Gothic"/>
                <w:sz w:val="22"/>
                <w:szCs w:val="22"/>
                <w:lang w:val="es-CO"/>
              </w:rPr>
              <w:t xml:space="preserve"> meses) y restando los meses ya reconocidos por concepto de lucro cesante consolidado(</w:t>
            </w:r>
            <w:r w:rsidR="001F4F7C">
              <w:rPr>
                <w:rFonts w:ascii="Century Gothic" w:hAnsi="Century Gothic"/>
                <w:sz w:val="22"/>
                <w:szCs w:val="22"/>
                <w:lang w:val="es-CO"/>
              </w:rPr>
              <w:t>65</w:t>
            </w:r>
            <w:r w:rsidRPr="001F4F7C" w:rsidR="001F4F7C">
              <w:rPr>
                <w:rFonts w:ascii="Century Gothic" w:hAnsi="Century Gothic"/>
                <w:sz w:val="22"/>
                <w:szCs w:val="22"/>
                <w:lang w:val="es-CO"/>
              </w:rPr>
              <w:t xml:space="preserve"> meses). Considerando estos factores y en aplicación de la fórmula de las altas Cortes, se obtuvo el resultado de $</w:t>
            </w:r>
            <w:r w:rsidR="001F4F7C">
              <w:rPr>
                <w:rFonts w:ascii="Century Gothic" w:hAnsi="Century Gothic"/>
                <w:sz w:val="22"/>
                <w:szCs w:val="22"/>
                <w:lang w:val="es-CO"/>
              </w:rPr>
              <w:t>178.266.981, valor que se computo con el porcentaje de PCL equivalente a 21.75%, lo que arroja u valor total de $38.773.068.</w:t>
            </w:r>
          </w:p>
          <w:p w:rsidR="003436B9" w:rsidP="00812114" w:rsidRDefault="003436B9" w14:paraId="69725601" w14:textId="77777777">
            <w:pPr>
              <w:spacing w:line="276" w:lineRule="auto"/>
              <w:jc w:val="both"/>
              <w:rPr>
                <w:rFonts w:ascii="Century Gothic" w:hAnsi="Century Gothic"/>
                <w:sz w:val="22"/>
                <w:szCs w:val="22"/>
              </w:rPr>
            </w:pPr>
          </w:p>
          <w:p w:rsidRPr="001F4F7C" w:rsidR="001F4F7C" w:rsidP="784AE284" w:rsidRDefault="001F4F7C" w14:paraId="2BEA4AAD" w14:textId="5941A170">
            <w:pPr>
              <w:spacing w:line="276" w:lineRule="auto"/>
              <w:jc w:val="both"/>
              <w:rPr>
                <w:rFonts w:ascii="Century Gothic" w:hAnsi="Century Gothic"/>
                <w:sz w:val="22"/>
                <w:szCs w:val="22"/>
                <w:lang w:val="es-ES"/>
              </w:rPr>
            </w:pPr>
            <w:r w:rsidRPr="784AE284" w:rsidR="001F4F7C">
              <w:rPr>
                <w:rFonts w:ascii="Century Gothic" w:hAnsi="Century Gothic"/>
                <w:b w:val="1"/>
                <w:bCs w:val="1"/>
                <w:sz w:val="22"/>
                <w:szCs w:val="22"/>
                <w:lang w:val="es-ES"/>
              </w:rPr>
              <w:t xml:space="preserve">DAÑO MORAL: </w:t>
            </w:r>
            <w:r w:rsidRPr="784AE284" w:rsidR="001F4F7C">
              <w:rPr>
                <w:rFonts w:ascii="Century Gothic" w:hAnsi="Century Gothic"/>
                <w:sz w:val="22"/>
                <w:szCs w:val="22"/>
                <w:lang w:val="es-ES"/>
              </w:rPr>
              <w:t>Se tasará la suma de $</w:t>
            </w:r>
            <w:r w:rsidRPr="784AE284" w:rsidR="00812114">
              <w:rPr>
                <w:rFonts w:ascii="Century Gothic" w:hAnsi="Century Gothic"/>
                <w:sz w:val="22"/>
                <w:szCs w:val="22"/>
                <w:lang w:val="es-ES"/>
              </w:rPr>
              <w:t>226.336.500</w:t>
            </w:r>
            <w:r w:rsidRPr="784AE284" w:rsidR="001F4F7C">
              <w:rPr>
                <w:rFonts w:ascii="Century Gothic" w:hAnsi="Century Gothic"/>
                <w:sz w:val="22"/>
                <w:szCs w:val="22"/>
                <w:lang w:val="es-ES"/>
              </w:rPr>
              <w:t xml:space="preserve">, a favor de </w:t>
            </w:r>
            <w:r w:rsidRPr="784AE284" w:rsidR="001F4F7C">
              <w:rPr>
                <w:rFonts w:ascii="Century Gothic" w:hAnsi="Century Gothic"/>
                <w:sz w:val="22"/>
                <w:szCs w:val="22"/>
                <w:lang w:val="es-ES"/>
              </w:rPr>
              <w:t>Edinson</w:t>
            </w:r>
            <w:r w:rsidRPr="784AE284" w:rsidR="001F4F7C">
              <w:rPr>
                <w:rFonts w:ascii="Century Gothic" w:hAnsi="Century Gothic"/>
                <w:sz w:val="22"/>
                <w:szCs w:val="22"/>
                <w:lang w:val="es-ES"/>
              </w:rPr>
              <w:t xml:space="preserve"> Gil la suma </w:t>
            </w:r>
            <w:r w:rsidRPr="784AE284" w:rsidR="001F4F7C">
              <w:rPr>
                <w:rFonts w:ascii="Century Gothic" w:hAnsi="Century Gothic"/>
                <w:sz w:val="22"/>
                <w:szCs w:val="22"/>
                <w:lang w:val="es-ES"/>
              </w:rPr>
              <w:t xml:space="preserve">de </w:t>
            </w:r>
            <w:r w:rsidRPr="784AE284" w:rsidR="001F4F7C">
              <w:rPr>
                <w:rFonts w:ascii="Century Gothic" w:hAnsi="Century Gothic"/>
                <w:sz w:val="22"/>
                <w:szCs w:val="22"/>
                <w:lang w:val="es-ES"/>
              </w:rPr>
              <w:t xml:space="preserve"> $</w:t>
            </w:r>
            <w:r w:rsidRPr="784AE284" w:rsidR="00812114">
              <w:rPr>
                <w:rFonts w:ascii="Century Gothic" w:hAnsi="Century Gothic"/>
                <w:sz w:val="22"/>
                <w:szCs w:val="22"/>
                <w:lang w:val="es-ES"/>
              </w:rPr>
              <w:t>85.410.</w:t>
            </w:r>
            <w:r w:rsidRPr="784AE284" w:rsidR="009D230B">
              <w:rPr>
                <w:rFonts w:ascii="Century Gothic" w:hAnsi="Century Gothic"/>
                <w:sz w:val="22"/>
                <w:szCs w:val="22"/>
                <w:lang w:val="es-ES"/>
              </w:rPr>
              <w:t>000</w:t>
            </w:r>
            <w:r w:rsidRPr="784AE284" w:rsidR="009D230B">
              <w:rPr>
                <w:rFonts w:ascii="Century Gothic" w:hAnsi="Century Gothic"/>
                <w:sz w:val="22"/>
                <w:szCs w:val="22"/>
                <w:lang w:val="es-ES"/>
              </w:rPr>
              <w:t>, a</w:t>
            </w:r>
            <w:r w:rsidRPr="784AE284" w:rsidR="001F4F7C">
              <w:rPr>
                <w:rFonts w:ascii="Century Gothic" w:hAnsi="Century Gothic"/>
                <w:sz w:val="22"/>
                <w:szCs w:val="22"/>
                <w:lang w:val="es-ES"/>
              </w:rPr>
              <w:t xml:space="preserve"> favor de Viviana Marcela Vargas León (</w:t>
            </w:r>
            <w:r w:rsidRPr="784AE284" w:rsidR="001F4F7C">
              <w:rPr>
                <w:rFonts w:ascii="Century Gothic" w:hAnsi="Century Gothic"/>
                <w:sz w:val="22"/>
                <w:szCs w:val="22"/>
                <w:lang w:val="es-ES"/>
              </w:rPr>
              <w:t>compañera permanente</w:t>
            </w:r>
            <w:r w:rsidRPr="784AE284" w:rsidR="001F4F7C">
              <w:rPr>
                <w:rFonts w:ascii="Century Gothic" w:hAnsi="Century Gothic"/>
                <w:sz w:val="22"/>
                <w:szCs w:val="22"/>
                <w:lang w:val="es-ES"/>
              </w:rPr>
              <w:t>) $</w:t>
            </w:r>
            <w:r w:rsidRPr="784AE284" w:rsidR="00812114">
              <w:rPr>
                <w:rFonts w:ascii="Century Gothic" w:hAnsi="Century Gothic"/>
                <w:sz w:val="22"/>
                <w:szCs w:val="22"/>
                <w:lang w:val="es-ES"/>
              </w:rPr>
              <w:t>46.975.500</w:t>
            </w:r>
            <w:r w:rsidRPr="784AE284" w:rsidR="001F4F7C">
              <w:rPr>
                <w:rFonts w:ascii="Century Gothic" w:hAnsi="Century Gothic"/>
                <w:sz w:val="22"/>
                <w:szCs w:val="22"/>
                <w:lang w:val="es-ES"/>
              </w:rPr>
              <w:t>, a favor de Oscar Gabriel Gil Vargas (Hij</w:t>
            </w:r>
            <w:r w:rsidRPr="784AE284" w:rsidR="00812114">
              <w:rPr>
                <w:rFonts w:ascii="Century Gothic" w:hAnsi="Century Gothic"/>
                <w:sz w:val="22"/>
                <w:szCs w:val="22"/>
                <w:lang w:val="es-ES"/>
              </w:rPr>
              <w:t>o</w:t>
            </w:r>
            <w:r w:rsidRPr="784AE284" w:rsidR="001F4F7C">
              <w:rPr>
                <w:rFonts w:ascii="Century Gothic" w:hAnsi="Century Gothic"/>
                <w:sz w:val="22"/>
                <w:szCs w:val="22"/>
                <w:lang w:val="es-ES"/>
              </w:rPr>
              <w:t>) $</w:t>
            </w:r>
            <w:r w:rsidRPr="784AE284" w:rsidR="00812114">
              <w:rPr>
                <w:rFonts w:ascii="Century Gothic" w:hAnsi="Century Gothic"/>
                <w:sz w:val="22"/>
                <w:szCs w:val="22"/>
                <w:lang w:val="es-ES"/>
              </w:rPr>
              <w:t xml:space="preserve">46.975.500 </w:t>
            </w:r>
            <w:r w:rsidRPr="784AE284" w:rsidR="001F4F7C">
              <w:rPr>
                <w:rFonts w:ascii="Century Gothic" w:hAnsi="Century Gothic"/>
                <w:sz w:val="22"/>
                <w:szCs w:val="22"/>
                <w:lang w:val="es-ES"/>
              </w:rPr>
              <w:t xml:space="preserve">y a favor de </w:t>
            </w:r>
            <w:r w:rsidRPr="784AE284" w:rsidR="00812114">
              <w:rPr>
                <w:rFonts w:ascii="Century Gothic" w:hAnsi="Century Gothic"/>
                <w:sz w:val="22"/>
                <w:szCs w:val="22"/>
                <w:lang w:val="es-ES"/>
              </w:rPr>
              <w:t>y Juan Miguel Gil Vargas</w:t>
            </w:r>
            <w:r w:rsidRPr="784AE284" w:rsidR="00812114">
              <w:rPr>
                <w:rFonts w:ascii="Century Gothic" w:hAnsi="Century Gothic"/>
                <w:sz w:val="22"/>
                <w:szCs w:val="22"/>
                <w:lang w:val="es-ES"/>
              </w:rPr>
              <w:t xml:space="preserve"> </w:t>
            </w:r>
            <w:r w:rsidRPr="784AE284" w:rsidR="001F4F7C">
              <w:rPr>
                <w:rFonts w:ascii="Century Gothic" w:hAnsi="Century Gothic"/>
                <w:sz w:val="22"/>
                <w:szCs w:val="22"/>
                <w:lang w:val="es-ES"/>
              </w:rPr>
              <w:t>(Hijo) $</w:t>
            </w:r>
            <w:r w:rsidRPr="784AE284" w:rsidR="00812114">
              <w:rPr>
                <w:rFonts w:ascii="Century Gothic" w:hAnsi="Century Gothic"/>
                <w:sz w:val="22"/>
                <w:szCs w:val="22"/>
                <w:lang w:val="es-ES"/>
              </w:rPr>
              <w:t>46.975.500</w:t>
            </w:r>
            <w:r w:rsidRPr="784AE284" w:rsidR="001F4F7C">
              <w:rPr>
                <w:rFonts w:ascii="Century Gothic" w:hAnsi="Century Gothic"/>
                <w:sz w:val="22"/>
                <w:szCs w:val="22"/>
                <w:lang w:val="es-ES"/>
              </w:rPr>
              <w:t xml:space="preserve">. Lo anterior, de acuerdo con la jurisprudencia de la Corte Suprema de Justicia en sentencia de Unificación SC 072-2025, en la que se estableció como parámetro indicativo para la tasación del daño moral un tope indemnizatorio de 100 SMMLV. En ese sentido, atendiendo a las circunstancias particulares del caso, en donde aparentemente el señor </w:t>
            </w:r>
            <w:r w:rsidRPr="784AE284" w:rsidR="00812114">
              <w:rPr>
                <w:rFonts w:ascii="Century Gothic" w:hAnsi="Century Gothic"/>
                <w:sz w:val="22"/>
                <w:szCs w:val="22"/>
                <w:lang w:val="es-ES"/>
              </w:rPr>
              <w:t>Edinsón</w:t>
            </w:r>
            <w:r w:rsidRPr="784AE284" w:rsidR="00812114">
              <w:rPr>
                <w:rFonts w:ascii="Century Gothic" w:hAnsi="Century Gothic"/>
                <w:sz w:val="22"/>
                <w:szCs w:val="22"/>
                <w:lang w:val="es-ES"/>
              </w:rPr>
              <w:t xml:space="preserve"> Gil sufrió afectaciones en su movilidad que generaron una PCL del 21.75%</w:t>
            </w:r>
            <w:r w:rsidRPr="784AE284" w:rsidR="001F4F7C">
              <w:rPr>
                <w:rFonts w:ascii="Century Gothic" w:hAnsi="Century Gothic"/>
                <w:sz w:val="22"/>
                <w:szCs w:val="22"/>
                <w:lang w:val="es-ES"/>
              </w:rPr>
              <w:t xml:space="preserve"> producto de las lesiones sufridas en el accidente de </w:t>
            </w:r>
            <w:r w:rsidRPr="784AE284" w:rsidR="00812114">
              <w:rPr>
                <w:rFonts w:ascii="Century Gothic" w:hAnsi="Century Gothic"/>
                <w:sz w:val="22"/>
                <w:szCs w:val="22"/>
                <w:lang w:val="es-ES"/>
              </w:rPr>
              <w:t>tránsito</w:t>
            </w:r>
            <w:r w:rsidRPr="784AE284" w:rsidR="001F4F7C">
              <w:rPr>
                <w:rFonts w:ascii="Century Gothic" w:hAnsi="Century Gothic"/>
                <w:sz w:val="22"/>
                <w:szCs w:val="22"/>
                <w:lang w:val="es-ES"/>
              </w:rPr>
              <w:t xml:space="preserve">, </w:t>
            </w:r>
            <w:r w:rsidRPr="784AE284" w:rsidR="00812114">
              <w:rPr>
                <w:rFonts w:ascii="Century Gothic" w:hAnsi="Century Gothic"/>
                <w:sz w:val="22"/>
                <w:szCs w:val="22"/>
                <w:lang w:val="es-ES"/>
              </w:rPr>
              <w:t xml:space="preserve">para la victima directa se reconocerá el 60% </w:t>
            </w:r>
            <w:r w:rsidRPr="784AE284" w:rsidR="00812114">
              <w:rPr>
                <w:rFonts w:ascii="Century Gothic" w:hAnsi="Century Gothic"/>
                <w:sz w:val="22"/>
                <w:szCs w:val="22"/>
                <w:lang w:val="es-ES"/>
              </w:rPr>
              <w:t xml:space="preserve">del parámetro indicativo para tasar la reparación del daño moral, esto es, </w:t>
            </w:r>
            <w:r w:rsidRPr="784AE284" w:rsidR="00812114">
              <w:rPr>
                <w:rFonts w:ascii="Century Gothic" w:hAnsi="Century Gothic"/>
                <w:sz w:val="22"/>
                <w:szCs w:val="22"/>
                <w:lang w:val="es-ES"/>
              </w:rPr>
              <w:t>60 SMMMLV. P</w:t>
            </w:r>
            <w:r w:rsidRPr="784AE284" w:rsidR="001F4F7C">
              <w:rPr>
                <w:rFonts w:ascii="Century Gothic" w:hAnsi="Century Gothic"/>
                <w:sz w:val="22"/>
                <w:szCs w:val="22"/>
                <w:lang w:val="es-ES"/>
              </w:rPr>
              <w:t xml:space="preserve">ara la compañera permanente de la </w:t>
            </w:r>
            <w:r w:rsidRPr="784AE284" w:rsidR="00812114">
              <w:rPr>
                <w:rFonts w:ascii="Century Gothic" w:hAnsi="Century Gothic"/>
                <w:sz w:val="22"/>
                <w:szCs w:val="22"/>
                <w:lang w:val="es-ES"/>
              </w:rPr>
              <w:t xml:space="preserve">se </w:t>
            </w:r>
            <w:r w:rsidRPr="784AE284" w:rsidR="001F4F7C">
              <w:rPr>
                <w:rFonts w:ascii="Century Gothic" w:hAnsi="Century Gothic"/>
                <w:sz w:val="22"/>
                <w:szCs w:val="22"/>
                <w:lang w:val="es-ES"/>
              </w:rPr>
              <w:t xml:space="preserve">reconocerá el </w:t>
            </w:r>
            <w:r w:rsidRPr="784AE284" w:rsidR="00812114">
              <w:rPr>
                <w:rFonts w:ascii="Century Gothic" w:hAnsi="Century Gothic"/>
                <w:sz w:val="22"/>
                <w:szCs w:val="22"/>
                <w:lang w:val="es-ES"/>
              </w:rPr>
              <w:t>33</w:t>
            </w:r>
            <w:r w:rsidRPr="784AE284" w:rsidR="001F4F7C">
              <w:rPr>
                <w:rFonts w:ascii="Century Gothic" w:hAnsi="Century Gothic"/>
                <w:sz w:val="22"/>
                <w:szCs w:val="22"/>
                <w:lang w:val="es-ES"/>
              </w:rPr>
              <w:t xml:space="preserve">% del parámetro indicativo para tasar la reparación del daño moral, esto es, </w:t>
            </w:r>
            <w:r w:rsidRPr="784AE284" w:rsidR="00812114">
              <w:rPr>
                <w:rFonts w:ascii="Century Gothic" w:hAnsi="Century Gothic"/>
                <w:sz w:val="22"/>
                <w:szCs w:val="22"/>
                <w:lang w:val="es-ES"/>
              </w:rPr>
              <w:t>33</w:t>
            </w:r>
            <w:r w:rsidRPr="784AE284" w:rsidR="001F4F7C">
              <w:rPr>
                <w:rFonts w:ascii="Century Gothic" w:hAnsi="Century Gothic"/>
                <w:sz w:val="22"/>
                <w:szCs w:val="22"/>
                <w:lang w:val="es-ES"/>
              </w:rPr>
              <w:t xml:space="preserve"> SMLMV. Para los hijos de la persona fallecida, reconocerá el </w:t>
            </w:r>
            <w:r w:rsidRPr="784AE284" w:rsidR="00812114">
              <w:rPr>
                <w:rFonts w:ascii="Century Gothic" w:hAnsi="Century Gothic"/>
                <w:sz w:val="22"/>
                <w:szCs w:val="22"/>
                <w:lang w:val="es-ES"/>
              </w:rPr>
              <w:t>33</w:t>
            </w:r>
            <w:r w:rsidRPr="784AE284" w:rsidR="001F4F7C">
              <w:rPr>
                <w:rFonts w:ascii="Century Gothic" w:hAnsi="Century Gothic"/>
                <w:sz w:val="22"/>
                <w:szCs w:val="22"/>
                <w:lang w:val="es-ES"/>
              </w:rPr>
              <w:t xml:space="preserve">% del parámetro indicativo para tasar la reparación del daño moral, esto es, </w:t>
            </w:r>
            <w:r w:rsidRPr="784AE284" w:rsidR="00812114">
              <w:rPr>
                <w:rFonts w:ascii="Century Gothic" w:hAnsi="Century Gothic"/>
                <w:sz w:val="22"/>
                <w:szCs w:val="22"/>
                <w:lang w:val="es-ES"/>
              </w:rPr>
              <w:t>33</w:t>
            </w:r>
            <w:r w:rsidRPr="784AE284" w:rsidR="001F4F7C">
              <w:rPr>
                <w:rFonts w:ascii="Century Gothic" w:hAnsi="Century Gothic"/>
                <w:sz w:val="22"/>
                <w:szCs w:val="22"/>
                <w:lang w:val="es-ES"/>
              </w:rPr>
              <w:t xml:space="preserve"> SMLMV</w:t>
            </w:r>
            <w:r w:rsidRPr="784AE284" w:rsidR="009D230B">
              <w:rPr>
                <w:rFonts w:ascii="Century Gothic" w:hAnsi="Century Gothic"/>
                <w:sz w:val="22"/>
                <w:szCs w:val="22"/>
                <w:lang w:val="es-ES"/>
              </w:rPr>
              <w:t xml:space="preserve"> por cada uno de sus dos hijos</w:t>
            </w:r>
            <w:r w:rsidRPr="784AE284" w:rsidR="001F4F7C">
              <w:rPr>
                <w:rFonts w:ascii="Century Gothic" w:hAnsi="Century Gothic"/>
                <w:sz w:val="22"/>
                <w:szCs w:val="22"/>
                <w:lang w:val="es-ES"/>
              </w:rPr>
              <w:t>. Por lo anterior, se tasa la suma total de $</w:t>
            </w:r>
            <w:r w:rsidRPr="784AE284" w:rsidR="00812114">
              <w:rPr>
                <w:rFonts w:ascii="Century Gothic" w:hAnsi="Century Gothic"/>
                <w:sz w:val="22"/>
                <w:szCs w:val="22"/>
                <w:lang w:val="es-ES"/>
              </w:rPr>
              <w:t>226.336.500</w:t>
            </w:r>
          </w:p>
          <w:p w:rsidR="00812114" w:rsidP="00812114" w:rsidRDefault="00812114" w14:paraId="601FDD40" w14:textId="77777777">
            <w:pPr>
              <w:spacing w:line="276" w:lineRule="auto"/>
              <w:jc w:val="both"/>
              <w:rPr>
                <w:rFonts w:ascii="Century Gothic" w:hAnsi="Century Gothic"/>
                <w:sz w:val="22"/>
                <w:szCs w:val="22"/>
              </w:rPr>
            </w:pPr>
          </w:p>
          <w:p w:rsidR="00812114" w:rsidP="784AE284" w:rsidRDefault="00812114" w14:paraId="7722730D" w14:textId="26E5DC16">
            <w:pPr>
              <w:spacing w:line="276" w:lineRule="auto"/>
              <w:jc w:val="both"/>
              <w:rPr>
                <w:rFonts w:ascii="Century Gothic" w:hAnsi="Century Gothic"/>
                <w:sz w:val="22"/>
                <w:szCs w:val="22"/>
                <w:lang w:val="es-ES"/>
              </w:rPr>
            </w:pPr>
            <w:r w:rsidRPr="784AE284" w:rsidR="00812114">
              <w:rPr>
                <w:rFonts w:ascii="Century Gothic" w:hAnsi="Century Gothic"/>
                <w:b w:val="1"/>
                <w:bCs w:val="1"/>
                <w:sz w:val="22"/>
                <w:szCs w:val="22"/>
                <w:lang w:val="es-ES"/>
              </w:rPr>
              <w:t>DAÑO A LA VIDA EN RELACIÓN</w:t>
            </w:r>
            <w:r w:rsidRPr="784AE284" w:rsidR="00812114">
              <w:rPr>
                <w:rFonts w:ascii="Century Gothic" w:hAnsi="Century Gothic"/>
                <w:sz w:val="22"/>
                <w:szCs w:val="22"/>
                <w:lang w:val="es-ES"/>
              </w:rPr>
              <w:t xml:space="preserve">: </w:t>
            </w:r>
            <w:r w:rsidRPr="784AE284" w:rsidR="00812114">
              <w:rPr>
                <w:rFonts w:ascii="Century Gothic" w:hAnsi="Century Gothic"/>
                <w:sz w:val="22"/>
                <w:szCs w:val="22"/>
                <w:lang w:val="es-ES"/>
              </w:rPr>
              <w:t>Se tasará la suma de $</w:t>
            </w:r>
            <w:r w:rsidRPr="784AE284" w:rsidR="00812114">
              <w:rPr>
                <w:rFonts w:ascii="Century Gothic" w:hAnsi="Century Gothic"/>
                <w:sz w:val="22"/>
                <w:szCs w:val="22"/>
                <w:lang w:val="es-ES"/>
              </w:rPr>
              <w:t>42.705.000</w:t>
            </w:r>
            <w:r w:rsidRPr="784AE284" w:rsidR="00812114">
              <w:rPr>
                <w:rFonts w:ascii="Century Gothic" w:hAnsi="Century Gothic"/>
                <w:sz w:val="22"/>
                <w:szCs w:val="22"/>
                <w:lang w:val="es-ES"/>
              </w:rPr>
              <w:t>, a favor de</w:t>
            </w:r>
            <w:r w:rsidRPr="784AE284" w:rsidR="00812114">
              <w:rPr>
                <w:rFonts w:ascii="Century Gothic" w:hAnsi="Century Gothic"/>
                <w:sz w:val="22"/>
                <w:szCs w:val="22"/>
                <w:lang w:val="es-ES"/>
              </w:rPr>
              <w:t>l</w:t>
            </w:r>
            <w:r w:rsidRPr="784AE284" w:rsidR="00812114">
              <w:rPr>
                <w:rFonts w:ascii="Century Gothic" w:hAnsi="Century Gothic"/>
                <w:sz w:val="22"/>
                <w:szCs w:val="22"/>
                <w:lang w:val="es-ES"/>
              </w:rPr>
              <w:t xml:space="preserve"> </w:t>
            </w:r>
            <w:r w:rsidRPr="784AE284" w:rsidR="00812114">
              <w:rPr>
                <w:rFonts w:ascii="Century Gothic" w:hAnsi="Century Gothic"/>
                <w:sz w:val="22"/>
                <w:szCs w:val="22"/>
                <w:lang w:val="es-ES"/>
              </w:rPr>
              <w:t xml:space="preserve">señor </w:t>
            </w:r>
            <w:r w:rsidRPr="784AE284" w:rsidR="00812114">
              <w:rPr>
                <w:rFonts w:ascii="Century Gothic" w:hAnsi="Century Gothic"/>
                <w:sz w:val="22"/>
                <w:szCs w:val="22"/>
                <w:lang w:val="es-ES"/>
              </w:rPr>
              <w:t>Edinson</w:t>
            </w:r>
            <w:r w:rsidRPr="784AE284" w:rsidR="00812114">
              <w:rPr>
                <w:rFonts w:ascii="Century Gothic" w:hAnsi="Century Gothic"/>
                <w:sz w:val="22"/>
                <w:szCs w:val="22"/>
                <w:lang w:val="es-ES"/>
              </w:rPr>
              <w:t xml:space="preserve"> Gil</w:t>
            </w:r>
            <w:r w:rsidRPr="784AE284" w:rsidR="00812114">
              <w:rPr>
                <w:rFonts w:ascii="Century Gothic" w:hAnsi="Century Gothic"/>
                <w:sz w:val="22"/>
                <w:szCs w:val="22"/>
                <w:lang w:val="es-ES"/>
              </w:rPr>
              <w:t xml:space="preserve">. Lo anterior, de acuerdo con la jurisprudencia de la Corte Suprema de Justicia en sentencia de Unificación SC 072-2025, en la que se estableció como parámetro indicativo para la tasación del daño a la vida en relación un total de 200 SMMLV. No obstante, este valor debe evaluarse teniendo en cuenta las circunstancias de cada caso, para este particular, </w:t>
            </w:r>
            <w:r w:rsidRPr="784AE284" w:rsidR="00812114">
              <w:rPr>
                <w:rFonts w:ascii="Century Gothic" w:hAnsi="Century Gothic"/>
                <w:sz w:val="22"/>
                <w:szCs w:val="22"/>
                <w:lang w:val="es-ES"/>
              </w:rPr>
              <w:t xml:space="preserve">en donde aparentemente el señor </w:t>
            </w:r>
            <w:r w:rsidRPr="784AE284" w:rsidR="00812114">
              <w:rPr>
                <w:rFonts w:ascii="Century Gothic" w:hAnsi="Century Gothic"/>
                <w:sz w:val="22"/>
                <w:szCs w:val="22"/>
                <w:lang w:val="es-ES"/>
              </w:rPr>
              <w:t>Edinsón</w:t>
            </w:r>
            <w:r w:rsidRPr="784AE284" w:rsidR="00812114">
              <w:rPr>
                <w:rFonts w:ascii="Century Gothic" w:hAnsi="Century Gothic"/>
                <w:sz w:val="22"/>
                <w:szCs w:val="22"/>
                <w:lang w:val="es-ES"/>
              </w:rPr>
              <w:t xml:space="preserve"> Gil sufrió afectaciones en su movilidad que generaron una PCL del 21.75%</w:t>
            </w:r>
            <w:r w:rsidRPr="784AE284" w:rsidR="00812114">
              <w:rPr>
                <w:rFonts w:ascii="Century Gothic" w:hAnsi="Century Gothic"/>
                <w:sz w:val="22"/>
                <w:szCs w:val="22"/>
                <w:lang w:val="es-ES"/>
              </w:rPr>
              <w:t xml:space="preserve"> producto de las lesiones sufridas en el accidente de tránsito</w:t>
            </w:r>
            <w:r w:rsidRPr="784AE284" w:rsidR="00812114">
              <w:rPr>
                <w:rFonts w:ascii="Century Gothic" w:hAnsi="Century Gothic"/>
                <w:sz w:val="22"/>
                <w:szCs w:val="22"/>
                <w:lang w:val="es-ES"/>
              </w:rPr>
              <w:t>, se tendrá en cuenta</w:t>
            </w:r>
            <w:r w:rsidRPr="784AE284" w:rsidR="00812114">
              <w:rPr>
                <w:rFonts w:ascii="Century Gothic" w:hAnsi="Century Gothic"/>
                <w:sz w:val="22"/>
                <w:szCs w:val="22"/>
                <w:lang w:val="es-ES"/>
              </w:rPr>
              <w:t xml:space="preserve"> el 15% </w:t>
            </w:r>
            <w:r w:rsidRPr="784AE284" w:rsidR="00812114">
              <w:rPr>
                <w:rFonts w:ascii="Century Gothic" w:hAnsi="Century Gothic"/>
                <w:sz w:val="22"/>
                <w:szCs w:val="22"/>
                <w:lang w:val="es-ES"/>
              </w:rPr>
              <w:t xml:space="preserve">del parámetro indicativo para tasar la reparación del daño a la vida en relación (200 SMMLV), esto es, </w:t>
            </w:r>
            <w:r w:rsidRPr="784AE284" w:rsidR="00812114">
              <w:rPr>
                <w:rFonts w:ascii="Century Gothic" w:hAnsi="Century Gothic"/>
                <w:sz w:val="22"/>
                <w:szCs w:val="22"/>
                <w:lang w:val="es-ES"/>
              </w:rPr>
              <w:t>30</w:t>
            </w:r>
            <w:r w:rsidRPr="784AE284" w:rsidR="00812114">
              <w:rPr>
                <w:rFonts w:ascii="Century Gothic" w:hAnsi="Century Gothic"/>
                <w:sz w:val="22"/>
                <w:szCs w:val="22"/>
                <w:lang w:val="es-ES"/>
              </w:rPr>
              <w:t xml:space="preserve"> SMLMV</w:t>
            </w:r>
            <w:r w:rsidRPr="784AE284" w:rsidR="00812114">
              <w:rPr>
                <w:rFonts w:ascii="Century Gothic" w:hAnsi="Century Gothic"/>
                <w:sz w:val="22"/>
                <w:szCs w:val="22"/>
                <w:lang w:val="es-ES"/>
              </w:rPr>
              <w:t>, equivalentes a $42.705.000</w:t>
            </w:r>
          </w:p>
          <w:p w:rsidR="00812114" w:rsidP="00190425" w:rsidRDefault="00812114" w14:paraId="6D862A87" w14:textId="77777777">
            <w:pPr>
              <w:spacing w:line="276" w:lineRule="auto"/>
              <w:rPr>
                <w:rFonts w:ascii="Century Gothic" w:hAnsi="Century Gothic"/>
                <w:sz w:val="22"/>
                <w:szCs w:val="22"/>
              </w:rPr>
            </w:pPr>
          </w:p>
          <w:p w:rsidRPr="00BA1E5F" w:rsidR="00812114" w:rsidP="00190425" w:rsidRDefault="00812114" w14:paraId="31FF8AB1" w14:textId="69C085E4">
            <w:pPr>
              <w:spacing w:line="276" w:lineRule="auto"/>
              <w:rPr>
                <w:rFonts w:ascii="Century Gothic" w:hAnsi="Century Gothic"/>
                <w:sz w:val="22"/>
                <w:szCs w:val="22"/>
              </w:rPr>
            </w:pPr>
            <w:r>
              <w:rPr>
                <w:rFonts w:ascii="Century Gothic" w:hAnsi="Century Gothic"/>
                <w:sz w:val="22"/>
                <w:szCs w:val="22"/>
              </w:rPr>
              <w:t xml:space="preserve">Ahora bien, teniendo en cuenta que la póliza AA006520, contempla un valor asegurado para </w:t>
            </w:r>
            <w:r w:rsidR="00B30D4A">
              <w:rPr>
                <w:rFonts w:ascii="Century Gothic" w:hAnsi="Century Gothic"/>
                <w:sz w:val="22"/>
                <w:szCs w:val="22"/>
              </w:rPr>
              <w:t xml:space="preserve">“lesiones o muerte de una persona” de 60 SMMLV equivalentes a $85.410.000, pues este será el valor máximo tenido en cuenta a la hora de reconocer una indemnización, así los </w:t>
            </w:r>
            <w:r w:rsidR="00952859">
              <w:rPr>
                <w:rFonts w:ascii="Century Gothic" w:hAnsi="Century Gothic"/>
                <w:sz w:val="22"/>
                <w:szCs w:val="22"/>
              </w:rPr>
              <w:t>valores objetivados</w:t>
            </w:r>
            <w:r w:rsidR="00B30D4A">
              <w:rPr>
                <w:rFonts w:ascii="Century Gothic" w:hAnsi="Century Gothic"/>
                <w:sz w:val="22"/>
                <w:szCs w:val="22"/>
              </w:rPr>
              <w:t xml:space="preserve"> sean superiores, ya que la responsabilidad de la compañía va hasta la suma asegurada. </w:t>
            </w:r>
          </w:p>
        </w:tc>
      </w:tr>
    </w:tbl>
    <w:p w:rsidR="0095378E" w:rsidRDefault="0095378E" w14:paraId="7273C5A1" w14:textId="77777777"/>
    <w:tbl>
      <w:tblPr>
        <w:tblStyle w:val="Tablaconcuadrcula"/>
        <w:tblW w:w="10207" w:type="dxa"/>
        <w:tblInd w:w="-431" w:type="dxa"/>
        <w:tblLook w:val="04A0" w:firstRow="1" w:lastRow="0" w:firstColumn="1" w:lastColumn="0" w:noHBand="0" w:noVBand="1"/>
      </w:tblPr>
      <w:tblGrid>
        <w:gridCol w:w="10207"/>
      </w:tblGrid>
      <w:tr w:rsidRPr="00BA1E5F" w:rsidR="003B7F1A" w:rsidTr="3D1942E6" w14:paraId="05674BEA" w14:textId="77777777">
        <w:trPr>
          <w:trHeight w:val="321"/>
        </w:trPr>
        <w:tc>
          <w:tcPr>
            <w:tcW w:w="10207" w:type="dxa"/>
            <w:shd w:val="clear" w:color="auto" w:fill="C5E0B3" w:themeFill="accent6" w:themeFillTint="66"/>
            <w:vAlign w:val="center"/>
          </w:tcPr>
          <w:p w:rsidRPr="00BA1E5F" w:rsidR="003B7F1A" w:rsidP="003B7F1A" w:rsidRDefault="003B7F1A" w14:paraId="2BB97918" w14:textId="52E94393">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Pr="00BA1E5F" w:rsidR="003B7F1A" w:rsidTr="3D1942E6" w14:paraId="4AAD7549" w14:textId="77777777">
        <w:trPr>
          <w:trHeight w:val="3906"/>
        </w:trPr>
        <w:tc>
          <w:tcPr>
            <w:tcW w:w="10207" w:type="dxa"/>
            <w:vAlign w:val="center"/>
          </w:tcPr>
          <w:p w:rsidRPr="00B30D4A" w:rsidR="001D506B" w:rsidP="00B30D4A" w:rsidRDefault="00B30D4A" w14:paraId="5DB5EA91" w14:textId="30A8624B">
            <w:pPr>
              <w:pStyle w:val="Prrafodelista"/>
              <w:numPr>
                <w:ilvl w:val="1"/>
                <w:numId w:val="16"/>
              </w:numPr>
              <w:spacing w:line="276" w:lineRule="auto"/>
              <w:jc w:val="both"/>
              <w:rPr>
                <w:rFonts w:ascii="Century Gothic" w:hAnsi="Century Gothic"/>
                <w:b/>
                <w:bCs/>
                <w:sz w:val="22"/>
                <w:szCs w:val="22"/>
              </w:rPr>
            </w:pPr>
            <w:r w:rsidRPr="00B30D4A">
              <w:rPr>
                <w:rFonts w:ascii="Century Gothic" w:hAnsi="Century Gothic"/>
                <w:b/>
                <w:bCs/>
                <w:sz w:val="22"/>
                <w:szCs w:val="22"/>
              </w:rPr>
              <w:lastRenderedPageBreak/>
              <w:t>FRENTE A LA DEMANDA:</w:t>
            </w:r>
          </w:p>
          <w:p w:rsidR="00B30D4A" w:rsidP="00B30D4A" w:rsidRDefault="00B30D4A" w14:paraId="102818AA" w14:textId="77777777">
            <w:pPr>
              <w:spacing w:line="276" w:lineRule="auto"/>
              <w:jc w:val="both"/>
              <w:rPr>
                <w:rFonts w:ascii="Century Gothic" w:hAnsi="Century Gothic"/>
                <w:b/>
                <w:bCs/>
                <w:sz w:val="22"/>
                <w:szCs w:val="22"/>
              </w:rPr>
            </w:pPr>
          </w:p>
          <w:p w:rsidRPr="00B30D4A" w:rsidR="00B30D4A" w:rsidP="00B30D4A" w:rsidRDefault="00B30D4A" w14:paraId="52F4CA8E" w14:textId="374BA08E">
            <w:pPr>
              <w:spacing w:line="276" w:lineRule="auto"/>
              <w:jc w:val="both"/>
              <w:rPr>
                <w:rFonts w:ascii="Century Gothic" w:hAnsi="Century Gothic"/>
                <w:sz w:val="22"/>
                <w:szCs w:val="22"/>
              </w:rPr>
            </w:pPr>
            <w:r w:rsidRPr="00B30D4A">
              <w:rPr>
                <w:rFonts w:ascii="Century Gothic" w:hAnsi="Century Gothic"/>
                <w:sz w:val="22"/>
                <w:szCs w:val="22"/>
              </w:rPr>
              <w:t xml:space="preserve">FRENTE A LA RESPONSABILIDAD </w:t>
            </w:r>
          </w:p>
          <w:p w:rsidRPr="00B30D4A" w:rsidR="00B30D4A" w:rsidP="00B30D4A" w:rsidRDefault="00B30D4A" w14:paraId="251DD8F7" w14:textId="77777777">
            <w:pPr>
              <w:spacing w:line="276" w:lineRule="auto"/>
              <w:jc w:val="both"/>
              <w:rPr>
                <w:rFonts w:ascii="Century Gothic" w:hAnsi="Century Gothic"/>
                <w:sz w:val="22"/>
                <w:szCs w:val="22"/>
              </w:rPr>
            </w:pPr>
          </w:p>
          <w:p w:rsidRPr="00B30D4A" w:rsidR="00B30D4A" w:rsidP="00B30D4A" w:rsidRDefault="00B30D4A" w14:paraId="3DEEF9E7" w14:textId="77777777">
            <w:pPr>
              <w:pStyle w:val="Prrafodelista"/>
              <w:widowControl w:val="0"/>
              <w:numPr>
                <w:ilvl w:val="0"/>
                <w:numId w:val="19"/>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EXCEPCIONES PLANTEADAS POR COOPERATIVA DE TRANSPORTADORES CIUDAD DE ACERO LTDA “COOTRACERO”</w:t>
            </w:r>
          </w:p>
          <w:p w:rsidRPr="00B30D4A" w:rsidR="00B30D4A" w:rsidP="00B30D4A" w:rsidRDefault="00B30D4A" w14:paraId="6CCB03AF" w14:textId="77777777">
            <w:pPr>
              <w:pStyle w:val="Prrafodelista"/>
              <w:widowControl w:val="0"/>
              <w:numPr>
                <w:ilvl w:val="0"/>
                <w:numId w:val="19"/>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INEXISTENCIA DE RESPONSABILIDAD COMO CONSECUENCIA DEL HECHO DE LA VÍCTIMA.</w:t>
            </w:r>
          </w:p>
          <w:p w:rsidRPr="00B30D4A" w:rsidR="00B30D4A" w:rsidP="00B30D4A" w:rsidRDefault="00B30D4A" w14:paraId="76BF6F6F" w14:textId="0C88E37A">
            <w:pPr>
              <w:pStyle w:val="Prrafodelista"/>
              <w:widowControl w:val="0"/>
              <w:numPr>
                <w:ilvl w:val="0"/>
                <w:numId w:val="19"/>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INEXISTENCIA DE RESPONSABILIDAD A CARGO DE LOS DEMANDADOS POR LA FALTA DE ACREDITACIÓN DEL NEXO CAUSAL. </w:t>
            </w:r>
          </w:p>
          <w:p w:rsidRPr="00B30D4A" w:rsidR="00B30D4A" w:rsidP="00B30D4A" w:rsidRDefault="00B30D4A" w14:paraId="2B9B5678" w14:textId="78387145">
            <w:pPr>
              <w:pStyle w:val="Prrafodelista"/>
              <w:widowControl w:val="0"/>
              <w:numPr>
                <w:ilvl w:val="0"/>
                <w:numId w:val="19"/>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ANULACIÓN DE LA PRESUNCIÓN DE CULPA COMO CONSECUENCIA DE LA CONCURRENCIA DE ACTIVIDADES PELIGROSAS. </w:t>
            </w:r>
          </w:p>
          <w:p w:rsidRPr="00B30D4A" w:rsidR="00B30D4A" w:rsidP="00B30D4A" w:rsidRDefault="00B30D4A" w14:paraId="4F955CB9" w14:textId="55478354">
            <w:pPr>
              <w:pStyle w:val="Prrafodelista"/>
              <w:widowControl w:val="0"/>
              <w:numPr>
                <w:ilvl w:val="0"/>
                <w:numId w:val="19"/>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TASACIÓN EXORBITANTE DEL DAÑO MORAL. </w:t>
            </w:r>
          </w:p>
          <w:p w:rsidRPr="00B30D4A" w:rsidR="00B30D4A" w:rsidP="00B30D4A" w:rsidRDefault="00B30D4A" w14:paraId="3EA811E7" w14:textId="019949D6">
            <w:pPr>
              <w:pStyle w:val="Prrafodelista"/>
              <w:widowControl w:val="0"/>
              <w:numPr>
                <w:ilvl w:val="0"/>
                <w:numId w:val="19"/>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INEXISTENCIA DE ELEMENTOS PROBATORIOS QUE PERMITAN ACREDITAR EL DAÑO A LA VIDA EN RELACIÓN Y EXCESIVA TASACIÓN. </w:t>
            </w:r>
          </w:p>
          <w:p w:rsidRPr="00B30D4A" w:rsidR="00B30D4A" w:rsidP="00B30D4A" w:rsidRDefault="00B30D4A" w14:paraId="5D671475" w14:textId="6C95BC2C">
            <w:pPr>
              <w:pStyle w:val="Prrafodelista"/>
              <w:widowControl w:val="0"/>
              <w:numPr>
                <w:ilvl w:val="0"/>
                <w:numId w:val="19"/>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INEXISTENCIA DE PRUEBA DEL LUCRO CESANTE. </w:t>
            </w:r>
          </w:p>
          <w:p w:rsidRPr="00B30D4A" w:rsidR="00B30D4A" w:rsidP="00B30D4A" w:rsidRDefault="00B30D4A" w14:paraId="48346134" w14:textId="64B3650E">
            <w:pPr>
              <w:pStyle w:val="Prrafodelista"/>
              <w:widowControl w:val="0"/>
              <w:numPr>
                <w:ilvl w:val="0"/>
                <w:numId w:val="19"/>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IMPROCEDENCIA DEL RECONOCIMIENTO DEL DAÑO EMERGENTE.</w:t>
            </w:r>
          </w:p>
          <w:p w:rsidRPr="00B30D4A" w:rsidR="00B30D4A" w:rsidP="00B30D4A" w:rsidRDefault="00B30D4A" w14:paraId="089FFD4E" w14:textId="56BE8A58">
            <w:pPr>
              <w:pStyle w:val="Prrafodelista"/>
              <w:widowControl w:val="0"/>
              <w:numPr>
                <w:ilvl w:val="0"/>
                <w:numId w:val="19"/>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FALTA DE LEGITIMACIÓN EN LA CAUSA DE LA SEÑORA VIVIANA MARCELA VARGAS LEÓN</w:t>
            </w:r>
          </w:p>
          <w:p w:rsidRPr="00B30D4A" w:rsidR="00B30D4A" w:rsidP="00B30D4A" w:rsidRDefault="00B30D4A" w14:paraId="12369703" w14:textId="77777777">
            <w:pPr>
              <w:pStyle w:val="Prrafodelista"/>
              <w:widowControl w:val="0"/>
              <w:numPr>
                <w:ilvl w:val="0"/>
                <w:numId w:val="19"/>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lang w:val="es-MX"/>
              </w:rPr>
              <w:t>GENÉRICA O INNOMINADA.</w:t>
            </w:r>
            <w:r w:rsidRPr="00B30D4A">
              <w:rPr>
                <w:rFonts w:ascii="Arial" w:hAnsi="Arial" w:cs="Arial"/>
                <w:sz w:val="22"/>
                <w:szCs w:val="22"/>
              </w:rPr>
              <w:t>  </w:t>
            </w:r>
          </w:p>
          <w:p w:rsidRPr="00B30D4A" w:rsidR="00B30D4A" w:rsidP="00B30D4A" w:rsidRDefault="00B30D4A" w14:paraId="377700DE" w14:textId="77777777">
            <w:pPr>
              <w:widowControl w:val="0"/>
              <w:tabs>
                <w:tab w:val="left" w:pos="5626"/>
              </w:tabs>
              <w:autoSpaceDE w:val="0"/>
              <w:autoSpaceDN w:val="0"/>
              <w:spacing w:line="360" w:lineRule="auto"/>
              <w:jc w:val="both"/>
              <w:rPr>
                <w:rFonts w:ascii="Arial" w:hAnsi="Arial" w:cs="Arial"/>
                <w:sz w:val="22"/>
                <w:szCs w:val="22"/>
              </w:rPr>
            </w:pPr>
          </w:p>
          <w:p w:rsidRPr="00B30D4A" w:rsidR="00B30D4A" w:rsidP="00B30D4A" w:rsidRDefault="00B30D4A" w14:paraId="72A2B905" w14:textId="6E05990E">
            <w:pPr>
              <w:widowControl w:val="0"/>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FRENTE AL CONTRATO DE SEGURO</w:t>
            </w:r>
          </w:p>
          <w:p w:rsidRPr="00B30D4A" w:rsidR="00B30D4A" w:rsidP="00B30D4A" w:rsidRDefault="00B30D4A" w14:paraId="54658F84" w14:textId="77777777">
            <w:pPr>
              <w:widowControl w:val="0"/>
              <w:tabs>
                <w:tab w:val="left" w:pos="5626"/>
              </w:tabs>
              <w:autoSpaceDE w:val="0"/>
              <w:autoSpaceDN w:val="0"/>
              <w:spacing w:line="360" w:lineRule="auto"/>
              <w:jc w:val="both"/>
              <w:rPr>
                <w:rFonts w:ascii="Arial" w:hAnsi="Arial" w:cs="Arial"/>
                <w:sz w:val="22"/>
                <w:szCs w:val="22"/>
              </w:rPr>
            </w:pPr>
          </w:p>
          <w:p w:rsidRPr="00B30D4A" w:rsidR="00B30D4A" w:rsidP="00B30D4A" w:rsidRDefault="00B30D4A" w14:paraId="15A754EF" w14:textId="77777777">
            <w:pPr>
              <w:pStyle w:val="Prrafodelista"/>
              <w:widowControl w:val="0"/>
              <w:numPr>
                <w:ilvl w:val="0"/>
                <w:numId w:val="20"/>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rPr>
              <w:t>INEXISTENCIA DE OBLIGACIÓN DE INDEMNIZAR A CARGO DE LA EQUIDAD POR INCUMPLIMIENTO DE LAS CARGAS DEL ARTÍCULO 1077 DEL CÓDIGO DE COMERCIO.</w:t>
            </w:r>
          </w:p>
          <w:p w:rsidRPr="009D230B" w:rsidR="00B30D4A" w:rsidP="00B30D4A" w:rsidRDefault="00B30D4A" w14:paraId="79235867" w14:textId="77777777">
            <w:pPr>
              <w:pStyle w:val="Prrafodelista"/>
              <w:widowControl w:val="0"/>
              <w:numPr>
                <w:ilvl w:val="0"/>
                <w:numId w:val="20"/>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AUSENCIA DE COBERTURA MATERIAL RESPECTO DE PERJUICIOS</w:t>
            </w:r>
            <w:r w:rsidRPr="00B30D4A">
              <w:rPr>
                <w:rFonts w:ascii="Arial" w:hAnsi="Arial" w:cs="Arial"/>
                <w:sz w:val="22"/>
                <w:szCs w:val="22"/>
              </w:rPr>
              <w:t xml:space="preserve"> </w:t>
            </w:r>
            <w:r w:rsidRPr="00B30D4A">
              <w:rPr>
                <w:rFonts w:ascii="Arial" w:hAnsi="Arial" w:cs="Arial"/>
                <w:sz w:val="22"/>
                <w:szCs w:val="22"/>
                <w:lang w:val="es-ES"/>
              </w:rPr>
              <w:t>EXTRAPATRIMONIALES</w:t>
            </w:r>
            <w:r w:rsidRPr="00B30D4A">
              <w:rPr>
                <w:rFonts w:ascii="Arial" w:hAnsi="Arial" w:cs="Arial"/>
                <w:sz w:val="22"/>
                <w:szCs w:val="22"/>
              </w:rPr>
              <w:t>.</w:t>
            </w:r>
          </w:p>
          <w:p w:rsidRPr="009D230B" w:rsidR="00862165" w:rsidP="00862165" w:rsidRDefault="00862165" w14:paraId="311E93AC" w14:textId="5F223396">
            <w:pPr>
              <w:pStyle w:val="Prrafodelista"/>
              <w:widowControl w:val="0"/>
              <w:numPr>
                <w:ilvl w:val="0"/>
                <w:numId w:val="20"/>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CAUSALES DE EXCLUSIÓN DE COBERTURA DE LA PÓLIZA DE SEGURO</w:t>
            </w:r>
            <w:r w:rsidRPr="00B30D4A">
              <w:rPr>
                <w:rFonts w:ascii="Arial" w:hAnsi="Arial" w:cs="Arial"/>
                <w:sz w:val="22"/>
                <w:szCs w:val="22"/>
              </w:rPr>
              <w:t xml:space="preserve"> AA006520</w:t>
            </w:r>
          </w:p>
          <w:p w:rsidRPr="00B30D4A" w:rsidR="00B30D4A" w:rsidP="00B30D4A" w:rsidRDefault="00B30D4A" w14:paraId="44281B94" w14:textId="77777777">
            <w:pPr>
              <w:pStyle w:val="Prrafodelista"/>
              <w:widowControl w:val="0"/>
              <w:numPr>
                <w:ilvl w:val="0"/>
                <w:numId w:val="20"/>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CARÁCTER MERAMENTE INDEMNIZATORIO QUE REVISTEN LOS CONTRATOS DE SEGUROS</w:t>
            </w:r>
            <w:r w:rsidRPr="00B30D4A">
              <w:rPr>
                <w:rFonts w:ascii="Arial" w:hAnsi="Arial" w:cs="Arial"/>
                <w:sz w:val="22"/>
                <w:szCs w:val="22"/>
              </w:rPr>
              <w:t>.</w:t>
            </w:r>
          </w:p>
          <w:p w:rsidRPr="00B30D4A" w:rsidR="00B30D4A" w:rsidP="00B30D4A" w:rsidRDefault="00B30D4A" w14:paraId="4053A69D" w14:textId="77777777">
            <w:pPr>
              <w:pStyle w:val="Prrafodelista"/>
              <w:widowControl w:val="0"/>
              <w:numPr>
                <w:ilvl w:val="0"/>
                <w:numId w:val="20"/>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SUJECIÓN A LAS CONDICIONES PARTICULARES Y GENERALES DEL CONTRATO DE SEGURO, EL CLAUSULADO Y LOS AMPAROS. </w:t>
            </w:r>
          </w:p>
          <w:p w:rsidRPr="00B30D4A" w:rsidR="00B30D4A" w:rsidP="00B30D4A" w:rsidRDefault="00B30D4A" w14:paraId="22F3D513" w14:textId="77777777">
            <w:pPr>
              <w:pStyle w:val="Prrafodelista"/>
              <w:widowControl w:val="0"/>
              <w:numPr>
                <w:ilvl w:val="0"/>
                <w:numId w:val="20"/>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EN CUALQUIER CASO, DE NINGUNA FORMA SE PODRÁ EXCEDER EL LÍMITE DEL VALOR ASEGURADO</w:t>
            </w:r>
            <w:r w:rsidRPr="00B30D4A">
              <w:rPr>
                <w:rFonts w:ascii="Arial" w:hAnsi="Arial" w:cs="Arial"/>
                <w:sz w:val="22"/>
                <w:szCs w:val="22"/>
              </w:rPr>
              <w:t>.</w:t>
            </w:r>
          </w:p>
          <w:p w:rsidRPr="00B30D4A" w:rsidR="00B30D4A" w:rsidP="00B30D4A" w:rsidRDefault="00B30D4A" w14:paraId="6AB6D319" w14:textId="77777777">
            <w:pPr>
              <w:pStyle w:val="Prrafodelista"/>
              <w:widowControl w:val="0"/>
              <w:numPr>
                <w:ilvl w:val="0"/>
                <w:numId w:val="20"/>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lastRenderedPageBreak/>
              <w:t>DISPONIBILIDAD DEL VALOR ASEGURADO</w:t>
            </w:r>
            <w:r w:rsidRPr="00B30D4A">
              <w:rPr>
                <w:rFonts w:ascii="Arial" w:hAnsi="Arial" w:cs="Arial"/>
                <w:sz w:val="22"/>
                <w:szCs w:val="22"/>
              </w:rPr>
              <w:t>.</w:t>
            </w:r>
          </w:p>
          <w:p w:rsidRPr="00B30D4A" w:rsidR="00B30D4A" w:rsidP="00B30D4A" w:rsidRDefault="00B30D4A" w14:paraId="15781ACA" w14:textId="77777777">
            <w:pPr>
              <w:pStyle w:val="Prrafodelista"/>
              <w:widowControl w:val="0"/>
              <w:numPr>
                <w:ilvl w:val="0"/>
                <w:numId w:val="20"/>
              </w:numPr>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CO"/>
              </w:rPr>
              <w:t>EN LA PÓLIZA No. AA006520, SE PACTÓ UN DEDUCIBLE DEL 10% DE LA PÉRDIDA INDEMNIZABLE, MÍNIMO 1 SMLMV PARA EL SUBLIMITE DE DAÑOS A BIENES DE TERCEROS.</w:t>
            </w:r>
          </w:p>
          <w:p w:rsidRPr="00B30D4A" w:rsidR="00B30D4A" w:rsidP="00B30D4A" w:rsidRDefault="00B30D4A" w14:paraId="0F5B3A63" w14:textId="77777777">
            <w:pPr>
              <w:pStyle w:val="Prrafodelista"/>
              <w:widowControl w:val="0"/>
              <w:numPr>
                <w:ilvl w:val="0"/>
                <w:numId w:val="20"/>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PRESCRIPCIÓN DE LAS ACCIONES DERIVADAS DEL CONTRATO DE SEGURO</w:t>
            </w:r>
            <w:r w:rsidRPr="00B30D4A">
              <w:rPr>
                <w:rFonts w:ascii="Arial" w:hAnsi="Arial" w:cs="Arial"/>
                <w:sz w:val="22"/>
                <w:szCs w:val="22"/>
              </w:rPr>
              <w:t>.</w:t>
            </w:r>
          </w:p>
          <w:p w:rsidRPr="00B30D4A" w:rsidR="00B30D4A" w:rsidP="00B30D4A" w:rsidRDefault="00B30D4A" w14:paraId="4752401F" w14:textId="77777777">
            <w:pPr>
              <w:pStyle w:val="Prrafodelista"/>
              <w:widowControl w:val="0"/>
              <w:numPr>
                <w:ilvl w:val="0"/>
                <w:numId w:val="20"/>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GENÉRICA O INNOMINADA </w:t>
            </w:r>
          </w:p>
          <w:p w:rsidRPr="00B30D4A" w:rsidR="00B30D4A" w:rsidP="00B30D4A" w:rsidRDefault="00B30D4A" w14:paraId="23076809" w14:textId="77777777">
            <w:pPr>
              <w:widowControl w:val="0"/>
              <w:tabs>
                <w:tab w:val="left" w:pos="5626"/>
              </w:tabs>
              <w:autoSpaceDE w:val="0"/>
              <w:autoSpaceDN w:val="0"/>
              <w:spacing w:line="360" w:lineRule="auto"/>
              <w:jc w:val="both"/>
              <w:rPr>
                <w:rFonts w:ascii="Arial" w:hAnsi="Arial" w:cs="Arial"/>
                <w:sz w:val="22"/>
                <w:szCs w:val="22"/>
              </w:rPr>
            </w:pPr>
          </w:p>
          <w:p w:rsidRPr="00B30D4A" w:rsidR="00B30D4A" w:rsidP="00B30D4A" w:rsidRDefault="00B30D4A" w14:paraId="15B0CC25" w14:textId="30361B8D">
            <w:pPr>
              <w:pStyle w:val="Prrafodelista"/>
              <w:widowControl w:val="0"/>
              <w:numPr>
                <w:ilvl w:val="1"/>
                <w:numId w:val="16"/>
              </w:numPr>
              <w:tabs>
                <w:tab w:val="left" w:pos="5626"/>
              </w:tabs>
              <w:autoSpaceDE w:val="0"/>
              <w:autoSpaceDN w:val="0"/>
              <w:spacing w:line="360" w:lineRule="auto"/>
              <w:jc w:val="both"/>
              <w:rPr>
                <w:rFonts w:ascii="Arial" w:hAnsi="Arial" w:cs="Arial"/>
                <w:sz w:val="22"/>
                <w:szCs w:val="22"/>
              </w:rPr>
            </w:pPr>
            <w:r w:rsidRPr="00B30D4A">
              <w:rPr>
                <w:rFonts w:ascii="Arial" w:hAnsi="Arial" w:cs="Arial"/>
                <w:sz w:val="22"/>
                <w:szCs w:val="22"/>
              </w:rPr>
              <w:t>FRENTE AL LLAMAMIENTO EN GARANTÍA</w:t>
            </w:r>
          </w:p>
          <w:p w:rsidRPr="00B30D4A" w:rsidR="00B30D4A" w:rsidP="00B30D4A" w:rsidRDefault="00B30D4A" w14:paraId="3F36F30A" w14:textId="35ED0D31">
            <w:pPr>
              <w:widowControl w:val="0"/>
              <w:tabs>
                <w:tab w:val="left" w:pos="5626"/>
              </w:tabs>
              <w:autoSpaceDE w:val="0"/>
              <w:autoSpaceDN w:val="0"/>
              <w:spacing w:line="360" w:lineRule="auto"/>
              <w:jc w:val="both"/>
              <w:rPr>
                <w:rFonts w:ascii="Arial" w:hAnsi="Arial" w:cs="Arial"/>
                <w:sz w:val="22"/>
                <w:szCs w:val="22"/>
              </w:rPr>
            </w:pPr>
          </w:p>
          <w:p w:rsidRPr="00B30D4A" w:rsidR="00B30D4A" w:rsidP="00B30D4A" w:rsidRDefault="00B30D4A" w14:paraId="10FFD607" w14:textId="77777777">
            <w:pPr>
              <w:pStyle w:val="Prrafodelista"/>
              <w:numPr>
                <w:ilvl w:val="0"/>
                <w:numId w:val="21"/>
              </w:numPr>
              <w:autoSpaceDE w:val="0"/>
              <w:autoSpaceDN w:val="0"/>
              <w:adjustRightInd w:val="0"/>
              <w:spacing w:line="360" w:lineRule="auto"/>
              <w:jc w:val="both"/>
              <w:rPr>
                <w:rFonts w:ascii="Arial" w:hAnsi="Arial" w:cs="Arial"/>
                <w:color w:val="000000"/>
                <w:sz w:val="22"/>
                <w:szCs w:val="22"/>
              </w:rPr>
            </w:pPr>
            <w:r w:rsidRPr="00B30D4A">
              <w:rPr>
                <w:rFonts w:ascii="Arial" w:hAnsi="Arial" w:cs="Arial"/>
                <w:color w:val="000000"/>
                <w:sz w:val="22"/>
                <w:szCs w:val="22"/>
              </w:rPr>
              <w:t xml:space="preserve">FALTA DE LEGITIMACIÓN EN LA CAUSA POR ACTIVA DE </w:t>
            </w:r>
            <w:r w:rsidRPr="00B30D4A">
              <w:rPr>
                <w:rFonts w:ascii="Arial" w:hAnsi="Arial" w:cs="Arial"/>
                <w:sz w:val="22"/>
                <w:szCs w:val="22"/>
              </w:rPr>
              <w:t>COOPERATIVA DE TRANSPORTADORES CIUDAD DE ACERO LTDA “COOTRACERO”</w:t>
            </w:r>
            <w:r w:rsidRPr="00B30D4A">
              <w:rPr>
                <w:rFonts w:ascii="Arial" w:hAnsi="Arial" w:cs="Arial"/>
                <w:color w:val="000000"/>
                <w:sz w:val="22"/>
                <w:szCs w:val="22"/>
              </w:rPr>
              <w:t>AL NO SER ASEGURADO.</w:t>
            </w:r>
          </w:p>
          <w:p w:rsidRPr="00B30D4A" w:rsidR="00B30D4A" w:rsidP="00B30D4A" w:rsidRDefault="00B30D4A" w14:paraId="1C50290B" w14:textId="77777777">
            <w:pPr>
              <w:pStyle w:val="Prrafodelista"/>
              <w:widowControl w:val="0"/>
              <w:numPr>
                <w:ilvl w:val="0"/>
                <w:numId w:val="21"/>
              </w:numPr>
              <w:autoSpaceDE w:val="0"/>
              <w:autoSpaceDN w:val="0"/>
              <w:spacing w:line="360" w:lineRule="auto"/>
              <w:jc w:val="both"/>
              <w:rPr>
                <w:rFonts w:ascii="Arial" w:hAnsi="Arial" w:cs="Arial"/>
                <w:color w:val="000000"/>
                <w:sz w:val="22"/>
                <w:szCs w:val="22"/>
              </w:rPr>
            </w:pPr>
            <w:r w:rsidRPr="00B30D4A">
              <w:rPr>
                <w:rFonts w:ascii="Arial" w:hAnsi="Arial" w:cs="Arial"/>
                <w:color w:val="000000"/>
                <w:sz w:val="22"/>
                <w:szCs w:val="22"/>
              </w:rPr>
              <w:t xml:space="preserve">INEXISTENCIA DE OBLIGACIÓN DE INDEMNIZAR A CARGO DE </w:t>
            </w:r>
            <w:r w:rsidRPr="00B30D4A">
              <w:rPr>
                <w:rFonts w:ascii="Arial" w:hAnsi="Arial" w:cs="Arial"/>
                <w:sz w:val="22"/>
                <w:szCs w:val="22"/>
              </w:rPr>
              <w:t>LA EQUIDAD SEGUROS GENERALES ORGANISMO COOPERATIVO</w:t>
            </w:r>
            <w:r w:rsidRPr="00B30D4A">
              <w:rPr>
                <w:rFonts w:ascii="Arial" w:hAnsi="Arial" w:cs="Arial"/>
                <w:color w:val="000000"/>
                <w:sz w:val="22"/>
                <w:szCs w:val="22"/>
              </w:rPr>
              <w:t xml:space="preserve">, POR FALTA DE REALIZACIÓN DEL RIESGO ASEGURADO EN LA PÓLIZA DE AUTOS – ARTICULO 1072 DEL CODIGO DE COMERCIO. </w:t>
            </w:r>
          </w:p>
          <w:p w:rsidRPr="009D230B" w:rsidR="00B30D4A" w:rsidP="00B30D4A" w:rsidRDefault="00B30D4A" w14:paraId="791D876F" w14:textId="77777777">
            <w:pPr>
              <w:pStyle w:val="Prrafodelista"/>
              <w:widowControl w:val="0"/>
              <w:numPr>
                <w:ilvl w:val="0"/>
                <w:numId w:val="21"/>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rPr>
              <w:t>AUSENCIA DE COBERTURA MATERIAL RESPECTO DE PERJUICIOS EXTRAPATRIMONIALES.</w:t>
            </w:r>
          </w:p>
          <w:p w:rsidRPr="009D230B" w:rsidR="00862165" w:rsidP="009D230B" w:rsidRDefault="00862165" w14:paraId="2BFA4CF1" w14:textId="0B389882">
            <w:pPr>
              <w:pStyle w:val="Prrafodelista"/>
              <w:numPr>
                <w:ilvl w:val="0"/>
                <w:numId w:val="21"/>
              </w:numPr>
              <w:spacing w:line="276" w:lineRule="auto"/>
              <w:jc w:val="both"/>
              <w:rPr>
                <w:rFonts w:ascii="Century Gothic" w:hAnsi="Century Gothic"/>
                <w:sz w:val="22"/>
                <w:szCs w:val="22"/>
              </w:rPr>
            </w:pPr>
            <w:r w:rsidRPr="00B30D4A">
              <w:rPr>
                <w:rFonts w:ascii="Arial" w:hAnsi="Arial" w:cs="Arial"/>
                <w:sz w:val="22"/>
                <w:szCs w:val="22"/>
                <w:lang w:val="es-ES"/>
              </w:rPr>
              <w:t>CAUSALES DE EXCLUSIÓN DE COBERTURA DE LA PÓLIZA DE SEGURO</w:t>
            </w:r>
            <w:r w:rsidRPr="00B30D4A">
              <w:rPr>
                <w:rFonts w:ascii="Arial" w:hAnsi="Arial" w:cs="Arial"/>
                <w:sz w:val="22"/>
                <w:szCs w:val="22"/>
              </w:rPr>
              <w:t xml:space="preserve"> AA006520</w:t>
            </w:r>
          </w:p>
          <w:p w:rsidRPr="00B30D4A" w:rsidR="00B30D4A" w:rsidP="00B30D4A" w:rsidRDefault="00B30D4A" w14:paraId="26DB7F1E" w14:textId="77777777">
            <w:pPr>
              <w:pStyle w:val="Prrafodelista"/>
              <w:widowControl w:val="0"/>
              <w:numPr>
                <w:ilvl w:val="0"/>
                <w:numId w:val="21"/>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CARÁCTER MERAMENTE INDEMNIZATORIO QUE REVISTEN LOS CONTRATOS DE SEGUROS</w:t>
            </w:r>
            <w:r w:rsidRPr="00B30D4A">
              <w:rPr>
                <w:rFonts w:ascii="Arial" w:hAnsi="Arial" w:cs="Arial"/>
                <w:sz w:val="22"/>
                <w:szCs w:val="22"/>
              </w:rPr>
              <w:t>.</w:t>
            </w:r>
          </w:p>
          <w:p w:rsidRPr="00B30D4A" w:rsidR="00B30D4A" w:rsidP="00B30D4A" w:rsidRDefault="00B30D4A" w14:paraId="5B5A8295" w14:textId="77777777">
            <w:pPr>
              <w:pStyle w:val="Prrafodelista"/>
              <w:widowControl w:val="0"/>
              <w:numPr>
                <w:ilvl w:val="0"/>
                <w:numId w:val="21"/>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CARÁCTER MERAMENTE INDEMNIZATORIO QUE REVISTEN LOS CONTRATOS DE SEGUROS</w:t>
            </w:r>
            <w:r w:rsidRPr="00B30D4A">
              <w:rPr>
                <w:rFonts w:ascii="Arial" w:hAnsi="Arial" w:cs="Arial"/>
                <w:sz w:val="22"/>
                <w:szCs w:val="22"/>
              </w:rPr>
              <w:t>.</w:t>
            </w:r>
          </w:p>
          <w:p w:rsidRPr="00B30D4A" w:rsidR="00B30D4A" w:rsidP="00B30D4A" w:rsidRDefault="00B30D4A" w14:paraId="356EE6F3" w14:textId="77777777">
            <w:pPr>
              <w:pStyle w:val="Prrafodelista"/>
              <w:widowControl w:val="0"/>
              <w:numPr>
                <w:ilvl w:val="0"/>
                <w:numId w:val="21"/>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EN CUALQUIER CASO, DE NINGUNA FORMA SE PODRÁ EXCEDER EL LÍMITE DEL VALOR ASEGURADO</w:t>
            </w:r>
            <w:r w:rsidRPr="00B30D4A">
              <w:rPr>
                <w:rFonts w:ascii="Arial" w:hAnsi="Arial" w:cs="Arial"/>
                <w:sz w:val="22"/>
                <w:szCs w:val="22"/>
              </w:rPr>
              <w:t>.</w:t>
            </w:r>
          </w:p>
          <w:p w:rsidRPr="00B30D4A" w:rsidR="00B30D4A" w:rsidP="00B30D4A" w:rsidRDefault="00B30D4A" w14:paraId="3033C26F" w14:textId="77777777">
            <w:pPr>
              <w:pStyle w:val="Prrafodelista"/>
              <w:widowControl w:val="0"/>
              <w:numPr>
                <w:ilvl w:val="0"/>
                <w:numId w:val="21"/>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DISPONIBILIDAD DEL VALOR ASEGURADO</w:t>
            </w:r>
            <w:r w:rsidRPr="00B30D4A">
              <w:rPr>
                <w:rFonts w:ascii="Arial" w:hAnsi="Arial" w:cs="Arial"/>
                <w:sz w:val="22"/>
                <w:szCs w:val="22"/>
              </w:rPr>
              <w:t>.</w:t>
            </w:r>
          </w:p>
          <w:p w:rsidRPr="00B30D4A" w:rsidR="00B30D4A" w:rsidP="00B30D4A" w:rsidRDefault="00B30D4A" w14:paraId="1F6BC080" w14:textId="77777777">
            <w:pPr>
              <w:pStyle w:val="Prrafodelista"/>
              <w:widowControl w:val="0"/>
              <w:numPr>
                <w:ilvl w:val="0"/>
                <w:numId w:val="21"/>
              </w:numPr>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CO"/>
              </w:rPr>
              <w:t>EN LA PÓLIZA No. AA006520, SE PACTÓ UN DEDUCIBLE DEL 10% DE LA PÉRDIDA INDEMNIZABLE, MÍNIMO 1 SMLMV PARA EL SUBLIMITE DE DAÑOS A BIENES DE TERCEROS.</w:t>
            </w:r>
          </w:p>
          <w:p w:rsidRPr="00B30D4A" w:rsidR="00B30D4A" w:rsidP="00B30D4A" w:rsidRDefault="00B30D4A" w14:paraId="0900079E" w14:textId="77777777">
            <w:pPr>
              <w:pStyle w:val="Prrafodelista"/>
              <w:widowControl w:val="0"/>
              <w:numPr>
                <w:ilvl w:val="0"/>
                <w:numId w:val="21"/>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PRESCRIPCIÓN DE LAS ACCIONES DERIVADAS DEL CONTRATO DE SEGURO</w:t>
            </w:r>
            <w:r w:rsidRPr="00B30D4A">
              <w:rPr>
                <w:rFonts w:ascii="Arial" w:hAnsi="Arial" w:cs="Arial"/>
                <w:sz w:val="22"/>
                <w:szCs w:val="22"/>
              </w:rPr>
              <w:t>.</w:t>
            </w:r>
          </w:p>
          <w:p w:rsidRPr="00B30D4A" w:rsidR="00B30D4A" w:rsidP="00B30D4A" w:rsidRDefault="00B30D4A" w14:paraId="03AC1276" w14:textId="77777777">
            <w:pPr>
              <w:pStyle w:val="Prrafodelista"/>
              <w:widowControl w:val="0"/>
              <w:numPr>
                <w:ilvl w:val="0"/>
                <w:numId w:val="21"/>
              </w:numPr>
              <w:tabs>
                <w:tab w:val="left" w:pos="5626"/>
              </w:tabs>
              <w:autoSpaceDE w:val="0"/>
              <w:autoSpaceDN w:val="0"/>
              <w:spacing w:line="360" w:lineRule="auto"/>
              <w:jc w:val="both"/>
              <w:rPr>
                <w:rFonts w:ascii="Arial" w:hAnsi="Arial" w:cs="Arial"/>
                <w:sz w:val="22"/>
                <w:szCs w:val="22"/>
                <w:lang w:val="es-CO"/>
              </w:rPr>
            </w:pPr>
            <w:r w:rsidRPr="00B30D4A">
              <w:rPr>
                <w:rFonts w:ascii="Arial" w:hAnsi="Arial" w:cs="Arial"/>
                <w:sz w:val="22"/>
                <w:szCs w:val="22"/>
                <w:lang w:val="es-ES"/>
              </w:rPr>
              <w:t>GENÉRICA O INNOMINADA </w:t>
            </w:r>
          </w:p>
          <w:p w:rsidRPr="00B30D4A" w:rsidR="00B30D4A" w:rsidP="00B30D4A" w:rsidRDefault="00B30D4A" w14:paraId="52CE2D52" w14:textId="67C1DCA7">
            <w:pPr>
              <w:spacing w:line="276" w:lineRule="auto"/>
              <w:ind w:left="360"/>
              <w:jc w:val="both"/>
              <w:rPr>
                <w:rFonts w:ascii="Century Gothic" w:hAnsi="Century Gothic"/>
                <w:b/>
                <w:bCs/>
                <w:sz w:val="22"/>
                <w:szCs w:val="22"/>
              </w:rPr>
            </w:pPr>
          </w:p>
        </w:tc>
      </w:tr>
    </w:tbl>
    <w:p w:rsidRPr="00BA1E5F" w:rsidR="00F67EF8" w:rsidP="00F67EF8" w:rsidRDefault="00F67EF8" w14:paraId="0AA122B4" w14:textId="77777777">
      <w:pPr>
        <w:spacing w:line="276" w:lineRule="auto"/>
        <w:jc w:val="both"/>
        <w:rPr>
          <w:rFonts w:ascii="Century Gothic" w:hAnsi="Century Gothic"/>
          <w:sz w:val="22"/>
          <w:szCs w:val="22"/>
        </w:rPr>
      </w:pPr>
    </w:p>
    <w:tbl>
      <w:tblPr>
        <w:tblW w:w="10207"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66"/>
        <w:gridCol w:w="6941"/>
      </w:tblGrid>
      <w:tr w:rsidRPr="00BA1E5F" w:rsidR="00EE687D" w:rsidTr="00B30D4A" w14:paraId="4B531C7D" w14:textId="77777777">
        <w:trPr>
          <w:trHeight w:val="454"/>
        </w:trPr>
        <w:tc>
          <w:tcPr>
            <w:tcW w:w="3266" w:type="dxa"/>
            <w:vAlign w:val="center"/>
            <w:hideMark/>
          </w:tcPr>
          <w:p w:rsidRPr="00BA1E5F" w:rsidR="00EE687D" w:rsidP="00EB6AB4" w:rsidRDefault="006F0CAA" w14:paraId="3F99B56F" w14:textId="1315CCD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tcPr>
          <w:p w:rsidRPr="00BA1E5F" w:rsidR="00EE687D" w:rsidP="00EB6AB4" w:rsidRDefault="003A3AE2" w14:paraId="06D242A3" w14:textId="6D17145A">
            <w:pPr>
              <w:jc w:val="both"/>
              <w:rPr>
                <w:rFonts w:ascii="Century Gothic" w:hAnsi="Century Gothic" w:cs="Segoe UI"/>
                <w:sz w:val="22"/>
                <w:szCs w:val="22"/>
                <w:lang w:eastAsia="es-CO"/>
              </w:rPr>
            </w:pPr>
            <w:r>
              <w:rPr>
                <w:rFonts w:ascii="Century Gothic" w:hAnsi="Century Gothic" w:cs="Segoe UI"/>
                <w:sz w:val="22"/>
                <w:szCs w:val="22"/>
                <w:lang w:eastAsia="es-CO"/>
              </w:rPr>
              <w:t>10161391</w:t>
            </w:r>
          </w:p>
        </w:tc>
      </w:tr>
      <w:tr w:rsidRPr="00BA1E5F" w:rsidR="006F0CAA" w:rsidTr="3D1942E6" w14:paraId="7A21B905" w14:textId="77777777">
        <w:trPr>
          <w:trHeight w:val="454"/>
        </w:trPr>
        <w:tc>
          <w:tcPr>
            <w:tcW w:w="3266" w:type="dxa"/>
            <w:vAlign w:val="center"/>
          </w:tcPr>
          <w:p w:rsidRPr="00BA1E5F" w:rsidR="006F0CAA" w:rsidP="3D1942E6" w:rsidRDefault="006F0CAA" w14:paraId="533380A9" w14:textId="7103E52D">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rsidRPr="00BA1E5F" w:rsidR="006F0CAA" w:rsidP="00EB6AB4" w:rsidRDefault="003A3AE2" w14:paraId="79DBA3A4" w14:textId="5538956A">
            <w:pPr>
              <w:jc w:val="both"/>
              <w:rPr>
                <w:rFonts w:ascii="Century Gothic" w:hAnsi="Century Gothic" w:cs="Segoe UI"/>
                <w:sz w:val="22"/>
                <w:szCs w:val="22"/>
                <w:lang w:eastAsia="es-CO"/>
              </w:rPr>
            </w:pPr>
            <w:r>
              <w:rPr>
                <w:rFonts w:ascii="Century Gothic" w:hAnsi="Century Gothic" w:cs="Segoe UI"/>
                <w:sz w:val="22"/>
                <w:szCs w:val="22"/>
                <w:lang w:eastAsia="es-CO"/>
              </w:rPr>
              <w:t>120204</w:t>
            </w:r>
          </w:p>
        </w:tc>
      </w:tr>
      <w:tr w:rsidRPr="00BA1E5F" w:rsidR="00EE687D" w:rsidTr="3D1942E6" w14:paraId="00877764" w14:textId="77777777">
        <w:trPr>
          <w:trHeight w:val="454"/>
        </w:trPr>
        <w:tc>
          <w:tcPr>
            <w:tcW w:w="3266" w:type="dxa"/>
            <w:vAlign w:val="center"/>
            <w:hideMark/>
          </w:tcPr>
          <w:p w:rsidRPr="00BA1E5F" w:rsidR="00EE687D" w:rsidP="00EB6AB4" w:rsidRDefault="00EE687D" w14:paraId="749E810E"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Póliza</w:t>
            </w:r>
          </w:p>
        </w:tc>
        <w:tc>
          <w:tcPr>
            <w:tcW w:w="6941" w:type="dxa"/>
            <w:vAlign w:val="center"/>
          </w:tcPr>
          <w:p w:rsidRPr="00F24A2E" w:rsidR="00EE687D" w:rsidP="00EB6AB4" w:rsidRDefault="003A3AE2" w14:paraId="7FC9EC9E" w14:textId="26BBA3F7">
            <w:pPr>
              <w:jc w:val="both"/>
              <w:rPr>
                <w:rFonts w:ascii="Century Gothic" w:hAnsi="Century Gothic" w:cs="Segoe UI"/>
                <w:sz w:val="22"/>
                <w:szCs w:val="22"/>
                <w:lang w:eastAsia="es-CO"/>
              </w:rPr>
            </w:pPr>
            <w:r>
              <w:rPr>
                <w:rFonts w:ascii="Century Gothic" w:hAnsi="Century Gothic" w:cs="Segoe UI"/>
                <w:sz w:val="22"/>
                <w:szCs w:val="22"/>
                <w:lang w:eastAsia="es-CO"/>
              </w:rPr>
              <w:t>AA006520</w:t>
            </w:r>
          </w:p>
        </w:tc>
      </w:tr>
      <w:tr w:rsidRPr="00BA1E5F" w:rsidR="00EE687D" w:rsidTr="3D1942E6" w14:paraId="3260B646" w14:textId="77777777">
        <w:trPr>
          <w:trHeight w:val="454"/>
        </w:trPr>
        <w:tc>
          <w:tcPr>
            <w:tcW w:w="3266" w:type="dxa"/>
            <w:vAlign w:val="center"/>
            <w:hideMark/>
          </w:tcPr>
          <w:p w:rsidRPr="00BA1E5F" w:rsidR="00EE687D" w:rsidP="00EB6AB4" w:rsidRDefault="00EE687D" w14:paraId="67FBF2E5"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rsidRPr="00BA1E5F" w:rsidR="00EE687D" w:rsidP="00EB6AB4" w:rsidRDefault="003A3AE2" w14:paraId="47A2248B" w14:textId="2C252362">
            <w:pPr>
              <w:jc w:val="both"/>
              <w:rPr>
                <w:rFonts w:ascii="Century Gothic" w:hAnsi="Century Gothic" w:cs="Segoe UI"/>
                <w:sz w:val="22"/>
                <w:szCs w:val="22"/>
                <w:lang w:eastAsia="es-CO"/>
              </w:rPr>
            </w:pPr>
            <w:r>
              <w:rPr>
                <w:rFonts w:ascii="Century Gothic" w:hAnsi="Century Gothic" w:cs="Segoe UI"/>
                <w:sz w:val="22"/>
                <w:szCs w:val="22"/>
                <w:lang w:eastAsia="es-CO"/>
              </w:rPr>
              <w:t>AA156114</w:t>
            </w:r>
          </w:p>
        </w:tc>
      </w:tr>
      <w:tr w:rsidRPr="00BA1E5F" w:rsidR="00EE687D" w:rsidTr="3D1942E6" w14:paraId="0BC7C6A3" w14:textId="77777777">
        <w:trPr>
          <w:trHeight w:val="454"/>
        </w:trPr>
        <w:tc>
          <w:tcPr>
            <w:tcW w:w="3266" w:type="dxa"/>
            <w:vAlign w:val="center"/>
            <w:hideMark/>
          </w:tcPr>
          <w:p w:rsidRPr="00BA1E5F" w:rsidR="00EE687D" w:rsidP="00EB6AB4" w:rsidRDefault="00EE687D" w14:paraId="433D63BC"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rsidRPr="00BA1E5F" w:rsidR="00EE687D" w:rsidP="00EB6AB4" w:rsidRDefault="003A3AE2" w14:paraId="25280801" w14:textId="6A84CBA3">
            <w:pPr>
              <w:jc w:val="both"/>
              <w:rPr>
                <w:rFonts w:ascii="Century Gothic" w:hAnsi="Century Gothic" w:cs="Segoe UI"/>
                <w:sz w:val="22"/>
                <w:szCs w:val="22"/>
                <w:lang w:eastAsia="es-CO"/>
              </w:rPr>
            </w:pPr>
            <w:r>
              <w:rPr>
                <w:rFonts w:ascii="Century Gothic" w:hAnsi="Century Gothic" w:cs="Segoe UI"/>
                <w:sz w:val="22"/>
                <w:szCs w:val="22"/>
                <w:lang w:eastAsia="es-CO"/>
              </w:rPr>
              <w:t>352</w:t>
            </w:r>
          </w:p>
        </w:tc>
      </w:tr>
      <w:tr w:rsidRPr="00BA1E5F" w:rsidR="00B90E05" w:rsidTr="3D1942E6" w14:paraId="3ACEF28A" w14:textId="77777777">
        <w:trPr>
          <w:trHeight w:val="454"/>
        </w:trPr>
        <w:tc>
          <w:tcPr>
            <w:tcW w:w="3266" w:type="dxa"/>
            <w:vAlign w:val="center"/>
          </w:tcPr>
          <w:p w:rsidRPr="00BA1E5F" w:rsidR="00B90E05" w:rsidP="00EB6AB4" w:rsidRDefault="00B90E05" w14:paraId="0881BFDC" w14:textId="40C44F4A">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rsidRPr="00BA1E5F" w:rsidR="00B90E05" w:rsidP="00EB6AB4" w:rsidRDefault="00CA20C0" w14:paraId="74AA0D59" w14:textId="2E852F99">
            <w:pPr>
              <w:jc w:val="both"/>
              <w:rPr>
                <w:rFonts w:ascii="Century Gothic" w:hAnsi="Century Gothic" w:cs="Segoe UI"/>
                <w:sz w:val="22"/>
                <w:szCs w:val="22"/>
                <w:lang w:eastAsia="es-CO"/>
              </w:rPr>
            </w:pPr>
            <w:r>
              <w:rPr>
                <w:rFonts w:ascii="Century Gothic" w:hAnsi="Century Gothic" w:cs="Segoe UI"/>
                <w:sz w:val="22"/>
                <w:szCs w:val="22"/>
                <w:lang w:eastAsia="es-CO"/>
              </w:rPr>
              <w:t>100011</w:t>
            </w:r>
          </w:p>
        </w:tc>
      </w:tr>
      <w:tr w:rsidRPr="00BA1E5F" w:rsidR="00EE687D" w:rsidTr="3D1942E6" w14:paraId="4BCD09C7" w14:textId="77777777">
        <w:trPr>
          <w:trHeight w:val="454"/>
        </w:trPr>
        <w:tc>
          <w:tcPr>
            <w:tcW w:w="3266" w:type="dxa"/>
            <w:vAlign w:val="center"/>
            <w:hideMark/>
          </w:tcPr>
          <w:p w:rsidRPr="00BA1E5F" w:rsidR="00EE687D" w:rsidP="00EB6AB4" w:rsidRDefault="001C44B4" w14:paraId="0A1C1E81" w14:textId="17519C6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rsidRPr="00BA1E5F" w:rsidR="00EE687D" w:rsidP="00EB6AB4" w:rsidRDefault="00CA20C0" w14:paraId="73CAF2AF" w14:textId="02BD581E">
            <w:pPr>
              <w:jc w:val="both"/>
              <w:rPr>
                <w:rFonts w:ascii="Century Gothic" w:hAnsi="Century Gothic" w:cs="Segoe UI"/>
                <w:sz w:val="22"/>
                <w:szCs w:val="22"/>
                <w:lang w:eastAsia="es-CO"/>
              </w:rPr>
            </w:pPr>
            <w:r>
              <w:rPr>
                <w:rFonts w:ascii="Century Gothic" w:hAnsi="Century Gothic" w:cs="Segoe UI"/>
                <w:sz w:val="22"/>
                <w:szCs w:val="22"/>
                <w:lang w:eastAsia="es-CO"/>
              </w:rPr>
              <w:t>XGD586</w:t>
            </w:r>
          </w:p>
        </w:tc>
      </w:tr>
      <w:tr w:rsidRPr="00BA1E5F" w:rsidR="001C44B4" w:rsidTr="3D1942E6" w14:paraId="0BA9ECEE" w14:textId="77777777">
        <w:trPr>
          <w:trHeight w:val="454"/>
        </w:trPr>
        <w:tc>
          <w:tcPr>
            <w:tcW w:w="3266" w:type="dxa"/>
            <w:vAlign w:val="center"/>
          </w:tcPr>
          <w:p w:rsidRPr="00BA1E5F" w:rsidR="001C44B4" w:rsidP="001C44B4" w:rsidRDefault="001C44B4" w14:paraId="7B70AF59" w14:textId="749D67B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rsidRPr="00BA1E5F" w:rsidR="001C44B4" w:rsidP="001C44B4" w:rsidRDefault="00CA20C0" w14:paraId="2D03F3BA" w14:textId="297BD61A">
            <w:pPr>
              <w:jc w:val="both"/>
              <w:rPr>
                <w:rFonts w:ascii="Century Gothic" w:hAnsi="Century Gothic" w:cs="Segoe UI"/>
                <w:sz w:val="22"/>
                <w:szCs w:val="22"/>
                <w:lang w:eastAsia="es-CO"/>
              </w:rPr>
            </w:pPr>
            <w:r>
              <w:rPr>
                <w:rFonts w:ascii="Century Gothic" w:hAnsi="Century Gothic" w:cs="Segoe UI"/>
                <w:sz w:val="22"/>
                <w:szCs w:val="22"/>
                <w:lang w:eastAsia="es-CO"/>
              </w:rPr>
              <w:t>13 DE MARZO DE 2020</w:t>
            </w:r>
          </w:p>
        </w:tc>
      </w:tr>
      <w:tr w:rsidRPr="00BA1E5F" w:rsidR="001C44B4" w:rsidTr="3D1942E6" w14:paraId="05412033" w14:textId="77777777">
        <w:trPr>
          <w:trHeight w:val="454"/>
        </w:trPr>
        <w:tc>
          <w:tcPr>
            <w:tcW w:w="3266" w:type="dxa"/>
            <w:vAlign w:val="center"/>
          </w:tcPr>
          <w:p w:rsidRPr="00BA1E5F" w:rsidR="001C44B4" w:rsidP="001C44B4" w:rsidRDefault="001C44B4" w14:paraId="43E688BB" w14:textId="54B02C3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rsidRPr="00BA1E5F" w:rsidR="001C44B4" w:rsidP="001C44B4" w:rsidRDefault="00CA20C0" w14:paraId="7E184CA4" w14:textId="0ECD1C81">
            <w:pPr>
              <w:jc w:val="both"/>
              <w:rPr>
                <w:rFonts w:ascii="Century Gothic" w:hAnsi="Century Gothic" w:cs="Segoe UI"/>
                <w:sz w:val="22"/>
                <w:szCs w:val="22"/>
                <w:lang w:eastAsia="es-CO"/>
              </w:rPr>
            </w:pPr>
            <w:r>
              <w:rPr>
                <w:rFonts w:ascii="Century Gothic" w:hAnsi="Century Gothic" w:cs="Segoe UI"/>
                <w:sz w:val="22"/>
                <w:szCs w:val="22"/>
                <w:lang w:eastAsia="es-CO"/>
              </w:rPr>
              <w:t>26 DE MARZO DE 2020</w:t>
            </w:r>
          </w:p>
        </w:tc>
      </w:tr>
      <w:tr w:rsidRPr="00BA1E5F" w:rsidR="001C44B4" w:rsidTr="3D1942E6" w14:paraId="6DB6B020" w14:textId="77777777">
        <w:trPr>
          <w:trHeight w:val="454"/>
        </w:trPr>
        <w:tc>
          <w:tcPr>
            <w:tcW w:w="3266" w:type="dxa"/>
            <w:vAlign w:val="center"/>
          </w:tcPr>
          <w:p w:rsidRPr="00BA1E5F" w:rsidR="001C44B4" w:rsidP="001C44B4" w:rsidRDefault="001C44B4" w14:paraId="13FCE7D8" w14:textId="6EA7D19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rsidRPr="00BA1E5F" w:rsidR="001C44B4" w:rsidP="001C44B4" w:rsidRDefault="00CA20C0" w14:paraId="6857070F" w14:textId="58AD063A">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Pr="00BA1E5F" w:rsidR="001C44B4" w:rsidTr="3D1942E6" w14:paraId="2F1DA9E6" w14:textId="77777777">
        <w:trPr>
          <w:trHeight w:val="454"/>
        </w:trPr>
        <w:tc>
          <w:tcPr>
            <w:tcW w:w="3266" w:type="dxa"/>
            <w:vAlign w:val="center"/>
          </w:tcPr>
          <w:p w:rsidRPr="00BA1E5F" w:rsidR="001C44B4" w:rsidP="001C44B4" w:rsidRDefault="008B685D" w14:paraId="3ECF2237" w14:textId="5FB6285C">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rsidRPr="00BA1E5F" w:rsidR="001C44B4" w:rsidP="001C44B4" w:rsidRDefault="00CA20C0" w14:paraId="2B607964" w14:textId="26C7F0A8">
            <w:pPr>
              <w:jc w:val="both"/>
              <w:rPr>
                <w:rFonts w:ascii="Century Gothic" w:hAnsi="Century Gothic" w:cs="Segoe UI"/>
                <w:sz w:val="22"/>
                <w:szCs w:val="22"/>
                <w:lang w:eastAsia="es-CO"/>
              </w:rPr>
            </w:pPr>
            <w:r>
              <w:rPr>
                <w:rFonts w:ascii="Century Gothic" w:hAnsi="Century Gothic" w:cs="Segoe UI"/>
                <w:sz w:val="22"/>
                <w:szCs w:val="22"/>
                <w:lang w:eastAsia="es-CO"/>
              </w:rPr>
              <w:t>COOPERATIVA DE TRANSPORTADORES CIUDAD DEL ACERO</w:t>
            </w:r>
          </w:p>
        </w:tc>
      </w:tr>
      <w:tr w:rsidRPr="00BA1E5F" w:rsidR="001C44B4" w:rsidTr="3D1942E6" w14:paraId="1165CBE1" w14:textId="77777777">
        <w:trPr>
          <w:trHeight w:val="454"/>
        </w:trPr>
        <w:tc>
          <w:tcPr>
            <w:tcW w:w="3266" w:type="dxa"/>
            <w:vAlign w:val="center"/>
          </w:tcPr>
          <w:p w:rsidRPr="00BA1E5F" w:rsidR="001C44B4" w:rsidP="001C44B4" w:rsidRDefault="008B685D" w14:paraId="640F2169" w14:textId="4903327C">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rsidRPr="00F24A2E" w:rsidR="001C44B4" w:rsidP="001C44B4" w:rsidRDefault="00CA20C0" w14:paraId="3381B0BB" w14:textId="5450209A">
            <w:pPr>
              <w:jc w:val="both"/>
              <w:rPr>
                <w:rFonts w:ascii="Century Gothic" w:hAnsi="Century Gothic" w:cs="Segoe UI"/>
                <w:sz w:val="22"/>
                <w:szCs w:val="22"/>
                <w:lang w:eastAsia="es-CO"/>
              </w:rPr>
            </w:pPr>
            <w:r>
              <w:rPr>
                <w:rFonts w:ascii="Century Gothic" w:hAnsi="Century Gothic" w:cs="Segoe UI"/>
                <w:sz w:val="22"/>
                <w:szCs w:val="22"/>
                <w:lang w:eastAsia="es-CO"/>
              </w:rPr>
              <w:t>TUTA CELY ERNESTO ANTONIO</w:t>
            </w:r>
          </w:p>
        </w:tc>
      </w:tr>
      <w:tr w:rsidRPr="00BA1E5F" w:rsidR="001C44B4" w:rsidTr="3D1942E6" w14:paraId="513C2A8D" w14:textId="77777777">
        <w:trPr>
          <w:trHeight w:val="454"/>
        </w:trPr>
        <w:tc>
          <w:tcPr>
            <w:tcW w:w="3266" w:type="dxa"/>
            <w:vAlign w:val="center"/>
            <w:hideMark/>
          </w:tcPr>
          <w:p w:rsidRPr="00BA1E5F" w:rsidR="001C44B4" w:rsidP="001C44B4" w:rsidRDefault="008B685D" w14:paraId="5E1FDA28" w14:textId="16DB1B8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rsidRPr="00BA1E5F" w:rsidR="001C44B4" w:rsidP="002E1D2C" w:rsidRDefault="00CA20C0" w14:paraId="0701202E" w14:textId="6C1B70E4">
            <w:pPr>
              <w:rPr>
                <w:rFonts w:ascii="Century Gothic" w:hAnsi="Century Gothic" w:cs="Segoe UI"/>
                <w:sz w:val="22"/>
                <w:szCs w:val="22"/>
                <w:lang w:eastAsia="es-CO"/>
              </w:rPr>
            </w:pPr>
            <w:r>
              <w:rPr>
                <w:rFonts w:ascii="Century Gothic" w:hAnsi="Century Gothic" w:cs="Segoe UI"/>
                <w:sz w:val="22"/>
                <w:szCs w:val="22"/>
                <w:lang w:eastAsia="es-CO"/>
              </w:rPr>
              <w:t>RCE SERVICIO PUBL</w:t>
            </w:r>
          </w:p>
        </w:tc>
      </w:tr>
      <w:tr w:rsidRPr="00BA1E5F" w:rsidR="001C44B4" w:rsidTr="3D1942E6" w14:paraId="2F8ECFA3" w14:textId="77777777">
        <w:trPr>
          <w:trHeight w:val="454"/>
        </w:trPr>
        <w:tc>
          <w:tcPr>
            <w:tcW w:w="3266" w:type="dxa"/>
            <w:vAlign w:val="center"/>
            <w:hideMark/>
          </w:tcPr>
          <w:p w:rsidRPr="00BA1E5F" w:rsidR="001C44B4" w:rsidP="001C44B4" w:rsidRDefault="008B685D" w14:paraId="0C3932A6" w14:textId="2792643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rsidRPr="002E1D2C" w:rsidR="00F24A2E" w:rsidP="002E1D2C" w:rsidRDefault="00CA20C0" w14:paraId="0958D277" w14:textId="2EF357DB">
            <w:pPr>
              <w:jc w:val="both"/>
              <w:rPr>
                <w:rFonts w:ascii="Century Gothic" w:hAnsi="Century Gothic" w:cs="Segoe UI"/>
                <w:sz w:val="22"/>
                <w:szCs w:val="22"/>
                <w:lang w:eastAsia="es-CO"/>
              </w:rPr>
            </w:pPr>
            <w:r>
              <w:rPr>
                <w:rFonts w:ascii="Century Gothic" w:hAnsi="Century Gothic" w:cs="Segoe UI"/>
                <w:sz w:val="22"/>
                <w:szCs w:val="22"/>
                <w:lang w:eastAsia="es-CO"/>
              </w:rPr>
              <w:t xml:space="preserve">LESIONES O MUERTE DE UNA PERSONA </w:t>
            </w:r>
          </w:p>
        </w:tc>
      </w:tr>
      <w:tr w:rsidRPr="00BA1E5F" w:rsidR="001C44B4" w:rsidTr="3D1942E6" w14:paraId="59B4A554" w14:textId="77777777">
        <w:trPr>
          <w:trHeight w:val="454"/>
        </w:trPr>
        <w:tc>
          <w:tcPr>
            <w:tcW w:w="3266" w:type="dxa"/>
            <w:vAlign w:val="center"/>
            <w:hideMark/>
          </w:tcPr>
          <w:p w:rsidRPr="00BA1E5F" w:rsidR="001C44B4" w:rsidP="001C44B4" w:rsidRDefault="001C44B4" w14:paraId="0412A958"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rsidRPr="00BA1E5F" w:rsidR="001C44B4" w:rsidP="001C44B4" w:rsidRDefault="00CA20C0" w14:paraId="5AF73B8E" w14:textId="4830E41B">
            <w:pPr>
              <w:jc w:val="both"/>
              <w:rPr>
                <w:rFonts w:ascii="Century Gothic" w:hAnsi="Century Gothic" w:cs="Segoe UI"/>
                <w:sz w:val="22"/>
                <w:szCs w:val="22"/>
                <w:lang w:eastAsia="es-CO"/>
              </w:rPr>
            </w:pPr>
            <w:r>
              <w:rPr>
                <w:rFonts w:ascii="Century Gothic" w:hAnsi="Century Gothic" w:cs="Segoe UI"/>
                <w:sz w:val="22"/>
                <w:szCs w:val="22"/>
                <w:lang w:eastAsia="es-CO"/>
              </w:rPr>
              <w:t xml:space="preserve">60 SMMLV </w:t>
            </w:r>
          </w:p>
        </w:tc>
      </w:tr>
      <w:tr w:rsidRPr="00BA1E5F" w:rsidR="001129B6" w:rsidTr="3D1942E6" w14:paraId="2F24D88E" w14:textId="77777777">
        <w:trPr>
          <w:trHeight w:val="454"/>
        </w:trPr>
        <w:tc>
          <w:tcPr>
            <w:tcW w:w="3266" w:type="dxa"/>
            <w:vAlign w:val="center"/>
          </w:tcPr>
          <w:p w:rsidRPr="00BA1E5F" w:rsidR="001129B6" w:rsidP="001C44B4" w:rsidRDefault="001129B6" w14:paraId="0E72F2CD" w14:textId="1A6BE851">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rsidRPr="00BA1E5F" w:rsidR="001129B6" w:rsidP="001C44B4" w:rsidRDefault="00CA20C0" w14:paraId="6AD9587E" w14:textId="52E17F4A">
            <w:pPr>
              <w:jc w:val="both"/>
              <w:rPr>
                <w:rFonts w:ascii="Century Gothic" w:hAnsi="Century Gothic" w:cs="Segoe UI"/>
                <w:sz w:val="22"/>
                <w:szCs w:val="22"/>
                <w:lang w:eastAsia="es-CO"/>
              </w:rPr>
            </w:pPr>
            <w:r>
              <w:rPr>
                <w:rFonts w:ascii="Century Gothic" w:hAnsi="Century Gothic" w:cs="Segoe UI"/>
                <w:sz w:val="22"/>
                <w:szCs w:val="22"/>
                <w:lang w:eastAsia="es-CO"/>
              </w:rPr>
              <w:t>SI</w:t>
            </w:r>
          </w:p>
        </w:tc>
      </w:tr>
      <w:tr w:rsidRPr="00BA1E5F" w:rsidR="001C44B4" w:rsidTr="3D1942E6" w14:paraId="658B9E4D" w14:textId="77777777">
        <w:trPr>
          <w:trHeight w:val="454"/>
        </w:trPr>
        <w:tc>
          <w:tcPr>
            <w:tcW w:w="3266" w:type="dxa"/>
            <w:vAlign w:val="center"/>
            <w:hideMark/>
          </w:tcPr>
          <w:p w:rsidRPr="00BA1E5F" w:rsidR="001C44B4" w:rsidP="001C44B4" w:rsidRDefault="002633C0" w14:paraId="02377331" w14:textId="79A3F98F">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rsidRPr="00BA1E5F" w:rsidR="001C44B4" w:rsidP="001C44B4" w:rsidRDefault="00CA20C0" w14:paraId="244AD2F4" w14:textId="483B196C">
            <w:pPr>
              <w:jc w:val="both"/>
              <w:rPr>
                <w:rFonts w:ascii="Century Gothic" w:hAnsi="Century Gothic" w:cs="Segoe UI"/>
                <w:sz w:val="22"/>
                <w:szCs w:val="22"/>
                <w:lang w:eastAsia="es-CO"/>
              </w:rPr>
            </w:pPr>
            <w:r>
              <w:rPr>
                <w:rFonts w:ascii="Century Gothic" w:hAnsi="Century Gothic" w:cs="Segoe UI"/>
                <w:sz w:val="22"/>
                <w:szCs w:val="22"/>
                <w:lang w:eastAsia="es-CO"/>
              </w:rPr>
              <w:t>$40.000.000</w:t>
            </w:r>
          </w:p>
        </w:tc>
      </w:tr>
    </w:tbl>
    <w:p w:rsidRPr="00BA1E5F" w:rsidR="003B44CB" w:rsidP="003314A2" w:rsidRDefault="003B44CB" w14:paraId="397A1D68" w14:textId="77777777">
      <w:pPr>
        <w:spacing w:line="360" w:lineRule="auto"/>
        <w:rPr>
          <w:rFonts w:ascii="Century Gothic" w:hAnsi="Century Gothic"/>
          <w:sz w:val="22"/>
          <w:szCs w:val="22"/>
        </w:rPr>
      </w:pPr>
    </w:p>
    <w:p w:rsidR="0095378E" w:rsidRDefault="0095378E" w14:paraId="61F56879" w14:textId="77777777"/>
    <w:tbl>
      <w:tblPr>
        <w:tblStyle w:val="Tablaconcuadrcula"/>
        <w:tblW w:w="10207" w:type="dxa"/>
        <w:tblInd w:w="-431" w:type="dxa"/>
        <w:tblLook w:val="04A0" w:firstRow="1" w:lastRow="0" w:firstColumn="1" w:lastColumn="0" w:noHBand="0" w:noVBand="1"/>
      </w:tblPr>
      <w:tblGrid>
        <w:gridCol w:w="3687"/>
        <w:gridCol w:w="6520"/>
      </w:tblGrid>
      <w:tr w:rsidRPr="00BA1E5F" w:rsidR="002633C0" w:rsidTr="784AE284" w14:paraId="49B1F103" w14:textId="77777777">
        <w:tc>
          <w:tcPr>
            <w:tcW w:w="3687" w:type="dxa"/>
            <w:tcMar/>
          </w:tcPr>
          <w:p w:rsidRPr="00BA1E5F" w:rsidR="002633C0" w:rsidP="003314A2" w:rsidRDefault="00BA1E5F" w14:paraId="673B76C6" w14:textId="23992614">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Mar/>
          </w:tcPr>
          <w:p w:rsidRPr="00BA1E5F" w:rsidR="002633C0" w:rsidP="003314A2" w:rsidRDefault="002E1D2C" w14:paraId="6F4874B3" w14:textId="5BB4EB9B">
            <w:pPr>
              <w:spacing w:line="360" w:lineRule="auto"/>
              <w:rPr>
                <w:rFonts w:ascii="Century Gothic" w:hAnsi="Century Gothic"/>
                <w:sz w:val="22"/>
                <w:szCs w:val="22"/>
              </w:rPr>
            </w:pPr>
            <w:r>
              <w:rPr>
                <w:rFonts w:ascii="Century Gothic" w:hAnsi="Century Gothic"/>
                <w:sz w:val="22"/>
                <w:szCs w:val="22"/>
              </w:rPr>
              <w:t>PROBABLE</w:t>
            </w:r>
          </w:p>
        </w:tc>
      </w:tr>
      <w:tr w:rsidRPr="00BA1E5F" w:rsidR="002633C0" w:rsidTr="784AE284" w14:paraId="47B026EC" w14:textId="77777777">
        <w:tc>
          <w:tcPr>
            <w:tcW w:w="3687" w:type="dxa"/>
            <w:tcMar/>
          </w:tcPr>
          <w:p w:rsidRPr="00BA1E5F" w:rsidR="002633C0" w:rsidP="003314A2" w:rsidRDefault="00BA1E5F" w14:paraId="4A77CED7" w14:textId="00C97735">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Mar/>
          </w:tcPr>
          <w:p w:rsidRPr="00BA1E5F" w:rsidR="002633C0" w:rsidP="003314A2" w:rsidRDefault="00CA20C0" w14:paraId="7146E445" w14:textId="1737194C">
            <w:pPr>
              <w:spacing w:line="360" w:lineRule="auto"/>
              <w:rPr>
                <w:rFonts w:ascii="Century Gothic" w:hAnsi="Century Gothic"/>
                <w:sz w:val="22"/>
                <w:szCs w:val="22"/>
              </w:rPr>
            </w:pPr>
            <w:r>
              <w:rPr>
                <w:rFonts w:ascii="Century Gothic" w:hAnsi="Century Gothic"/>
                <w:sz w:val="22"/>
                <w:szCs w:val="22"/>
                <w:lang w:val="es-CO"/>
              </w:rPr>
              <w:t>$</w:t>
            </w:r>
            <w:r w:rsidRPr="00B30D4A">
              <w:rPr>
                <w:rFonts w:ascii="Century Gothic" w:hAnsi="Century Gothic"/>
                <w:sz w:val="22"/>
                <w:szCs w:val="22"/>
                <w:lang w:val="es-CO"/>
              </w:rPr>
              <w:t>85.410.000</w:t>
            </w:r>
          </w:p>
        </w:tc>
      </w:tr>
      <w:tr w:rsidRPr="00BA1E5F" w:rsidR="00BA1E5F" w:rsidTr="784AE284" w14:paraId="22F780E0" w14:textId="77777777">
        <w:tc>
          <w:tcPr>
            <w:tcW w:w="10207" w:type="dxa"/>
            <w:gridSpan w:val="2"/>
            <w:shd w:val="clear" w:color="auto" w:fill="C5E0B3" w:themeFill="accent6" w:themeFillTint="66"/>
            <w:tcMar/>
            <w:vAlign w:val="center"/>
          </w:tcPr>
          <w:p w:rsidRPr="00BA1E5F" w:rsidR="00BA1E5F" w:rsidP="00BA1E5F" w:rsidRDefault="00BA1E5F" w14:paraId="2E984764" w14:textId="51214522">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Pr="00BA1E5F" w:rsidR="00BA1E5F" w:rsidTr="784AE284" w14:paraId="6A3F4D91" w14:textId="77777777">
        <w:trPr>
          <w:trHeight w:val="1361"/>
        </w:trPr>
        <w:tc>
          <w:tcPr>
            <w:tcW w:w="10207" w:type="dxa"/>
            <w:gridSpan w:val="2"/>
            <w:tcMar/>
            <w:vAlign w:val="center"/>
          </w:tcPr>
          <w:p w:rsidR="00B30D4A" w:rsidP="002E1D2C" w:rsidRDefault="00B30D4A" w14:paraId="2C3433E4" w14:textId="4F3D64D5">
            <w:pPr>
              <w:spacing w:line="360" w:lineRule="auto"/>
              <w:jc w:val="both"/>
              <w:rPr>
                <w:rFonts w:ascii="Century Gothic" w:hAnsi="Century Gothic"/>
                <w:sz w:val="22"/>
                <w:szCs w:val="22"/>
                <w:lang w:val="es-CO"/>
              </w:rPr>
            </w:pPr>
            <w:r w:rsidRPr="00B30D4A">
              <w:rPr>
                <w:rFonts w:ascii="Century Gothic" w:hAnsi="Century Gothic"/>
                <w:sz w:val="22"/>
                <w:szCs w:val="22"/>
                <w:lang w:val="es-CO"/>
              </w:rPr>
              <w:t xml:space="preserve">La contingencia se califica como </w:t>
            </w:r>
            <w:r>
              <w:rPr>
                <w:rFonts w:ascii="Century Gothic" w:hAnsi="Century Gothic"/>
                <w:sz w:val="22"/>
                <w:szCs w:val="22"/>
                <w:lang w:val="es-CO"/>
              </w:rPr>
              <w:t>PROBABLE</w:t>
            </w:r>
            <w:r w:rsidRPr="00B30D4A">
              <w:rPr>
                <w:rFonts w:ascii="Century Gothic" w:hAnsi="Century Gothic"/>
                <w:sz w:val="22"/>
                <w:szCs w:val="22"/>
                <w:lang w:val="es-CO"/>
              </w:rPr>
              <w:t xml:space="preserve">, toda vez que el contrato de seguro presta cobertura material y temporal. Aunado a ello se cuenta con un IPAT </w:t>
            </w:r>
            <w:r>
              <w:rPr>
                <w:rFonts w:ascii="Century Gothic" w:hAnsi="Century Gothic"/>
                <w:sz w:val="22"/>
                <w:szCs w:val="22"/>
                <w:lang w:val="es-CO"/>
              </w:rPr>
              <w:t xml:space="preserve">y acervo probatorio </w:t>
            </w:r>
            <w:r w:rsidRPr="00B30D4A">
              <w:rPr>
                <w:rFonts w:ascii="Century Gothic" w:hAnsi="Century Gothic"/>
                <w:sz w:val="22"/>
                <w:szCs w:val="22"/>
                <w:lang w:val="es-CO"/>
              </w:rPr>
              <w:t xml:space="preserve">desfavorable que atribuye responsabilidad al Asegurado. </w:t>
            </w:r>
          </w:p>
          <w:p w:rsidR="002E1D2C" w:rsidP="002E1D2C" w:rsidRDefault="002E1D2C" w14:paraId="4490C1A2" w14:textId="26C9F121">
            <w:pPr>
              <w:spacing w:line="360" w:lineRule="auto"/>
              <w:jc w:val="both"/>
              <w:rPr>
                <w:rFonts w:ascii="Century Gothic" w:hAnsi="Century Gothic"/>
                <w:sz w:val="22"/>
                <w:szCs w:val="22"/>
                <w:lang w:val="es-CO"/>
              </w:rPr>
            </w:pPr>
            <w:r w:rsidRPr="002E1D2C">
              <w:rPr>
                <w:rFonts w:ascii="Century Gothic" w:hAnsi="Century Gothic"/>
                <w:sz w:val="22"/>
                <w:szCs w:val="22"/>
                <w:lang w:val="es-CO"/>
              </w:rPr>
              <w:t> </w:t>
            </w:r>
          </w:p>
          <w:p w:rsidR="00B30D4A" w:rsidP="784AE284" w:rsidRDefault="00B30D4A" w14:paraId="489528E0" w14:textId="597DF387" w14:noSpellErr="1">
            <w:pPr>
              <w:spacing w:line="360" w:lineRule="auto"/>
              <w:jc w:val="both"/>
              <w:rPr>
                <w:rFonts w:ascii="Century Gothic" w:hAnsi="Century Gothic"/>
                <w:sz w:val="22"/>
                <w:szCs w:val="22"/>
                <w:lang w:val="es-ES"/>
              </w:rPr>
            </w:pPr>
            <w:r w:rsidRPr="784AE284" w:rsidR="00B30D4A">
              <w:rPr>
                <w:rFonts w:ascii="Century Gothic" w:hAnsi="Century Gothic"/>
                <w:sz w:val="22"/>
                <w:szCs w:val="22"/>
                <w:lang w:val="es-ES"/>
              </w:rPr>
              <w:t xml:space="preserve">Lo primero que debe tomarse en consideración, es que la Póliza </w:t>
            </w:r>
            <w:r w:rsidRPr="784AE284" w:rsidR="00B30D4A">
              <w:rPr>
                <w:rFonts w:ascii="Century Gothic" w:hAnsi="Century Gothic"/>
                <w:sz w:val="22"/>
                <w:szCs w:val="22"/>
                <w:lang w:val="es-ES"/>
              </w:rPr>
              <w:t>AA00</w:t>
            </w:r>
            <w:r w:rsidRPr="784AE284" w:rsidR="003A3AE2">
              <w:rPr>
                <w:rFonts w:ascii="Century Gothic" w:hAnsi="Century Gothic"/>
                <w:sz w:val="22"/>
                <w:szCs w:val="22"/>
                <w:lang w:val="es-ES"/>
              </w:rPr>
              <w:t>6520</w:t>
            </w:r>
            <w:r w:rsidRPr="784AE284" w:rsidR="00B30D4A">
              <w:rPr>
                <w:rFonts w:ascii="Century Gothic" w:hAnsi="Century Gothic"/>
                <w:sz w:val="22"/>
                <w:szCs w:val="22"/>
                <w:lang w:val="es-ES"/>
              </w:rPr>
              <w:t xml:space="preserve">, presta cobertura temporal y </w:t>
            </w:r>
            <w:r w:rsidRPr="784AE284" w:rsidR="003A3AE2">
              <w:rPr>
                <w:rFonts w:ascii="Century Gothic" w:hAnsi="Century Gothic"/>
                <w:sz w:val="22"/>
                <w:szCs w:val="22"/>
                <w:lang w:val="es-ES"/>
              </w:rPr>
              <w:t>material</w:t>
            </w:r>
            <w:r w:rsidRPr="784AE284" w:rsidR="00B30D4A">
              <w:rPr>
                <w:rFonts w:ascii="Century Gothic" w:hAnsi="Century Gothic"/>
                <w:sz w:val="22"/>
                <w:szCs w:val="22"/>
                <w:lang w:val="es-ES"/>
              </w:rPr>
              <w:t>, de conformidad con los hechos y pretensiones expuestas en el líbelo de la demanda.</w:t>
            </w:r>
            <w:r w:rsidRPr="784AE284" w:rsidR="00B30D4A">
              <w:rPr>
                <w:rFonts w:ascii="Century Gothic" w:hAnsi="Century Gothic"/>
                <w:sz w:val="22"/>
                <w:szCs w:val="22"/>
                <w:lang w:val="es-ES"/>
              </w:rPr>
              <w:t xml:space="preserve"> </w:t>
            </w:r>
            <w:r w:rsidRPr="784AE284" w:rsidR="00B30D4A">
              <w:rPr>
                <w:rFonts w:ascii="Century Gothic" w:hAnsi="Century Gothic"/>
                <w:sz w:val="22"/>
                <w:szCs w:val="22"/>
                <w:lang w:val="es-ES"/>
              </w:rPr>
              <w:t xml:space="preserve">Frente a la cobertura temporal, debe señalarse que el accidente de tránsito ocurrió el </w:t>
            </w:r>
            <w:r w:rsidRPr="784AE284" w:rsidR="003A3AE2">
              <w:rPr>
                <w:rFonts w:ascii="Century Gothic" w:hAnsi="Century Gothic"/>
                <w:sz w:val="22"/>
                <w:szCs w:val="22"/>
                <w:lang w:val="es-ES"/>
              </w:rPr>
              <w:t>13</w:t>
            </w:r>
            <w:r w:rsidRPr="784AE284" w:rsidR="00B30D4A">
              <w:rPr>
                <w:rFonts w:ascii="Century Gothic" w:hAnsi="Century Gothic"/>
                <w:sz w:val="22"/>
                <w:szCs w:val="22"/>
                <w:lang w:val="es-ES"/>
              </w:rPr>
              <w:t xml:space="preserve"> de</w:t>
            </w:r>
            <w:r w:rsidRPr="784AE284" w:rsidR="003A3AE2">
              <w:rPr>
                <w:rFonts w:ascii="Century Gothic" w:hAnsi="Century Gothic"/>
                <w:sz w:val="22"/>
                <w:szCs w:val="22"/>
                <w:lang w:val="es-ES"/>
              </w:rPr>
              <w:t xml:space="preserve"> marzo</w:t>
            </w:r>
            <w:r w:rsidRPr="784AE284" w:rsidR="00B30D4A">
              <w:rPr>
                <w:rFonts w:ascii="Century Gothic" w:hAnsi="Century Gothic"/>
                <w:sz w:val="22"/>
                <w:szCs w:val="22"/>
                <w:lang w:val="es-ES"/>
              </w:rPr>
              <w:t xml:space="preserve"> de 202</w:t>
            </w:r>
            <w:r w:rsidRPr="784AE284" w:rsidR="003A3AE2">
              <w:rPr>
                <w:rFonts w:ascii="Century Gothic" w:hAnsi="Century Gothic"/>
                <w:sz w:val="22"/>
                <w:szCs w:val="22"/>
                <w:lang w:val="es-ES"/>
              </w:rPr>
              <w:t>0</w:t>
            </w:r>
            <w:r w:rsidRPr="784AE284" w:rsidR="00B30D4A">
              <w:rPr>
                <w:rFonts w:ascii="Century Gothic" w:hAnsi="Century Gothic"/>
                <w:sz w:val="22"/>
                <w:szCs w:val="22"/>
                <w:lang w:val="es-ES"/>
              </w:rPr>
              <w:t xml:space="preserve">, es decir, dentro del periodo de vigencia de la póliza, comprendida entre el </w:t>
            </w:r>
            <w:r w:rsidRPr="784AE284" w:rsidR="003A3AE2">
              <w:rPr>
                <w:rFonts w:ascii="Century Gothic" w:hAnsi="Century Gothic"/>
                <w:sz w:val="22"/>
                <w:szCs w:val="22"/>
                <w:lang w:val="es-ES"/>
              </w:rPr>
              <w:t>30</w:t>
            </w:r>
            <w:r w:rsidRPr="784AE284" w:rsidR="00B30D4A">
              <w:rPr>
                <w:rFonts w:ascii="Century Gothic" w:hAnsi="Century Gothic"/>
                <w:sz w:val="22"/>
                <w:szCs w:val="22"/>
                <w:lang w:val="es-ES"/>
              </w:rPr>
              <w:t xml:space="preserve"> de </w:t>
            </w:r>
            <w:r w:rsidRPr="784AE284" w:rsidR="003A3AE2">
              <w:rPr>
                <w:rFonts w:ascii="Century Gothic" w:hAnsi="Century Gothic"/>
                <w:sz w:val="22"/>
                <w:szCs w:val="22"/>
                <w:lang w:val="es-ES"/>
              </w:rPr>
              <w:t>abril</w:t>
            </w:r>
            <w:r w:rsidRPr="784AE284" w:rsidR="00B30D4A">
              <w:rPr>
                <w:rFonts w:ascii="Century Gothic" w:hAnsi="Century Gothic"/>
                <w:sz w:val="22"/>
                <w:szCs w:val="22"/>
                <w:lang w:val="es-ES"/>
              </w:rPr>
              <w:t xml:space="preserve"> de 20</w:t>
            </w:r>
            <w:r w:rsidRPr="784AE284" w:rsidR="003A3AE2">
              <w:rPr>
                <w:rFonts w:ascii="Century Gothic" w:hAnsi="Century Gothic"/>
                <w:sz w:val="22"/>
                <w:szCs w:val="22"/>
                <w:lang w:val="es-ES"/>
              </w:rPr>
              <w:t>19</w:t>
            </w:r>
            <w:r w:rsidRPr="784AE284" w:rsidR="00B30D4A">
              <w:rPr>
                <w:rFonts w:ascii="Century Gothic" w:hAnsi="Century Gothic"/>
                <w:sz w:val="22"/>
                <w:szCs w:val="22"/>
                <w:lang w:val="es-ES"/>
              </w:rPr>
              <w:t xml:space="preserve"> y el </w:t>
            </w:r>
            <w:r w:rsidRPr="784AE284" w:rsidR="003A3AE2">
              <w:rPr>
                <w:rFonts w:ascii="Century Gothic" w:hAnsi="Century Gothic"/>
                <w:sz w:val="22"/>
                <w:szCs w:val="22"/>
                <w:lang w:val="es-ES"/>
              </w:rPr>
              <w:t>30</w:t>
            </w:r>
            <w:r w:rsidRPr="784AE284" w:rsidR="00B30D4A">
              <w:rPr>
                <w:rFonts w:ascii="Century Gothic" w:hAnsi="Century Gothic"/>
                <w:sz w:val="22"/>
                <w:szCs w:val="22"/>
                <w:lang w:val="es-ES"/>
              </w:rPr>
              <w:t xml:space="preserve"> de </w:t>
            </w:r>
            <w:r w:rsidRPr="784AE284" w:rsidR="003A3AE2">
              <w:rPr>
                <w:rFonts w:ascii="Century Gothic" w:hAnsi="Century Gothic"/>
                <w:sz w:val="22"/>
                <w:szCs w:val="22"/>
                <w:lang w:val="es-ES"/>
              </w:rPr>
              <w:t>abril</w:t>
            </w:r>
            <w:r w:rsidRPr="784AE284" w:rsidR="00B30D4A">
              <w:rPr>
                <w:rFonts w:ascii="Century Gothic" w:hAnsi="Century Gothic"/>
                <w:sz w:val="22"/>
                <w:szCs w:val="22"/>
                <w:lang w:val="es-ES"/>
              </w:rPr>
              <w:t xml:space="preserve"> de 202</w:t>
            </w:r>
            <w:r w:rsidRPr="784AE284" w:rsidR="003A3AE2">
              <w:rPr>
                <w:rFonts w:ascii="Century Gothic" w:hAnsi="Century Gothic"/>
                <w:sz w:val="22"/>
                <w:szCs w:val="22"/>
                <w:lang w:val="es-ES"/>
              </w:rPr>
              <w:t>0</w:t>
            </w:r>
            <w:r w:rsidRPr="784AE284" w:rsidR="00B30D4A">
              <w:rPr>
                <w:rFonts w:ascii="Century Gothic" w:hAnsi="Century Gothic"/>
                <w:sz w:val="22"/>
                <w:szCs w:val="22"/>
                <w:lang w:val="es-ES"/>
              </w:rPr>
              <w:t>.</w:t>
            </w:r>
            <w:r w:rsidRPr="784AE284" w:rsidR="00B30D4A">
              <w:rPr>
                <w:rFonts w:ascii="Century Gothic" w:hAnsi="Century Gothic"/>
                <w:sz w:val="22"/>
                <w:szCs w:val="22"/>
                <w:lang w:val="es-ES"/>
              </w:rPr>
              <w:t xml:space="preserve"> Ahora bien, frente a la </w:t>
            </w:r>
            <w:r w:rsidRPr="784AE284" w:rsidR="00B30D4A">
              <w:rPr>
                <w:rFonts w:ascii="Century Gothic" w:hAnsi="Century Gothic"/>
                <w:sz w:val="22"/>
                <w:szCs w:val="22"/>
                <w:lang w:val="es-ES"/>
              </w:rPr>
              <w:t>cobertura material, debe indicarse que la póliza ampara los perjuicios</w:t>
            </w:r>
            <w:r w:rsidRPr="784AE284" w:rsidR="003A3AE2">
              <w:rPr>
                <w:rFonts w:ascii="Century Gothic" w:hAnsi="Century Gothic"/>
                <w:sz w:val="22"/>
                <w:szCs w:val="22"/>
                <w:lang w:val="es-ES"/>
              </w:rPr>
              <w:t xml:space="preserve"> derivados de la responsabilidad civil extracontractual</w:t>
            </w:r>
            <w:r w:rsidRPr="784AE284" w:rsidR="00B30D4A">
              <w:rPr>
                <w:rFonts w:ascii="Century Gothic" w:hAnsi="Century Gothic"/>
                <w:sz w:val="22"/>
                <w:szCs w:val="22"/>
                <w:lang w:val="es-ES"/>
              </w:rPr>
              <w:t xml:space="preserve">, </w:t>
            </w:r>
            <w:r w:rsidRPr="784AE284" w:rsidR="003A3AE2">
              <w:rPr>
                <w:rFonts w:ascii="Century Gothic" w:hAnsi="Century Gothic"/>
                <w:sz w:val="22"/>
                <w:szCs w:val="22"/>
                <w:lang w:val="es-ES"/>
              </w:rPr>
              <w:t>pretensión que se le endilga al asegurado.</w:t>
            </w:r>
          </w:p>
          <w:p w:rsidR="003A3AE2" w:rsidP="002E1D2C" w:rsidRDefault="003A3AE2" w14:paraId="6CDD3A1E" w14:textId="77777777">
            <w:pPr>
              <w:spacing w:line="360" w:lineRule="auto"/>
              <w:jc w:val="both"/>
              <w:rPr>
                <w:rFonts w:ascii="Century Gothic" w:hAnsi="Century Gothic"/>
                <w:sz w:val="22"/>
                <w:szCs w:val="22"/>
                <w:lang w:val="es-CO"/>
              </w:rPr>
            </w:pPr>
          </w:p>
          <w:p w:rsidR="003A3AE2" w:rsidP="784AE284" w:rsidRDefault="003A3AE2" w14:paraId="6A60D08E" w14:textId="1A962132" w14:noSpellErr="1">
            <w:pPr>
              <w:spacing w:line="360" w:lineRule="auto"/>
              <w:jc w:val="both"/>
              <w:rPr>
                <w:rFonts w:ascii="Century Gothic" w:hAnsi="Century Gothic"/>
                <w:sz w:val="22"/>
                <w:szCs w:val="22"/>
                <w:lang w:val="es-ES"/>
              </w:rPr>
            </w:pPr>
            <w:r w:rsidRPr="784AE284" w:rsidR="003A3AE2">
              <w:rPr>
                <w:rFonts w:ascii="Century Gothic" w:hAnsi="Century Gothic"/>
                <w:sz w:val="22"/>
                <w:szCs w:val="22"/>
                <w:lang w:val="es-ES"/>
              </w:rPr>
              <w:t xml:space="preserve">Por otra parte, en lo que respecta a la responsabilidad del asegurado, debe resaltarse que en el expediente obra suficiente evidencia documental que demuestra que el siniestro ocurrido el día 13 de marzo de 2020 fue consecuencia directa de la conducta imprudente del conductor del vehículo asegurado, identificado con placas XGD586. En efecto, dicha conclusión se sustenta en el informe de accidente de tránsito No. IPUB…003, en el formato de entrevista FPJ </w:t>
            </w:r>
            <w:r w:rsidRPr="784AE284" w:rsidR="003A3AE2">
              <w:rPr>
                <w:rFonts w:ascii="Century Gothic" w:hAnsi="Century Gothic"/>
                <w:sz w:val="22"/>
                <w:szCs w:val="22"/>
                <w:lang w:val="es-ES"/>
              </w:rPr>
              <w:t>realizada</w:t>
            </w:r>
            <w:r w:rsidRPr="784AE284" w:rsidR="003A3AE2">
              <w:rPr>
                <w:rFonts w:ascii="Century Gothic" w:hAnsi="Century Gothic"/>
                <w:sz w:val="22"/>
                <w:szCs w:val="22"/>
                <w:lang w:val="es-ES"/>
              </w:rPr>
              <w:t xml:space="preserve"> a Pablo Emilio Moreno, así como en el informe FPJ 13 </w:t>
            </w:r>
            <w:r w:rsidRPr="784AE284" w:rsidR="003A3AE2">
              <w:rPr>
                <w:rFonts w:ascii="Century Gothic" w:hAnsi="Century Gothic"/>
                <w:sz w:val="22"/>
                <w:szCs w:val="22"/>
                <w:lang w:val="es-ES"/>
              </w:rPr>
              <w:t xml:space="preserve">informe </w:t>
            </w:r>
            <w:r w:rsidRPr="784AE284" w:rsidR="00736672">
              <w:rPr>
                <w:rFonts w:ascii="Century Gothic" w:hAnsi="Century Gothic"/>
                <w:sz w:val="22"/>
                <w:szCs w:val="22"/>
                <w:lang w:val="es-ES"/>
              </w:rPr>
              <w:t xml:space="preserve">de </w:t>
            </w:r>
            <w:r w:rsidRPr="784AE284" w:rsidR="00736672">
              <w:rPr>
                <w:rFonts w:ascii="Century Gothic" w:hAnsi="Century Gothic"/>
                <w:sz w:val="22"/>
                <w:szCs w:val="22"/>
                <w:lang w:val="es-ES"/>
              </w:rPr>
              <w:t>investigador</w:t>
            </w:r>
            <w:r w:rsidRPr="784AE284" w:rsidR="003A3AE2">
              <w:rPr>
                <w:rFonts w:ascii="Century Gothic" w:hAnsi="Century Gothic"/>
                <w:sz w:val="22"/>
                <w:szCs w:val="22"/>
                <w:lang w:val="es-ES"/>
              </w:rPr>
              <w:t xml:space="preserve"> de </w:t>
            </w:r>
            <w:r w:rsidRPr="784AE284" w:rsidR="00736672">
              <w:rPr>
                <w:rFonts w:ascii="Century Gothic" w:hAnsi="Century Gothic"/>
                <w:sz w:val="22"/>
                <w:szCs w:val="22"/>
                <w:lang w:val="es-ES"/>
              </w:rPr>
              <w:t>campo</w:t>
            </w:r>
            <w:r w:rsidRPr="784AE284" w:rsidR="003A3AE2">
              <w:rPr>
                <w:rFonts w:ascii="Century Gothic" w:hAnsi="Century Gothic"/>
                <w:sz w:val="22"/>
                <w:szCs w:val="22"/>
                <w:lang w:val="es-ES"/>
              </w:rPr>
              <w:t xml:space="preserve">, donde se determinó que el vehículo asegurado circulaba sin las medidas de precaución necesarias, obstruyendo simultáneamente los dos carriles en una curva ascendente. </w:t>
            </w:r>
            <w:r w:rsidRPr="784AE284" w:rsidR="003A3AE2">
              <w:rPr>
                <w:rFonts w:ascii="Century Gothic" w:hAnsi="Century Gothic"/>
                <w:sz w:val="22"/>
                <w:szCs w:val="22"/>
                <w:lang w:val="es-ES"/>
              </w:rPr>
              <w:t>Esta circunstancia permite establecer de manera clara la responsabilidad del asegurado en la ocurrencia del hecho y, en consecuencia, la calificación de la contingencia como probable.</w:t>
            </w:r>
          </w:p>
          <w:p w:rsidR="003A3AE2" w:rsidP="002E1D2C" w:rsidRDefault="003A3AE2" w14:paraId="68D5E615" w14:textId="77777777">
            <w:pPr>
              <w:spacing w:line="360" w:lineRule="auto"/>
              <w:jc w:val="both"/>
              <w:rPr>
                <w:rFonts w:ascii="Century Gothic" w:hAnsi="Century Gothic"/>
                <w:sz w:val="22"/>
                <w:szCs w:val="22"/>
                <w:lang w:val="es-CO"/>
              </w:rPr>
            </w:pPr>
          </w:p>
          <w:p w:rsidRPr="002E1D2C" w:rsidR="003A3AE2" w:rsidP="002E1D2C" w:rsidRDefault="003A3AE2" w14:paraId="3BB3BDF4" w14:textId="36291BAE">
            <w:pPr>
              <w:spacing w:line="360" w:lineRule="auto"/>
              <w:jc w:val="both"/>
              <w:rPr>
                <w:rFonts w:ascii="Century Gothic" w:hAnsi="Century Gothic"/>
                <w:sz w:val="22"/>
                <w:szCs w:val="22"/>
                <w:lang w:val="es-CO"/>
              </w:rPr>
            </w:pPr>
            <w:r>
              <w:rPr>
                <w:rFonts w:ascii="Century Gothic" w:hAnsi="Century Gothic"/>
                <w:sz w:val="22"/>
                <w:szCs w:val="22"/>
                <w:lang w:val="es-CO"/>
              </w:rPr>
              <w:t xml:space="preserve">Lo anterior, sin perjuicio del carácter contingente del proceso. </w:t>
            </w:r>
          </w:p>
          <w:p w:rsidRPr="00844594" w:rsidR="00844594" w:rsidP="00844594" w:rsidRDefault="00844594" w14:paraId="1C38EFE7" w14:textId="7A2E6FC3">
            <w:pPr>
              <w:spacing w:line="360" w:lineRule="auto"/>
              <w:jc w:val="center"/>
              <w:rPr>
                <w:rFonts w:ascii="Century Gothic" w:hAnsi="Century Gothic"/>
                <w:b/>
                <w:bCs/>
                <w:sz w:val="22"/>
                <w:szCs w:val="22"/>
                <w:lang w:val="es-CO"/>
              </w:rPr>
            </w:pPr>
            <w:r w:rsidRPr="00844594">
              <w:rPr>
                <w:rFonts w:ascii="Century Gothic" w:hAnsi="Century Gothic"/>
                <w:b/>
                <w:bCs/>
                <w:noProof/>
                <w:sz w:val="22"/>
                <w:szCs w:val="22"/>
                <w:lang w:val="es-CO"/>
              </w:rPr>
              <w:drawing>
                <wp:inline distT="0" distB="0" distL="0" distR="0" wp14:anchorId="29F3FB14" wp14:editId="2A076EB2">
                  <wp:extent cx="2270760" cy="883920"/>
                  <wp:effectExtent l="0" t="0" r="0" b="0"/>
                  <wp:docPr id="4533807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0760" cy="883920"/>
                          </a:xfrm>
                          <a:prstGeom prst="rect">
                            <a:avLst/>
                          </a:prstGeom>
                          <a:noFill/>
                          <a:ln>
                            <a:noFill/>
                          </a:ln>
                        </pic:spPr>
                      </pic:pic>
                    </a:graphicData>
                  </a:graphic>
                </wp:inline>
              </w:drawing>
            </w:r>
            <w:r w:rsidRPr="00844594">
              <w:rPr>
                <w:rFonts w:ascii="Century Gothic" w:hAnsi="Century Gothic"/>
                <w:b/>
                <w:bCs/>
                <w:sz w:val="22"/>
                <w:szCs w:val="22"/>
                <w:lang w:val="es-CO"/>
              </w:rPr>
              <w:t> </w:t>
            </w:r>
          </w:p>
          <w:p w:rsidRPr="00844594" w:rsidR="00844594" w:rsidP="00844594" w:rsidRDefault="00844594" w14:paraId="4F582CEF" w14:textId="77777777">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GUSTAVO ALBERTO HERRERA ÁVILA    </w:t>
            </w:r>
            <w:r w:rsidRPr="00844594">
              <w:rPr>
                <w:rFonts w:ascii="Century Gothic" w:hAnsi="Century Gothic"/>
                <w:b/>
                <w:bCs/>
                <w:sz w:val="22"/>
                <w:szCs w:val="22"/>
                <w:lang w:val="es-CO"/>
              </w:rPr>
              <w:t> </w:t>
            </w:r>
          </w:p>
          <w:p w:rsidRPr="00844594" w:rsidR="00844594" w:rsidP="00844594" w:rsidRDefault="00844594" w14:paraId="04C0B9A0" w14:textId="77777777">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C.C. No 19.395.114</w:t>
            </w:r>
            <w:r w:rsidRPr="00844594">
              <w:rPr>
                <w:rFonts w:ascii="Century Gothic" w:hAnsi="Century Gothic"/>
                <w:b/>
                <w:bCs/>
                <w:sz w:val="22"/>
                <w:szCs w:val="22"/>
                <w:lang w:val="es-CO"/>
              </w:rPr>
              <w:t> </w:t>
            </w:r>
          </w:p>
          <w:p w:rsidRPr="00844594" w:rsidR="00844594" w:rsidP="00844594" w:rsidRDefault="00844594" w14:paraId="709DD8B5" w14:textId="77777777">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T.P. No. 39.116 del C.S. de la J.</w:t>
            </w:r>
            <w:r w:rsidRPr="00844594">
              <w:rPr>
                <w:rFonts w:ascii="Century Gothic" w:hAnsi="Century Gothic"/>
                <w:b/>
                <w:bCs/>
                <w:sz w:val="22"/>
                <w:szCs w:val="22"/>
                <w:lang w:val="es-CO"/>
              </w:rPr>
              <w:t> </w:t>
            </w:r>
          </w:p>
          <w:p w:rsidRPr="00BA1E5F" w:rsidR="00BA1E5F" w:rsidP="00BA1E5F" w:rsidRDefault="00BA1E5F" w14:paraId="3A806213" w14:textId="1F4A793B">
            <w:pPr>
              <w:spacing w:line="360" w:lineRule="auto"/>
              <w:jc w:val="center"/>
              <w:rPr>
                <w:rFonts w:ascii="Century Gothic" w:hAnsi="Century Gothic"/>
                <w:b/>
                <w:bCs/>
                <w:sz w:val="22"/>
                <w:szCs w:val="22"/>
              </w:rPr>
            </w:pPr>
          </w:p>
        </w:tc>
      </w:tr>
    </w:tbl>
    <w:p w:rsidRPr="003B44CB" w:rsidR="002633C0" w:rsidP="003314A2" w:rsidRDefault="002633C0" w14:paraId="66CA6B89" w14:textId="77777777">
      <w:pPr>
        <w:spacing w:line="360" w:lineRule="auto"/>
        <w:rPr>
          <w:rFonts w:ascii="Century Gothic" w:hAnsi="Century Gothic"/>
          <w:sz w:val="22"/>
          <w:szCs w:val="22"/>
        </w:rPr>
      </w:pPr>
    </w:p>
    <w:sectPr w:rsidRPr="003B44CB" w:rsidR="002633C0" w:rsidSect="00D33414">
      <w:headerReference w:type="even" r:id="rId11"/>
      <w:headerReference w:type="default" r:id="rId12"/>
      <w:headerReference w:type="firs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414C" w:rsidP="00E7033F" w:rsidRDefault="0007414C" w14:paraId="2928ED0A" w14:textId="77777777">
      <w:r>
        <w:separator/>
      </w:r>
    </w:p>
  </w:endnote>
  <w:endnote w:type="continuationSeparator" w:id="0">
    <w:p w:rsidR="0007414C" w:rsidP="00E7033F" w:rsidRDefault="0007414C" w14:paraId="6A4A9B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414C" w:rsidP="00E7033F" w:rsidRDefault="0007414C" w14:paraId="48F13FCD" w14:textId="77777777">
      <w:r>
        <w:separator/>
      </w:r>
    </w:p>
  </w:footnote>
  <w:footnote w:type="continuationSeparator" w:id="0">
    <w:p w:rsidR="0007414C" w:rsidP="00E7033F" w:rsidRDefault="0007414C" w14:paraId="5304F5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42E725D3" w14:textId="77777777">
    <w:pPr>
      <w:pStyle w:val="Encabezado"/>
    </w:pPr>
    <w:r>
      <w:rPr>
        <w:noProof/>
        <w:lang w:eastAsia="es-ES_tradnl"/>
      </w:rPr>
      <w:pict w14:anchorId="4871C9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alt="" wrapcoords="-27 0 -27 21579 21600 21579 21600 0 -27 0" o:spid="_x0000_s1030" type="#_x0000_t75">
          <v:imagedata o:title="este-s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5E5A07A2" w14:textId="77777777">
    <w:pPr>
      <w:pStyle w:val="Encabezado"/>
    </w:pPr>
    <w:r>
      <w:rPr>
        <w:noProof/>
        <w:lang w:eastAsia="es-ES_tradnl"/>
      </w:rPr>
      <w:pict w14:anchorId="505106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alt="" wrapcoords="-27 0 -27 21579 21600 21579 21600 0 -27 0" o:spid="_x0000_s1029" type="#_x0000_t75">
          <v:imagedata o:title="este-s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3F60F56C" w14:textId="77777777">
    <w:pPr>
      <w:pStyle w:val="Encabezado"/>
    </w:pPr>
    <w:r>
      <w:rPr>
        <w:noProof/>
        <w:lang w:eastAsia="es-ES_tradnl"/>
      </w:rPr>
      <w:pict w14:anchorId="4F7C9E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alt="" wrapcoords="-27 0 -27 21579 21600 21579 21600 0 -27 0" o:spid="_x0000_s1031" type="#_x0000_t75">
          <v:imagedata o:title="este-s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DB2"/>
    <w:multiLevelType w:val="multilevel"/>
    <w:tmpl w:val="23F846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A3C03"/>
    <w:multiLevelType w:val="multilevel"/>
    <w:tmpl w:val="FA92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11F1C"/>
    <w:multiLevelType w:val="multilevel"/>
    <w:tmpl w:val="531E23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649AD"/>
    <w:multiLevelType w:val="hybridMultilevel"/>
    <w:tmpl w:val="C6A09E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6468A"/>
    <w:multiLevelType w:val="multilevel"/>
    <w:tmpl w:val="E424D2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94949"/>
    <w:multiLevelType w:val="multilevel"/>
    <w:tmpl w:val="7730D3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67457F"/>
    <w:multiLevelType w:val="multilevel"/>
    <w:tmpl w:val="AE0A3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6A40D2"/>
    <w:multiLevelType w:val="hybridMultilevel"/>
    <w:tmpl w:val="D606301A"/>
    <w:lvl w:ilvl="0" w:tplc="DFA2F5E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C30E6B"/>
    <w:multiLevelType w:val="hybridMultilevel"/>
    <w:tmpl w:val="6040CA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C25D05"/>
    <w:multiLevelType w:val="multilevel"/>
    <w:tmpl w:val="8B943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774AA8"/>
    <w:multiLevelType w:val="multilevel"/>
    <w:tmpl w:val="ACC0D3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D55CE4"/>
    <w:multiLevelType w:val="multilevel"/>
    <w:tmpl w:val="E78A4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FA2D8A"/>
    <w:multiLevelType w:val="multilevel"/>
    <w:tmpl w:val="9E3CD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4CF389E"/>
    <w:multiLevelType w:val="multilevel"/>
    <w:tmpl w:val="B6DA3BB4"/>
    <w:lvl w:ilvl="0">
      <w:start w:val="1"/>
      <w:numFmt w:val="bullet"/>
      <w:lvlText w:val=""/>
      <w:lvlJc w:val="left"/>
      <w:pPr>
        <w:tabs>
          <w:tab w:val="num" w:pos="720"/>
        </w:tabs>
        <w:ind w:left="720" w:hanging="360"/>
      </w:pPr>
      <w:rPr>
        <w:rFonts w:hint="default" w:ascii="Symbol" w:hAnsi="Symbol"/>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D6B3E3F"/>
    <w:multiLevelType w:val="multilevel"/>
    <w:tmpl w:val="37307E4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8"/>
  </w:num>
  <w:num w:numId="2" w16cid:durableId="1536385128">
    <w:abstractNumId w:val="11"/>
  </w:num>
  <w:num w:numId="3" w16cid:durableId="1804889415">
    <w:abstractNumId w:val="12"/>
  </w:num>
  <w:num w:numId="4" w16cid:durableId="1818954244">
    <w:abstractNumId w:val="17"/>
  </w:num>
  <w:num w:numId="5" w16cid:durableId="2096005050">
    <w:abstractNumId w:val="4"/>
  </w:num>
  <w:num w:numId="6" w16cid:durableId="920456693">
    <w:abstractNumId w:val="14"/>
  </w:num>
  <w:num w:numId="7" w16cid:durableId="200555471">
    <w:abstractNumId w:val="20"/>
  </w:num>
  <w:num w:numId="8" w16cid:durableId="1799059956">
    <w:abstractNumId w:val="1"/>
  </w:num>
  <w:num w:numId="9" w16cid:durableId="1506019971">
    <w:abstractNumId w:val="16"/>
  </w:num>
  <w:num w:numId="10" w16cid:durableId="194739276">
    <w:abstractNumId w:val="0"/>
  </w:num>
  <w:num w:numId="11" w16cid:durableId="182473246">
    <w:abstractNumId w:val="15"/>
  </w:num>
  <w:num w:numId="12" w16cid:durableId="1213034339">
    <w:abstractNumId w:val="5"/>
  </w:num>
  <w:num w:numId="13" w16cid:durableId="944388297">
    <w:abstractNumId w:val="2"/>
  </w:num>
  <w:num w:numId="14" w16cid:durableId="1960722620">
    <w:abstractNumId w:val="13"/>
  </w:num>
  <w:num w:numId="15" w16cid:durableId="283467108">
    <w:abstractNumId w:val="6"/>
  </w:num>
  <w:num w:numId="16" w16cid:durableId="1113017225">
    <w:abstractNumId w:val="18"/>
  </w:num>
  <w:num w:numId="17" w16cid:durableId="893279298">
    <w:abstractNumId w:val="19"/>
  </w:num>
  <w:num w:numId="18" w16cid:durableId="1531532773">
    <w:abstractNumId w:val="7"/>
  </w:num>
  <w:num w:numId="19" w16cid:durableId="1471705577">
    <w:abstractNumId w:val="9"/>
  </w:num>
  <w:num w:numId="20" w16cid:durableId="1647006834">
    <w:abstractNumId w:val="3"/>
  </w:num>
  <w:num w:numId="21" w16cid:durableId="83186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7414C"/>
    <w:rsid w:val="000D23FC"/>
    <w:rsid w:val="000D5B48"/>
    <w:rsid w:val="000E5AE6"/>
    <w:rsid w:val="001129B6"/>
    <w:rsid w:val="00181E11"/>
    <w:rsid w:val="00190425"/>
    <w:rsid w:val="001C44B4"/>
    <w:rsid w:val="001D1D70"/>
    <w:rsid w:val="001D506B"/>
    <w:rsid w:val="001E096B"/>
    <w:rsid w:val="001E1616"/>
    <w:rsid w:val="001E5C79"/>
    <w:rsid w:val="001F4F7C"/>
    <w:rsid w:val="00263011"/>
    <w:rsid w:val="002633C0"/>
    <w:rsid w:val="002A0E98"/>
    <w:rsid w:val="002D02D3"/>
    <w:rsid w:val="002E1D2C"/>
    <w:rsid w:val="00307086"/>
    <w:rsid w:val="00311097"/>
    <w:rsid w:val="00314CAF"/>
    <w:rsid w:val="00324E27"/>
    <w:rsid w:val="0033116F"/>
    <w:rsid w:val="003314A2"/>
    <w:rsid w:val="003436B9"/>
    <w:rsid w:val="003827E1"/>
    <w:rsid w:val="003A3AE2"/>
    <w:rsid w:val="003B44CB"/>
    <w:rsid w:val="003B7F1A"/>
    <w:rsid w:val="003C760F"/>
    <w:rsid w:val="00403BFC"/>
    <w:rsid w:val="00437455"/>
    <w:rsid w:val="00493936"/>
    <w:rsid w:val="004B1072"/>
    <w:rsid w:val="004C7D4E"/>
    <w:rsid w:val="004E18A7"/>
    <w:rsid w:val="004F0549"/>
    <w:rsid w:val="00504FFB"/>
    <w:rsid w:val="005B5CE6"/>
    <w:rsid w:val="005F61D3"/>
    <w:rsid w:val="006056E7"/>
    <w:rsid w:val="00621817"/>
    <w:rsid w:val="00694306"/>
    <w:rsid w:val="006A1563"/>
    <w:rsid w:val="006F0CAA"/>
    <w:rsid w:val="00736672"/>
    <w:rsid w:val="00761B63"/>
    <w:rsid w:val="007C37D7"/>
    <w:rsid w:val="00812114"/>
    <w:rsid w:val="00844594"/>
    <w:rsid w:val="00857DEA"/>
    <w:rsid w:val="00862165"/>
    <w:rsid w:val="008B59F4"/>
    <w:rsid w:val="008B61E5"/>
    <w:rsid w:val="008B685D"/>
    <w:rsid w:val="008E249B"/>
    <w:rsid w:val="008F6B57"/>
    <w:rsid w:val="00922F57"/>
    <w:rsid w:val="00944D31"/>
    <w:rsid w:val="00952859"/>
    <w:rsid w:val="0095378E"/>
    <w:rsid w:val="009820E4"/>
    <w:rsid w:val="00987619"/>
    <w:rsid w:val="00992368"/>
    <w:rsid w:val="00996B7A"/>
    <w:rsid w:val="009A06ED"/>
    <w:rsid w:val="009D230B"/>
    <w:rsid w:val="00A822AC"/>
    <w:rsid w:val="00B2787D"/>
    <w:rsid w:val="00B30D4A"/>
    <w:rsid w:val="00B775EB"/>
    <w:rsid w:val="00B80BB9"/>
    <w:rsid w:val="00B90E05"/>
    <w:rsid w:val="00BA0472"/>
    <w:rsid w:val="00BA1E5F"/>
    <w:rsid w:val="00CA20C0"/>
    <w:rsid w:val="00D33414"/>
    <w:rsid w:val="00D35F0D"/>
    <w:rsid w:val="00DD6A64"/>
    <w:rsid w:val="00DE5BEB"/>
    <w:rsid w:val="00E7033F"/>
    <w:rsid w:val="00E802BC"/>
    <w:rsid w:val="00EB5FFB"/>
    <w:rsid w:val="00EE687D"/>
    <w:rsid w:val="00EE7167"/>
    <w:rsid w:val="00F24A2E"/>
    <w:rsid w:val="00F335C1"/>
    <w:rsid w:val="00F62D63"/>
    <w:rsid w:val="00F67EF8"/>
    <w:rsid w:val="00F856C2"/>
    <w:rsid w:val="00F90650"/>
    <w:rsid w:val="00FC01A7"/>
    <w:rsid w:val="00FD0FD5"/>
    <w:rsid w:val="00FD53B3"/>
    <w:rsid w:val="3D1942E6"/>
    <w:rsid w:val="3DE6980C"/>
    <w:rsid w:val="784AE2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F67EF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styleId="EncabezadoCar" w:customStyle="1">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styleId="PiedepginaCar" w:customStyle="1">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styleId="Estilo3" w:customStyle="1">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0E5AE6"/>
    <w:pPr>
      <w:ind w:left="720"/>
      <w:contextualSpacing/>
    </w:pPr>
  </w:style>
  <w:style w:type="character" w:styleId="PrrafodelistaCar" w:customStyle="1">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B30D4A"/>
  </w:style>
  <w:style w:type="paragraph" w:styleId="Revisin">
    <w:name w:val="Revision"/>
    <w:hidden/>
    <w:uiPriority w:val="99"/>
    <w:semiHidden/>
    <w:rsid w:val="000D5B48"/>
  </w:style>
  <w:style w:type="character" w:styleId="Refdecomentario">
    <w:name w:val="annotation reference"/>
    <w:basedOn w:val="Fuentedeprrafopredeter"/>
    <w:uiPriority w:val="99"/>
    <w:semiHidden/>
    <w:unhideWhenUsed/>
    <w:rsid w:val="00B80BB9"/>
    <w:rPr>
      <w:sz w:val="16"/>
      <w:szCs w:val="16"/>
    </w:rPr>
  </w:style>
  <w:style w:type="paragraph" w:styleId="Textocomentario">
    <w:name w:val="annotation text"/>
    <w:basedOn w:val="Normal"/>
    <w:link w:val="TextocomentarioCar"/>
    <w:uiPriority w:val="99"/>
    <w:semiHidden/>
    <w:unhideWhenUsed/>
    <w:rsid w:val="00B80BB9"/>
    <w:rPr>
      <w:sz w:val="20"/>
      <w:szCs w:val="20"/>
    </w:rPr>
  </w:style>
  <w:style w:type="character" w:styleId="TextocomentarioCar" w:customStyle="1">
    <w:name w:val="Texto comentario Car"/>
    <w:basedOn w:val="Fuentedeprrafopredeter"/>
    <w:link w:val="Textocomentario"/>
    <w:uiPriority w:val="99"/>
    <w:semiHidden/>
    <w:rsid w:val="00B80BB9"/>
    <w:rPr>
      <w:sz w:val="20"/>
      <w:szCs w:val="20"/>
    </w:rPr>
  </w:style>
  <w:style w:type="paragraph" w:styleId="Asuntodelcomentario">
    <w:name w:val="annotation subject"/>
    <w:basedOn w:val="Textocomentario"/>
    <w:next w:val="Textocomentario"/>
    <w:link w:val="AsuntodelcomentarioCar"/>
    <w:uiPriority w:val="99"/>
    <w:semiHidden/>
    <w:unhideWhenUsed/>
    <w:rsid w:val="00B80BB9"/>
    <w:rPr>
      <w:b/>
      <w:bCs/>
    </w:rPr>
  </w:style>
  <w:style w:type="character" w:styleId="AsuntodelcomentarioCar" w:customStyle="1">
    <w:name w:val="Asunto del comentario Car"/>
    <w:basedOn w:val="TextocomentarioCar"/>
    <w:link w:val="Asuntodelcomentario"/>
    <w:uiPriority w:val="99"/>
    <w:semiHidden/>
    <w:rsid w:val="00B80B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Microsoft Office</dc:creator>
  <keywords/>
  <dc:description/>
  <lastModifiedBy>Santiago Mejía Fierro</lastModifiedBy>
  <revision>5</revision>
  <lastPrinted>2025-01-20T16:39:00.0000000Z</lastPrinted>
  <dcterms:created xsi:type="dcterms:W3CDTF">2025-08-22T22:12:00.0000000Z</dcterms:created>
  <dcterms:modified xsi:type="dcterms:W3CDTF">2025-08-29T20:08:44.1155660Z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