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4E283" w14:textId="215D52E2" w:rsidR="004F02E8" w:rsidRDefault="00CB4398" w:rsidP="00B05656">
      <w:pPr>
        <w:pStyle w:val="NormalWeb"/>
        <w:numPr>
          <w:ilvl w:val="0"/>
          <w:numId w:val="2"/>
        </w:numPr>
        <w:spacing w:before="0" w:beforeAutospacing="0" w:after="150" w:afterAutospacing="0"/>
        <w:jc w:val="center"/>
        <w:rPr>
          <w:rStyle w:val="ms-rtecustom-subttulodeartculo"/>
          <w:rFonts w:ascii="Arial" w:hAnsi="Arial" w:cs="Arial"/>
          <w:b/>
          <w:bCs/>
          <w:color w:val="000000" w:themeColor="text1"/>
          <w:sz w:val="20"/>
          <w:szCs w:val="20"/>
          <w:lang w:val="es-CO"/>
        </w:rPr>
      </w:pPr>
      <w:r>
        <w:rPr>
          <w:rStyle w:val="ms-rtecustom-subttulodeartculo"/>
          <w:rFonts w:ascii="Arial" w:hAnsi="Arial" w:cs="Arial"/>
          <w:b/>
          <w:bCs/>
          <w:color w:val="000000" w:themeColor="text1"/>
          <w:sz w:val="20"/>
          <w:szCs w:val="20"/>
          <w:lang w:val="es-CO"/>
        </w:rPr>
        <w:t>INFORMACIÓN SOBRE LA MERCANCÍA</w:t>
      </w:r>
    </w:p>
    <w:p w14:paraId="1226C8C2" w14:textId="77777777" w:rsidR="004F02E8" w:rsidRDefault="004F02E8"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5FE3FC67" w14:textId="0B42864C" w:rsidR="00DD6396" w:rsidRPr="00981918" w:rsidRDefault="008167F3"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r w:rsidRPr="00981918">
        <w:rPr>
          <w:rStyle w:val="ms-rtecustom-subttulodeartculo"/>
          <w:rFonts w:ascii="Arial" w:hAnsi="Arial" w:cs="Arial"/>
          <w:b/>
          <w:bCs/>
          <w:color w:val="000000" w:themeColor="text1"/>
          <w:sz w:val="20"/>
          <w:szCs w:val="20"/>
          <w:lang w:val="es-CO"/>
        </w:rPr>
        <w:t xml:space="preserve">DESCRIPCION DE LA MERCANCIA </w:t>
      </w:r>
      <w:r w:rsidR="00712A13">
        <w:rPr>
          <w:rStyle w:val="ms-rtecustom-subttulodeartculo"/>
          <w:rFonts w:ascii="Arial" w:hAnsi="Arial" w:cs="Arial"/>
          <w:b/>
          <w:bCs/>
          <w:color w:val="000000" w:themeColor="text1"/>
          <w:sz w:val="20"/>
          <w:szCs w:val="20"/>
          <w:lang w:val="es-CO"/>
        </w:rPr>
        <w:t xml:space="preserve">EN DI </w:t>
      </w:r>
      <w:r w:rsidR="00B81D26" w:rsidRPr="00B81D26">
        <w:rPr>
          <w:rStyle w:val="ms-rtecustom-subttulodeartculo"/>
          <w:rFonts w:ascii="Arial" w:hAnsi="Arial" w:cs="Arial"/>
          <w:b/>
          <w:bCs/>
          <w:color w:val="000000" w:themeColor="text1"/>
          <w:sz w:val="20"/>
          <w:szCs w:val="20"/>
          <w:lang w:val="es-CO"/>
        </w:rPr>
        <w:t>902023000185217</w:t>
      </w:r>
      <w:r w:rsidR="00B81D26">
        <w:rPr>
          <w:rStyle w:val="ms-rtecustom-subttulodeartculo"/>
          <w:rFonts w:ascii="Arial" w:hAnsi="Arial" w:cs="Arial"/>
          <w:b/>
          <w:bCs/>
          <w:color w:val="000000" w:themeColor="text1"/>
          <w:sz w:val="20"/>
          <w:szCs w:val="20"/>
          <w:lang w:val="es-CO"/>
        </w:rPr>
        <w:t xml:space="preserve"> DEL 23/10/2023</w:t>
      </w:r>
    </w:p>
    <w:p w14:paraId="024D6563" w14:textId="5B5723B3" w:rsidR="008167F3" w:rsidRPr="00981918" w:rsidRDefault="008167F3" w:rsidP="008167F3">
      <w:pPr>
        <w:pStyle w:val="NormalWeb"/>
        <w:spacing w:after="150"/>
        <w:jc w:val="both"/>
        <w:rPr>
          <w:rStyle w:val="ms-rtecustom-subttulodeartculo"/>
          <w:rFonts w:ascii="Arial" w:hAnsi="Arial" w:cs="Arial"/>
          <w:color w:val="000000" w:themeColor="text1"/>
          <w:sz w:val="20"/>
          <w:szCs w:val="20"/>
          <w:lang w:val="es-CO"/>
        </w:rPr>
      </w:pPr>
      <w:r w:rsidRPr="00981918">
        <w:rPr>
          <w:rStyle w:val="ms-rtecustom-subttulodeartculo"/>
          <w:rFonts w:ascii="Arial" w:hAnsi="Arial" w:cs="Arial"/>
          <w:color w:val="000000" w:themeColor="text1"/>
          <w:sz w:val="20"/>
          <w:szCs w:val="20"/>
          <w:lang w:val="es-CO"/>
        </w:rPr>
        <w:t>SALEN 268700 UNDS(JERINGAS) EN 747 CARTONES CON 3281.87 KG PESO BRUTO, NOMBRE DEL PRODUCTO: ENOXAPARINA SODICA JERINGAS PRELLENADAS 40 MG/ 0.4 ML, PRINCIPIO ACTIVO: CADA JERINGA PRELLENADA CONTIENE ENOXAPARINA SODICA, CONCENTRACION DE 40 MG/0.4ML, VIA DE ADMINISTRACION SUBCUTANEA, FORMA FARMACEUTICA SOLUCION INYECTABLE, INDICACIONES Y USO TERAPEUTICO: PROFILAXIS DE ENFERMEDAD TROMBOEMBOLICA VENOSA (ETV), EN PARTICULAR CUANDO PUEDA ESTAR ASOCIADA CON CIRUGIA ORTOPEDICA O GENERAL, PROFILAXIS DEL TROMBOEMBOLISMO EN PACIENTES MEDICOS CONFINADOS A CAMA DEBIDO A UNA ENFERMEDAD AGUDA INCLUYENDO INSUFICIENCIA CARDIACA, FALLAS RESPIRATORIOS, INFECCION SEVERA Y ENFERMEDADES REUMATICAS, NOMBRE FABRICANTE PRODUCTO TERMINADO SHENZHEN TECHDOW PHARMACEUTICAL CO. LTD. DE CHINA, PRESENTACION DEL PRODUCTO: CAJA PLEGADIZA POR 10 JERINGAS PRELLENADAS DE VIDRIO TIPO I CON AGUJA FIJA Y TAPON DE CAUCHO DE CLOROBUTILO, CONTENIDA EN PVC TERMOFORMADO Y LAMINADO, USO HUMANO, LOTE No. AB05503E, MERCANCIA NUEVA</w:t>
      </w:r>
    </w:p>
    <w:p w14:paraId="29085364" w14:textId="23A79611" w:rsidR="004971D4" w:rsidRDefault="004971D4" w:rsidP="02882D94">
      <w:pPr>
        <w:pStyle w:val="NormalWeb"/>
        <w:spacing w:after="150"/>
        <w:jc w:val="both"/>
        <w:rPr>
          <w:rStyle w:val="ms-rtecustom-subttulodeartculo"/>
          <w:rFonts w:ascii="Arial" w:hAnsi="Arial" w:cs="Arial"/>
          <w:b/>
          <w:bCs/>
          <w:caps/>
          <w:sz w:val="20"/>
          <w:szCs w:val="20"/>
          <w:lang w:val="es-CO"/>
        </w:rPr>
      </w:pPr>
      <w:r>
        <w:rPr>
          <w:rStyle w:val="ms-rtecustom-subttulodeartculo"/>
          <w:rFonts w:ascii="Arial" w:hAnsi="Arial" w:cs="Arial"/>
          <w:b/>
          <w:bCs/>
          <w:caps/>
          <w:sz w:val="20"/>
          <w:szCs w:val="20"/>
          <w:lang w:val="es-CO"/>
        </w:rPr>
        <w:t xml:space="preserve">INFORMACIÓN </w:t>
      </w:r>
      <w:r w:rsidR="005A5101">
        <w:rPr>
          <w:rStyle w:val="ms-rtecustom-subttulodeartculo"/>
          <w:rFonts w:ascii="Arial" w:hAnsi="Arial" w:cs="Arial"/>
          <w:b/>
          <w:bCs/>
          <w:caps/>
          <w:sz w:val="20"/>
          <w:szCs w:val="20"/>
          <w:lang w:val="es-CO"/>
        </w:rPr>
        <w:t xml:space="preserve">SEGÚN </w:t>
      </w:r>
      <w:r>
        <w:rPr>
          <w:rStyle w:val="ms-rtecustom-subttulodeartculo"/>
          <w:rFonts w:ascii="Arial" w:hAnsi="Arial" w:cs="Arial"/>
          <w:b/>
          <w:bCs/>
          <w:caps/>
          <w:sz w:val="20"/>
          <w:szCs w:val="20"/>
          <w:lang w:val="es-CO"/>
        </w:rPr>
        <w:t>FICHA FARMACOTERAPÉUTICA</w:t>
      </w:r>
    </w:p>
    <w:p w14:paraId="2D885424" w14:textId="3F73DF45" w:rsidR="00312ED3" w:rsidRPr="004971D4" w:rsidRDefault="00312ED3" w:rsidP="02882D94">
      <w:pPr>
        <w:pStyle w:val="NormalWeb"/>
        <w:spacing w:after="150"/>
        <w:jc w:val="both"/>
        <w:rPr>
          <w:rStyle w:val="ms-rtecustom-subttulodeartculo"/>
          <w:rFonts w:ascii="Arial" w:hAnsi="Arial" w:cs="Arial"/>
          <w:caps/>
          <w:sz w:val="20"/>
          <w:szCs w:val="20"/>
          <w:lang w:val="es-CO"/>
        </w:rPr>
      </w:pPr>
      <w:r w:rsidRPr="004971D4">
        <w:rPr>
          <w:rStyle w:val="ms-rtecustom-subttulodeartculo"/>
          <w:rFonts w:ascii="Arial" w:hAnsi="Arial" w:cs="Arial"/>
          <w:caps/>
          <w:sz w:val="20"/>
          <w:szCs w:val="20"/>
          <w:lang w:val="es-CO"/>
        </w:rPr>
        <w:t>USOS CLINICOS - Indicaciones aprobadas por el Invima</w:t>
      </w:r>
    </w:p>
    <w:p w14:paraId="322F4851" w14:textId="2F1E2358" w:rsidR="00312ED3" w:rsidRPr="00981918" w:rsidRDefault="00312ED3" w:rsidP="00312ED3">
      <w:pPr>
        <w:autoSpaceDE w:val="0"/>
        <w:autoSpaceDN w:val="0"/>
        <w:adjustRightInd w:val="0"/>
        <w:spacing w:after="0" w:line="240" w:lineRule="auto"/>
        <w:jc w:val="both"/>
        <w:rPr>
          <w:rFonts w:ascii="Arial" w:hAnsi="Arial" w:cs="Arial"/>
          <w:sz w:val="20"/>
          <w:szCs w:val="20"/>
          <w:lang w:val="es-CO"/>
        </w:rPr>
      </w:pPr>
      <w:r w:rsidRPr="00981918">
        <w:rPr>
          <w:rFonts w:ascii="Arial" w:hAnsi="Arial" w:cs="Arial"/>
          <w:sz w:val="20"/>
          <w:szCs w:val="20"/>
          <w:lang w:val="es-CO"/>
        </w:rPr>
        <w:t>-Profilaxis de enfermedad tromboembólica venosa (ETV), en particular cuando puede estar asociada con cirugía ortopédica o general.</w:t>
      </w:r>
    </w:p>
    <w:p w14:paraId="1A8F3C4F" w14:textId="7CC266C5" w:rsidR="00312ED3" w:rsidRPr="00981918" w:rsidRDefault="00312ED3" w:rsidP="00312ED3">
      <w:pPr>
        <w:autoSpaceDE w:val="0"/>
        <w:autoSpaceDN w:val="0"/>
        <w:adjustRightInd w:val="0"/>
        <w:spacing w:after="0" w:line="240" w:lineRule="auto"/>
        <w:jc w:val="both"/>
        <w:rPr>
          <w:rFonts w:ascii="Arial" w:hAnsi="Arial" w:cs="Arial"/>
          <w:sz w:val="20"/>
          <w:szCs w:val="20"/>
          <w:lang w:val="es-CO"/>
        </w:rPr>
      </w:pPr>
      <w:r w:rsidRPr="00981918">
        <w:rPr>
          <w:rFonts w:ascii="Arial" w:hAnsi="Arial" w:cs="Arial"/>
          <w:sz w:val="20"/>
          <w:szCs w:val="20"/>
          <w:lang w:val="es-CO"/>
        </w:rPr>
        <w:t>-Profilaxis del tromboembolismo en pacientes médicos confinados a cama debido a una enfermedad aguda incluyendo insuficiencia cardíaca, falla respiratoria, infección severa, y enfermedades reumáticas.</w:t>
      </w:r>
    </w:p>
    <w:p w14:paraId="04097174" w14:textId="77777777" w:rsidR="00312ED3" w:rsidRPr="00981918" w:rsidRDefault="00312ED3" w:rsidP="00312ED3">
      <w:pPr>
        <w:autoSpaceDE w:val="0"/>
        <w:autoSpaceDN w:val="0"/>
        <w:adjustRightInd w:val="0"/>
        <w:spacing w:after="0" w:line="240" w:lineRule="auto"/>
        <w:jc w:val="both"/>
        <w:rPr>
          <w:rFonts w:ascii="Arial" w:hAnsi="Arial" w:cs="Arial"/>
          <w:sz w:val="20"/>
          <w:szCs w:val="20"/>
          <w:lang w:val="es-CO"/>
        </w:rPr>
      </w:pPr>
      <w:r w:rsidRPr="00981918">
        <w:rPr>
          <w:rFonts w:ascii="Arial" w:hAnsi="Arial" w:cs="Arial"/>
          <w:sz w:val="20"/>
          <w:szCs w:val="20"/>
          <w:lang w:val="es-CO"/>
        </w:rPr>
        <w:t>-Tratamiento de trombosis venosa profunda (TVP), con o sin embolismo pulmonar.</w:t>
      </w:r>
    </w:p>
    <w:p w14:paraId="5E79FF68" w14:textId="3AF19732" w:rsidR="00312ED3" w:rsidRPr="00981918" w:rsidRDefault="00312ED3" w:rsidP="00312ED3">
      <w:pPr>
        <w:autoSpaceDE w:val="0"/>
        <w:autoSpaceDN w:val="0"/>
        <w:adjustRightInd w:val="0"/>
        <w:spacing w:after="0" w:line="240" w:lineRule="auto"/>
        <w:jc w:val="both"/>
        <w:rPr>
          <w:rFonts w:ascii="Arial" w:hAnsi="Arial" w:cs="Arial"/>
          <w:sz w:val="20"/>
          <w:szCs w:val="20"/>
          <w:lang w:val="es-CO"/>
        </w:rPr>
      </w:pPr>
      <w:r w:rsidRPr="00981918">
        <w:rPr>
          <w:rFonts w:ascii="Arial" w:hAnsi="Arial" w:cs="Arial"/>
          <w:sz w:val="20"/>
          <w:szCs w:val="20"/>
          <w:lang w:val="es-CO"/>
        </w:rPr>
        <w:t>-Prevención de la formación de trombos en la circulación extracorpórea durante la hemodiálisis.</w:t>
      </w:r>
    </w:p>
    <w:p w14:paraId="2E74DE9F" w14:textId="35041542" w:rsidR="00312ED3" w:rsidRPr="00981918" w:rsidRDefault="00312ED3" w:rsidP="00312ED3">
      <w:pPr>
        <w:autoSpaceDE w:val="0"/>
        <w:autoSpaceDN w:val="0"/>
        <w:adjustRightInd w:val="0"/>
        <w:spacing w:after="0" w:line="240" w:lineRule="auto"/>
        <w:jc w:val="both"/>
        <w:rPr>
          <w:rFonts w:ascii="Arial" w:hAnsi="Arial" w:cs="Arial"/>
          <w:sz w:val="20"/>
          <w:szCs w:val="20"/>
          <w:lang w:val="es-CO"/>
        </w:rPr>
      </w:pPr>
      <w:r w:rsidRPr="00981918">
        <w:rPr>
          <w:rFonts w:ascii="Arial" w:hAnsi="Arial" w:cs="Arial"/>
          <w:sz w:val="20"/>
          <w:szCs w:val="20"/>
          <w:lang w:val="es-CO"/>
        </w:rPr>
        <w:t>-Tratamiento de angina inestable y del infarto del miocardio sin onda Q administrado concomitante con ácido acetilsalicílico.</w:t>
      </w:r>
    </w:p>
    <w:p w14:paraId="4CEF8B11" w14:textId="00213B29" w:rsidR="00312ED3" w:rsidRPr="00981918" w:rsidRDefault="00312ED3" w:rsidP="00312ED3">
      <w:pPr>
        <w:autoSpaceDE w:val="0"/>
        <w:autoSpaceDN w:val="0"/>
        <w:adjustRightInd w:val="0"/>
        <w:spacing w:after="0" w:line="240" w:lineRule="auto"/>
        <w:jc w:val="both"/>
        <w:rPr>
          <w:rFonts w:ascii="Arial" w:hAnsi="Arial" w:cs="Arial"/>
          <w:sz w:val="20"/>
          <w:szCs w:val="20"/>
          <w:lang w:val="es-CO"/>
        </w:rPr>
      </w:pPr>
      <w:r w:rsidRPr="00981918">
        <w:rPr>
          <w:rFonts w:ascii="Arial" w:hAnsi="Arial" w:cs="Arial"/>
          <w:sz w:val="20"/>
          <w:szCs w:val="20"/>
          <w:lang w:val="es-CO"/>
        </w:rPr>
        <w:t>-Tratamiento del infarto agudo de miocardio con la elevación del ST (IAMST) incluyendo pacientes que serán manejados médicamente o con una posterior</w:t>
      </w:r>
    </w:p>
    <w:p w14:paraId="15E73325" w14:textId="61A1D319" w:rsidR="00312ED3" w:rsidRPr="00981918" w:rsidRDefault="00312ED3" w:rsidP="00312ED3">
      <w:pPr>
        <w:autoSpaceDE w:val="0"/>
        <w:autoSpaceDN w:val="0"/>
        <w:adjustRightInd w:val="0"/>
        <w:spacing w:after="0" w:line="240" w:lineRule="auto"/>
        <w:jc w:val="both"/>
        <w:rPr>
          <w:rFonts w:ascii="Arial" w:hAnsi="Arial" w:cs="Arial"/>
          <w:sz w:val="20"/>
          <w:szCs w:val="20"/>
          <w:lang w:val="es-CO"/>
        </w:rPr>
      </w:pPr>
    </w:p>
    <w:p w14:paraId="039A4A96" w14:textId="703F3915" w:rsidR="00312ED3" w:rsidRPr="004971D4" w:rsidRDefault="00312ED3" w:rsidP="00312ED3">
      <w:pPr>
        <w:autoSpaceDE w:val="0"/>
        <w:autoSpaceDN w:val="0"/>
        <w:adjustRightInd w:val="0"/>
        <w:spacing w:after="0" w:line="240" w:lineRule="auto"/>
        <w:jc w:val="both"/>
        <w:rPr>
          <w:rFonts w:ascii="Arial" w:hAnsi="Arial" w:cs="Arial"/>
          <w:sz w:val="20"/>
          <w:szCs w:val="20"/>
          <w:lang w:val="es-CO"/>
        </w:rPr>
      </w:pPr>
      <w:r w:rsidRPr="004971D4">
        <w:rPr>
          <w:rFonts w:ascii="Arial" w:hAnsi="Arial" w:cs="Arial"/>
          <w:sz w:val="20"/>
          <w:szCs w:val="20"/>
          <w:lang w:val="es-CO"/>
        </w:rPr>
        <w:t>POSOLOGIA EN ADULTOS</w:t>
      </w:r>
    </w:p>
    <w:p w14:paraId="447DDAAE" w14:textId="2B3B2F63" w:rsidR="00C8470C" w:rsidRPr="00981918" w:rsidRDefault="00C8470C" w:rsidP="00312ED3">
      <w:pPr>
        <w:autoSpaceDE w:val="0"/>
        <w:autoSpaceDN w:val="0"/>
        <w:adjustRightInd w:val="0"/>
        <w:spacing w:after="0" w:line="240" w:lineRule="auto"/>
        <w:jc w:val="both"/>
        <w:rPr>
          <w:rFonts w:ascii="Arial" w:hAnsi="Arial" w:cs="Arial"/>
          <w:sz w:val="20"/>
          <w:szCs w:val="20"/>
          <w:lang w:val="es-CO"/>
        </w:rPr>
      </w:pPr>
    </w:p>
    <w:p w14:paraId="4A1B3678" w14:textId="77777777" w:rsidR="00C8470C" w:rsidRPr="00981918" w:rsidRDefault="00C8470C" w:rsidP="00C8470C">
      <w:pPr>
        <w:autoSpaceDE w:val="0"/>
        <w:autoSpaceDN w:val="0"/>
        <w:adjustRightInd w:val="0"/>
        <w:spacing w:after="0" w:line="240" w:lineRule="auto"/>
        <w:jc w:val="both"/>
        <w:rPr>
          <w:rFonts w:ascii="Arial" w:hAnsi="Arial" w:cs="Arial"/>
          <w:sz w:val="20"/>
          <w:szCs w:val="20"/>
          <w:lang w:val="es-CO"/>
        </w:rPr>
      </w:pPr>
      <w:r w:rsidRPr="00981918">
        <w:rPr>
          <w:rFonts w:ascii="Arial" w:hAnsi="Arial" w:cs="Arial"/>
          <w:sz w:val="20"/>
          <w:szCs w:val="20"/>
          <w:lang w:val="es-CO"/>
        </w:rPr>
        <w:t>Profilaxis de trombosis venosa profunda (TVP)</w:t>
      </w:r>
    </w:p>
    <w:p w14:paraId="198ED679" w14:textId="339B7984" w:rsidR="00C8470C" w:rsidRPr="00981918" w:rsidRDefault="00C8470C" w:rsidP="00C8470C">
      <w:pPr>
        <w:autoSpaceDE w:val="0"/>
        <w:autoSpaceDN w:val="0"/>
        <w:adjustRightInd w:val="0"/>
        <w:spacing w:after="0" w:line="240" w:lineRule="auto"/>
        <w:jc w:val="both"/>
        <w:rPr>
          <w:rFonts w:ascii="Arial" w:hAnsi="Arial" w:cs="Arial"/>
          <w:sz w:val="20"/>
          <w:szCs w:val="20"/>
          <w:lang w:val="es-CO"/>
        </w:rPr>
      </w:pPr>
      <w:r w:rsidRPr="00981918">
        <w:rPr>
          <w:rFonts w:ascii="Arial" w:hAnsi="Arial" w:cs="Arial"/>
          <w:sz w:val="20"/>
          <w:szCs w:val="20"/>
          <w:lang w:val="es-CO"/>
        </w:rPr>
        <w:t>Profilaxis de enfermedad tromboembólica venosa (ETV), en particular cuando puede estar asociada con cirugía ortopédica en general:</w:t>
      </w:r>
    </w:p>
    <w:p w14:paraId="6E9185B5" w14:textId="77777777" w:rsidR="00C8470C" w:rsidRPr="00981918" w:rsidRDefault="00C8470C" w:rsidP="00C8470C">
      <w:pPr>
        <w:autoSpaceDE w:val="0"/>
        <w:autoSpaceDN w:val="0"/>
        <w:adjustRightInd w:val="0"/>
        <w:spacing w:after="0" w:line="240" w:lineRule="auto"/>
        <w:jc w:val="both"/>
        <w:rPr>
          <w:rFonts w:ascii="Arial" w:hAnsi="Arial" w:cs="Arial"/>
          <w:sz w:val="20"/>
          <w:szCs w:val="20"/>
          <w:lang w:val="es-CO"/>
        </w:rPr>
      </w:pPr>
    </w:p>
    <w:p w14:paraId="2C96A73C" w14:textId="48265BD8" w:rsidR="00C8470C" w:rsidRPr="00981918" w:rsidRDefault="00C8470C" w:rsidP="00C8470C">
      <w:pPr>
        <w:autoSpaceDE w:val="0"/>
        <w:autoSpaceDN w:val="0"/>
        <w:adjustRightInd w:val="0"/>
        <w:spacing w:after="0" w:line="240" w:lineRule="auto"/>
        <w:jc w:val="both"/>
        <w:rPr>
          <w:rFonts w:ascii="Arial" w:hAnsi="Arial" w:cs="Arial"/>
          <w:sz w:val="20"/>
          <w:szCs w:val="20"/>
          <w:lang w:val="es-CO"/>
        </w:rPr>
      </w:pPr>
      <w:r w:rsidRPr="00981918">
        <w:rPr>
          <w:rFonts w:ascii="Arial" w:hAnsi="Arial" w:cs="Arial"/>
          <w:sz w:val="20"/>
          <w:szCs w:val="20"/>
          <w:lang w:val="es-CO"/>
        </w:rPr>
        <w:t xml:space="preserve">-Pacientes con riesgo moderado: 20 mg </w:t>
      </w:r>
      <w:proofErr w:type="spellStart"/>
      <w:r w:rsidRPr="00981918">
        <w:rPr>
          <w:rFonts w:ascii="Arial" w:hAnsi="Arial" w:cs="Arial"/>
          <w:sz w:val="20"/>
          <w:szCs w:val="20"/>
          <w:lang w:val="es-CO"/>
        </w:rPr>
        <w:t>ó</w:t>
      </w:r>
      <w:proofErr w:type="spellEnd"/>
      <w:r w:rsidRPr="00981918">
        <w:rPr>
          <w:rFonts w:ascii="Arial" w:hAnsi="Arial" w:cs="Arial"/>
          <w:sz w:val="20"/>
          <w:szCs w:val="20"/>
          <w:lang w:val="es-CO"/>
        </w:rPr>
        <w:t xml:space="preserve"> 40 mg administrados 1 vez al día por inyección SC. En cirugía general, la primera inyección debe aplicarse 2 horas antes del procedimiento quirúrgico.</w:t>
      </w:r>
    </w:p>
    <w:p w14:paraId="1895AB34" w14:textId="4A99427B" w:rsidR="00C8470C" w:rsidRPr="00981918" w:rsidRDefault="00C8470C" w:rsidP="00C8470C">
      <w:pPr>
        <w:autoSpaceDE w:val="0"/>
        <w:autoSpaceDN w:val="0"/>
        <w:adjustRightInd w:val="0"/>
        <w:spacing w:after="0" w:line="240" w:lineRule="auto"/>
        <w:jc w:val="both"/>
        <w:rPr>
          <w:rFonts w:ascii="Arial" w:hAnsi="Arial" w:cs="Arial"/>
          <w:sz w:val="20"/>
          <w:szCs w:val="20"/>
          <w:lang w:val="es-CO"/>
        </w:rPr>
      </w:pPr>
      <w:r w:rsidRPr="00981918">
        <w:rPr>
          <w:rFonts w:ascii="Arial" w:hAnsi="Arial" w:cs="Arial"/>
          <w:sz w:val="20"/>
          <w:szCs w:val="20"/>
          <w:lang w:val="es-CO"/>
        </w:rPr>
        <w:t>-Pacientes con alto riesgo: 40 mg administrados 1 vez al día por vía SC con inicio 12 horas antes de la cirugía y continuar durante 7 -10 días o mientras que haya riesgo de tromboembolismo venoso.</w:t>
      </w:r>
    </w:p>
    <w:p w14:paraId="3517AD80" w14:textId="6867CE15" w:rsidR="00C8470C" w:rsidRPr="00981918" w:rsidRDefault="00C8470C" w:rsidP="00C8470C">
      <w:pPr>
        <w:autoSpaceDE w:val="0"/>
        <w:autoSpaceDN w:val="0"/>
        <w:adjustRightInd w:val="0"/>
        <w:spacing w:after="0" w:line="240" w:lineRule="auto"/>
        <w:jc w:val="both"/>
        <w:rPr>
          <w:rFonts w:ascii="Arial" w:hAnsi="Arial" w:cs="Arial"/>
          <w:sz w:val="20"/>
          <w:szCs w:val="20"/>
          <w:lang w:val="es-CO"/>
        </w:rPr>
      </w:pPr>
    </w:p>
    <w:p w14:paraId="0849CD83" w14:textId="601A90FB" w:rsidR="00C8470C" w:rsidRPr="00981918" w:rsidRDefault="00C8470C" w:rsidP="00C8470C">
      <w:pPr>
        <w:autoSpaceDE w:val="0"/>
        <w:autoSpaceDN w:val="0"/>
        <w:adjustRightInd w:val="0"/>
        <w:spacing w:after="0" w:line="240" w:lineRule="auto"/>
        <w:jc w:val="both"/>
        <w:rPr>
          <w:rFonts w:ascii="Arial" w:hAnsi="Arial" w:cs="Arial"/>
          <w:sz w:val="20"/>
          <w:szCs w:val="20"/>
          <w:lang w:val="es-CO"/>
        </w:rPr>
      </w:pPr>
      <w:r w:rsidRPr="00981918">
        <w:rPr>
          <w:rFonts w:ascii="Arial" w:hAnsi="Arial" w:cs="Arial"/>
          <w:sz w:val="20"/>
          <w:szCs w:val="20"/>
          <w:lang w:val="es-CO"/>
        </w:rPr>
        <w:t>Profilaxis del tromboembolismo en pacientes médicos confinados a cama debido a una enfermedad aguda incluyendo insuficiencia cardíaca, falla respiratoria, infección severa y enfermedades reumáticas:</w:t>
      </w:r>
    </w:p>
    <w:p w14:paraId="125DC36E" w14:textId="77777777" w:rsidR="00C8470C" w:rsidRPr="00981918" w:rsidRDefault="00C8470C" w:rsidP="00C8470C">
      <w:pPr>
        <w:autoSpaceDE w:val="0"/>
        <w:autoSpaceDN w:val="0"/>
        <w:adjustRightInd w:val="0"/>
        <w:spacing w:after="0" w:line="240" w:lineRule="auto"/>
        <w:rPr>
          <w:rFonts w:ascii="Arial" w:hAnsi="Arial" w:cs="Arial"/>
          <w:sz w:val="20"/>
          <w:szCs w:val="20"/>
          <w:lang w:val="es-CO"/>
        </w:rPr>
      </w:pPr>
      <w:r w:rsidRPr="00981918">
        <w:rPr>
          <w:rFonts w:ascii="Arial" w:hAnsi="Arial" w:cs="Arial"/>
          <w:sz w:val="20"/>
          <w:szCs w:val="20"/>
          <w:lang w:val="es-CO"/>
        </w:rPr>
        <w:t>Administrar 40 mg 1 vez al día durante 6- 14 días.</w:t>
      </w:r>
    </w:p>
    <w:p w14:paraId="64368256" w14:textId="77777777" w:rsidR="00C8470C" w:rsidRPr="00981918" w:rsidRDefault="00C8470C" w:rsidP="00C8470C">
      <w:pPr>
        <w:autoSpaceDE w:val="0"/>
        <w:autoSpaceDN w:val="0"/>
        <w:adjustRightInd w:val="0"/>
        <w:spacing w:after="0" w:line="240" w:lineRule="auto"/>
        <w:rPr>
          <w:rFonts w:ascii="Arial" w:hAnsi="Arial" w:cs="Arial"/>
          <w:sz w:val="20"/>
          <w:szCs w:val="20"/>
          <w:lang w:val="es-CO"/>
        </w:rPr>
      </w:pPr>
    </w:p>
    <w:p w14:paraId="6B3E28BF" w14:textId="4CCD3D97" w:rsidR="00C8470C" w:rsidRPr="00981918" w:rsidRDefault="00C8470C" w:rsidP="00C8470C">
      <w:pPr>
        <w:autoSpaceDE w:val="0"/>
        <w:autoSpaceDN w:val="0"/>
        <w:adjustRightInd w:val="0"/>
        <w:spacing w:after="0" w:line="240" w:lineRule="auto"/>
        <w:rPr>
          <w:rFonts w:ascii="Arial" w:hAnsi="Arial" w:cs="Arial"/>
          <w:sz w:val="20"/>
          <w:szCs w:val="20"/>
          <w:lang w:val="es-CO"/>
        </w:rPr>
      </w:pPr>
      <w:r w:rsidRPr="00981918">
        <w:rPr>
          <w:rFonts w:ascii="Arial" w:hAnsi="Arial" w:cs="Arial"/>
          <w:sz w:val="20"/>
          <w:szCs w:val="20"/>
          <w:lang w:val="es-CO"/>
        </w:rPr>
        <w:lastRenderedPageBreak/>
        <w:t>Tratamiento de la trombosis venosa profunda con o sin embolismo pulmonar:</w:t>
      </w:r>
    </w:p>
    <w:p w14:paraId="123AEB55" w14:textId="0E4C1FD2" w:rsidR="00C8470C" w:rsidRPr="00981918" w:rsidRDefault="00C8470C" w:rsidP="00C8470C">
      <w:pPr>
        <w:autoSpaceDE w:val="0"/>
        <w:autoSpaceDN w:val="0"/>
        <w:adjustRightInd w:val="0"/>
        <w:spacing w:after="0" w:line="240" w:lineRule="auto"/>
        <w:rPr>
          <w:rFonts w:ascii="Arial" w:hAnsi="Arial" w:cs="Arial"/>
          <w:sz w:val="20"/>
          <w:szCs w:val="20"/>
          <w:lang w:val="es-CO"/>
        </w:rPr>
      </w:pPr>
      <w:r w:rsidRPr="00981918">
        <w:rPr>
          <w:rFonts w:ascii="Arial" w:hAnsi="Arial" w:cs="Arial"/>
          <w:sz w:val="20"/>
          <w:szCs w:val="20"/>
          <w:lang w:val="es-CO"/>
        </w:rPr>
        <w:t>-Pacientes tratados en casa (sin embolismo pulmonar) aplicar 1 mg/kg cada 12 horas por vía SC.</w:t>
      </w:r>
    </w:p>
    <w:p w14:paraId="604935C1" w14:textId="2946D122" w:rsidR="00C8470C" w:rsidRPr="00981918" w:rsidRDefault="00C8470C" w:rsidP="00C8470C">
      <w:pPr>
        <w:autoSpaceDE w:val="0"/>
        <w:autoSpaceDN w:val="0"/>
        <w:adjustRightInd w:val="0"/>
        <w:spacing w:after="0" w:line="240" w:lineRule="auto"/>
        <w:rPr>
          <w:rFonts w:ascii="Arial" w:hAnsi="Arial" w:cs="Arial"/>
          <w:sz w:val="20"/>
          <w:szCs w:val="20"/>
          <w:lang w:val="es-CO"/>
        </w:rPr>
      </w:pPr>
      <w:r w:rsidRPr="00981918">
        <w:rPr>
          <w:rFonts w:ascii="Arial" w:hAnsi="Arial" w:cs="Arial"/>
          <w:sz w:val="20"/>
          <w:szCs w:val="20"/>
          <w:lang w:val="es-CO"/>
        </w:rPr>
        <w:t>-Pacientes hospitalizados administrar 1 mg/kg cada 12 horas por vía SC o 1.5 mg/kg 1 vez al día.</w:t>
      </w:r>
    </w:p>
    <w:p w14:paraId="7159D983" w14:textId="6D51D974" w:rsidR="00C8470C" w:rsidRPr="00981918" w:rsidRDefault="00C8470C" w:rsidP="00C8470C">
      <w:pPr>
        <w:autoSpaceDE w:val="0"/>
        <w:autoSpaceDN w:val="0"/>
        <w:adjustRightInd w:val="0"/>
        <w:spacing w:after="0" w:line="240" w:lineRule="auto"/>
        <w:rPr>
          <w:rFonts w:ascii="Arial" w:hAnsi="Arial" w:cs="Arial"/>
          <w:sz w:val="20"/>
          <w:szCs w:val="20"/>
          <w:lang w:val="es-CO"/>
        </w:rPr>
      </w:pPr>
      <w:r w:rsidRPr="00981918">
        <w:rPr>
          <w:rFonts w:ascii="Arial" w:hAnsi="Arial" w:cs="Arial"/>
          <w:sz w:val="20"/>
          <w:szCs w:val="20"/>
          <w:lang w:val="es-CO"/>
        </w:rPr>
        <w:t>-En caso de terapia anticoagulante oral iniciar 72 horas después de la primera inyección de enoxaparina y continuar la enoxaparina hasta lograr efecto terapéutico adecuado (INR 2 a 3).</w:t>
      </w:r>
    </w:p>
    <w:p w14:paraId="31C207F5" w14:textId="78C0B466" w:rsidR="00312ED3" w:rsidRPr="00981918" w:rsidRDefault="00312ED3" w:rsidP="00312ED3">
      <w:pPr>
        <w:autoSpaceDE w:val="0"/>
        <w:autoSpaceDN w:val="0"/>
        <w:adjustRightInd w:val="0"/>
        <w:spacing w:after="0" w:line="240" w:lineRule="auto"/>
        <w:jc w:val="both"/>
        <w:rPr>
          <w:rFonts w:ascii="Arial" w:hAnsi="Arial" w:cs="Arial"/>
          <w:sz w:val="20"/>
          <w:szCs w:val="20"/>
          <w:lang w:val="es-CO"/>
        </w:rPr>
      </w:pPr>
    </w:p>
    <w:p w14:paraId="2B92E27D" w14:textId="7A1181BF" w:rsidR="00312ED3" w:rsidRPr="00981918" w:rsidRDefault="00312ED3" w:rsidP="00312ED3">
      <w:pPr>
        <w:autoSpaceDE w:val="0"/>
        <w:autoSpaceDN w:val="0"/>
        <w:adjustRightInd w:val="0"/>
        <w:spacing w:after="0" w:line="240" w:lineRule="auto"/>
        <w:rPr>
          <w:rFonts w:ascii="Arial" w:hAnsi="Arial" w:cs="Arial"/>
          <w:sz w:val="20"/>
          <w:szCs w:val="20"/>
          <w:lang w:val="es-CO"/>
        </w:rPr>
      </w:pPr>
      <w:r w:rsidRPr="00981918">
        <w:rPr>
          <w:rFonts w:ascii="Arial" w:hAnsi="Arial" w:cs="Arial"/>
          <w:sz w:val="20"/>
          <w:szCs w:val="20"/>
          <w:lang w:val="es-CO"/>
        </w:rPr>
        <w:t>Tratamiento de la angina inestable e infarto miocárdico sin onda Q:</w:t>
      </w:r>
    </w:p>
    <w:p w14:paraId="61B1F7E6" w14:textId="23CED896" w:rsidR="00312ED3" w:rsidRDefault="00312ED3" w:rsidP="00C8470C">
      <w:pPr>
        <w:autoSpaceDE w:val="0"/>
        <w:autoSpaceDN w:val="0"/>
        <w:adjustRightInd w:val="0"/>
        <w:spacing w:after="0" w:line="240" w:lineRule="auto"/>
        <w:rPr>
          <w:rFonts w:ascii="Arial" w:hAnsi="Arial" w:cs="Arial"/>
          <w:sz w:val="20"/>
          <w:szCs w:val="20"/>
          <w:lang w:val="es-CO"/>
        </w:rPr>
      </w:pPr>
      <w:r w:rsidRPr="00981918">
        <w:rPr>
          <w:rFonts w:ascii="Arial" w:hAnsi="Arial" w:cs="Arial"/>
          <w:sz w:val="20"/>
          <w:szCs w:val="20"/>
          <w:lang w:val="es-CO"/>
        </w:rPr>
        <w:t>-Administrar 1 mg/ kg cada 12 horas, administrada vía SC durante 2 – 8 días</w:t>
      </w:r>
      <w:r w:rsidR="00C8470C" w:rsidRPr="00981918">
        <w:rPr>
          <w:rFonts w:ascii="Arial" w:hAnsi="Arial" w:cs="Arial"/>
          <w:sz w:val="20"/>
          <w:szCs w:val="20"/>
          <w:lang w:val="es-CO"/>
        </w:rPr>
        <w:t xml:space="preserve"> </w:t>
      </w:r>
      <w:r w:rsidRPr="00981918">
        <w:rPr>
          <w:rFonts w:ascii="Arial" w:hAnsi="Arial" w:cs="Arial"/>
          <w:sz w:val="20"/>
          <w:szCs w:val="20"/>
          <w:lang w:val="es-CO"/>
        </w:rPr>
        <w:t xml:space="preserve">concomitante con </w:t>
      </w:r>
      <w:r w:rsidR="00C8470C" w:rsidRPr="00981918">
        <w:rPr>
          <w:rFonts w:ascii="Arial" w:hAnsi="Arial" w:cs="Arial"/>
          <w:sz w:val="20"/>
          <w:szCs w:val="20"/>
          <w:lang w:val="es-CO"/>
        </w:rPr>
        <w:t>a</w:t>
      </w:r>
      <w:r w:rsidRPr="00981918">
        <w:rPr>
          <w:rFonts w:ascii="Arial" w:hAnsi="Arial" w:cs="Arial"/>
          <w:sz w:val="20"/>
          <w:szCs w:val="20"/>
          <w:lang w:val="es-CO"/>
        </w:rPr>
        <w:t>spirina oral (100 a 325 mg 1 vez al día).</w:t>
      </w:r>
    </w:p>
    <w:p w14:paraId="5157B57A" w14:textId="77777777" w:rsidR="00355EA5" w:rsidRPr="00981918" w:rsidRDefault="00355EA5" w:rsidP="00C8470C">
      <w:pPr>
        <w:autoSpaceDE w:val="0"/>
        <w:autoSpaceDN w:val="0"/>
        <w:adjustRightInd w:val="0"/>
        <w:spacing w:after="0" w:line="240" w:lineRule="auto"/>
        <w:rPr>
          <w:rFonts w:ascii="Arial" w:hAnsi="Arial" w:cs="Arial"/>
          <w:sz w:val="20"/>
          <w:szCs w:val="20"/>
          <w:lang w:val="es-CO"/>
        </w:rPr>
      </w:pPr>
    </w:p>
    <w:p w14:paraId="369CF742" w14:textId="415638D3" w:rsidR="00355EA5" w:rsidRPr="00355EA5" w:rsidRDefault="00355EA5" w:rsidP="00C8470C">
      <w:pPr>
        <w:autoSpaceDE w:val="0"/>
        <w:autoSpaceDN w:val="0"/>
        <w:adjustRightInd w:val="0"/>
        <w:spacing w:after="0" w:line="240" w:lineRule="auto"/>
        <w:rPr>
          <w:rFonts w:ascii="Arial" w:hAnsi="Arial" w:cs="Arial"/>
          <w:b/>
          <w:bCs/>
          <w:sz w:val="20"/>
          <w:szCs w:val="20"/>
          <w:lang w:val="es-CO"/>
        </w:rPr>
      </w:pPr>
      <w:r w:rsidRPr="00355EA5">
        <w:rPr>
          <w:rFonts w:ascii="Arial" w:hAnsi="Arial" w:cs="Arial"/>
          <w:b/>
          <w:bCs/>
          <w:sz w:val="20"/>
          <w:szCs w:val="20"/>
          <w:lang w:val="es-CO"/>
        </w:rPr>
        <w:t>EXPLICACION SOBRE LAS HEPARINAS</w:t>
      </w:r>
    </w:p>
    <w:p w14:paraId="247E56F9" w14:textId="2441063D" w:rsidR="00312ED3" w:rsidRDefault="00312ED3" w:rsidP="00312ED3">
      <w:pPr>
        <w:autoSpaceDE w:val="0"/>
        <w:autoSpaceDN w:val="0"/>
        <w:adjustRightInd w:val="0"/>
        <w:spacing w:after="0" w:line="240" w:lineRule="auto"/>
        <w:jc w:val="both"/>
        <w:rPr>
          <w:rFonts w:ascii="Arial" w:hAnsi="Arial" w:cs="Arial"/>
          <w:sz w:val="20"/>
          <w:szCs w:val="20"/>
          <w:lang w:val="es-CO"/>
        </w:rPr>
      </w:pPr>
    </w:p>
    <w:p w14:paraId="2A8A11C7" w14:textId="570F7823" w:rsidR="00355EA5" w:rsidRDefault="00355EA5" w:rsidP="00312ED3">
      <w:pPr>
        <w:autoSpaceDE w:val="0"/>
        <w:autoSpaceDN w:val="0"/>
        <w:adjustRightInd w:val="0"/>
        <w:spacing w:after="0" w:line="240" w:lineRule="auto"/>
        <w:jc w:val="both"/>
        <w:rPr>
          <w:rFonts w:ascii="Arial" w:hAnsi="Arial" w:cs="Arial"/>
          <w:sz w:val="20"/>
          <w:szCs w:val="20"/>
          <w:lang w:val="es-CO"/>
        </w:rPr>
      </w:pPr>
      <w:r w:rsidRPr="00355EA5">
        <w:rPr>
          <w:rFonts w:ascii="Arial" w:hAnsi="Arial" w:cs="Arial"/>
          <w:noProof/>
          <w:sz w:val="20"/>
          <w:szCs w:val="20"/>
          <w:lang w:val="es-CO"/>
        </w:rPr>
        <w:drawing>
          <wp:inline distT="0" distB="0" distL="0" distR="0" wp14:anchorId="0780B8E0" wp14:editId="67BA980E">
            <wp:extent cx="4933950" cy="5896870"/>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5765"/>
                    <a:stretch/>
                  </pic:blipFill>
                  <pic:spPr bwMode="auto">
                    <a:xfrm>
                      <a:off x="0" y="0"/>
                      <a:ext cx="4963768" cy="5932508"/>
                    </a:xfrm>
                    <a:prstGeom prst="rect">
                      <a:avLst/>
                    </a:prstGeom>
                    <a:ln>
                      <a:noFill/>
                    </a:ln>
                    <a:extLst>
                      <a:ext uri="{53640926-AAD7-44D8-BBD7-CCE9431645EC}">
                        <a14:shadowObscured xmlns:a14="http://schemas.microsoft.com/office/drawing/2010/main"/>
                      </a:ext>
                    </a:extLst>
                  </pic:spPr>
                </pic:pic>
              </a:graphicData>
            </a:graphic>
          </wp:inline>
        </w:drawing>
      </w:r>
    </w:p>
    <w:p w14:paraId="4E37D6C3" w14:textId="38D79D56" w:rsidR="00355EA5" w:rsidRPr="00112064" w:rsidRDefault="00355EA5" w:rsidP="00312ED3">
      <w:pPr>
        <w:autoSpaceDE w:val="0"/>
        <w:autoSpaceDN w:val="0"/>
        <w:adjustRightInd w:val="0"/>
        <w:spacing w:after="0" w:line="240" w:lineRule="auto"/>
        <w:jc w:val="both"/>
        <w:rPr>
          <w:rFonts w:ascii="Arial" w:hAnsi="Arial" w:cs="Arial"/>
          <w:sz w:val="16"/>
          <w:szCs w:val="16"/>
          <w:lang w:val="es-CO"/>
        </w:rPr>
      </w:pPr>
      <w:r w:rsidRPr="00112064">
        <w:rPr>
          <w:rFonts w:ascii="Arial" w:hAnsi="Arial" w:cs="Arial"/>
          <w:sz w:val="16"/>
          <w:szCs w:val="16"/>
          <w:lang w:val="es-CO"/>
        </w:rPr>
        <w:t>https://idus.us.es/bitstream/handle/11441/65282/Terapa%20anticoagulante.pdf?sequence=5&amp;isAllowed=y</w:t>
      </w:r>
    </w:p>
    <w:p w14:paraId="069701E0" w14:textId="6A2FA96B" w:rsidR="00355EA5" w:rsidRDefault="00355EA5" w:rsidP="00312ED3">
      <w:pPr>
        <w:autoSpaceDE w:val="0"/>
        <w:autoSpaceDN w:val="0"/>
        <w:adjustRightInd w:val="0"/>
        <w:spacing w:after="0" w:line="240" w:lineRule="auto"/>
        <w:jc w:val="both"/>
        <w:rPr>
          <w:rFonts w:ascii="Arial" w:hAnsi="Arial" w:cs="Arial"/>
          <w:sz w:val="20"/>
          <w:szCs w:val="20"/>
          <w:lang w:val="es-CO"/>
        </w:rPr>
      </w:pPr>
    </w:p>
    <w:p w14:paraId="3D220156" w14:textId="0F35CBAB" w:rsidR="00312ED3" w:rsidRPr="00CB4398" w:rsidRDefault="00C8470C" w:rsidP="00B05656">
      <w:pPr>
        <w:pStyle w:val="Prrafodelista"/>
        <w:numPr>
          <w:ilvl w:val="0"/>
          <w:numId w:val="2"/>
        </w:numPr>
        <w:autoSpaceDE w:val="0"/>
        <w:autoSpaceDN w:val="0"/>
        <w:adjustRightInd w:val="0"/>
        <w:spacing w:after="0" w:line="240" w:lineRule="auto"/>
        <w:jc w:val="center"/>
        <w:rPr>
          <w:rFonts w:ascii="Arial" w:hAnsi="Arial" w:cs="Arial"/>
          <w:b/>
          <w:bCs/>
          <w:sz w:val="20"/>
          <w:szCs w:val="20"/>
          <w:lang w:val="es-CO"/>
        </w:rPr>
      </w:pPr>
      <w:r w:rsidRPr="00CB4398">
        <w:rPr>
          <w:rFonts w:ascii="Arial" w:hAnsi="Arial" w:cs="Arial"/>
          <w:b/>
          <w:bCs/>
          <w:sz w:val="20"/>
          <w:szCs w:val="20"/>
          <w:lang w:val="es-CO"/>
        </w:rPr>
        <w:t>ANALISIS ARANCELARIO</w:t>
      </w:r>
    </w:p>
    <w:p w14:paraId="311C09C6" w14:textId="1BAFB81D" w:rsidR="00FC7D5E" w:rsidRPr="00C23017" w:rsidRDefault="00FC7D5E" w:rsidP="00981918">
      <w:pPr>
        <w:autoSpaceDE w:val="0"/>
        <w:autoSpaceDN w:val="0"/>
        <w:adjustRightInd w:val="0"/>
        <w:spacing w:after="0" w:line="240" w:lineRule="auto"/>
        <w:jc w:val="center"/>
        <w:rPr>
          <w:rFonts w:ascii="Arial" w:hAnsi="Arial" w:cs="Arial"/>
          <w:b/>
          <w:bCs/>
          <w:sz w:val="20"/>
          <w:szCs w:val="20"/>
          <w:lang w:val="es-CO"/>
        </w:rPr>
      </w:pPr>
    </w:p>
    <w:p w14:paraId="3F36F971" w14:textId="3B0C33C6" w:rsidR="00FC7D5E" w:rsidRPr="00C23017" w:rsidRDefault="00FC7D5E" w:rsidP="00981918">
      <w:pPr>
        <w:autoSpaceDE w:val="0"/>
        <w:autoSpaceDN w:val="0"/>
        <w:adjustRightInd w:val="0"/>
        <w:spacing w:after="0" w:line="240" w:lineRule="auto"/>
        <w:jc w:val="center"/>
        <w:rPr>
          <w:rFonts w:ascii="Arial" w:hAnsi="Arial" w:cs="Arial"/>
          <w:b/>
          <w:bCs/>
          <w:sz w:val="20"/>
          <w:szCs w:val="20"/>
          <w:lang w:val="es-CO"/>
        </w:rPr>
      </w:pPr>
    </w:p>
    <w:p w14:paraId="5E2B16F5" w14:textId="33851479" w:rsidR="00FC7D5E" w:rsidRPr="00C23017" w:rsidRDefault="00FC7D5E" w:rsidP="00FC7D5E">
      <w:pPr>
        <w:autoSpaceDE w:val="0"/>
        <w:autoSpaceDN w:val="0"/>
        <w:adjustRightInd w:val="0"/>
        <w:spacing w:after="0" w:line="240" w:lineRule="auto"/>
        <w:rPr>
          <w:rFonts w:ascii="Arial" w:hAnsi="Arial" w:cs="Arial"/>
          <w:b/>
          <w:bCs/>
          <w:sz w:val="20"/>
          <w:szCs w:val="20"/>
          <w:lang w:val="es-CO"/>
        </w:rPr>
      </w:pPr>
      <w:r w:rsidRPr="00C23017">
        <w:rPr>
          <w:rFonts w:ascii="Arial" w:hAnsi="Arial" w:cs="Arial"/>
          <w:b/>
          <w:bCs/>
          <w:sz w:val="20"/>
          <w:szCs w:val="20"/>
          <w:lang w:val="es-CO"/>
        </w:rPr>
        <w:t xml:space="preserve">PARTIDAS </w:t>
      </w:r>
      <w:proofErr w:type="gramStart"/>
      <w:r w:rsidRPr="00C23017">
        <w:rPr>
          <w:rFonts w:ascii="Arial" w:hAnsi="Arial" w:cs="Arial"/>
          <w:b/>
          <w:bCs/>
          <w:sz w:val="20"/>
          <w:szCs w:val="20"/>
          <w:lang w:val="es-CO"/>
        </w:rPr>
        <w:t>A</w:t>
      </w:r>
      <w:proofErr w:type="gramEnd"/>
      <w:r w:rsidRPr="00C23017">
        <w:rPr>
          <w:rFonts w:ascii="Arial" w:hAnsi="Arial" w:cs="Arial"/>
          <w:b/>
          <w:bCs/>
          <w:sz w:val="20"/>
          <w:szCs w:val="20"/>
          <w:lang w:val="es-CO"/>
        </w:rPr>
        <w:t xml:space="preserve"> TENER EN CUENTA</w:t>
      </w:r>
    </w:p>
    <w:p w14:paraId="188543EA" w14:textId="4B8B157D" w:rsidR="00FC7D5E" w:rsidRDefault="00FC7D5E" w:rsidP="00981918">
      <w:pPr>
        <w:autoSpaceDE w:val="0"/>
        <w:autoSpaceDN w:val="0"/>
        <w:adjustRightInd w:val="0"/>
        <w:spacing w:after="0" w:line="240" w:lineRule="auto"/>
        <w:jc w:val="center"/>
        <w:rPr>
          <w:rFonts w:ascii="Arial" w:hAnsi="Arial" w:cs="Arial"/>
          <w:b/>
          <w:bCs/>
          <w:color w:val="4A4A49"/>
          <w:sz w:val="20"/>
          <w:szCs w:val="20"/>
          <w:lang w:val="es-CO"/>
        </w:rPr>
      </w:pPr>
    </w:p>
    <w:p w14:paraId="31C44011" w14:textId="50DA95FB" w:rsidR="00FC7D5E" w:rsidRDefault="00FC7D5E" w:rsidP="00981918">
      <w:pPr>
        <w:autoSpaceDE w:val="0"/>
        <w:autoSpaceDN w:val="0"/>
        <w:adjustRightInd w:val="0"/>
        <w:spacing w:after="0" w:line="240" w:lineRule="auto"/>
        <w:jc w:val="center"/>
        <w:rPr>
          <w:rFonts w:ascii="Arial" w:hAnsi="Arial" w:cs="Arial"/>
          <w:b/>
          <w:bCs/>
          <w:color w:val="4A4A49"/>
          <w:sz w:val="20"/>
          <w:szCs w:val="20"/>
          <w:lang w:val="es-CO"/>
        </w:rPr>
      </w:pPr>
    </w:p>
    <w:tbl>
      <w:tblPr>
        <w:tblW w:w="0" w:type="auto"/>
        <w:tblBorders>
          <w:top w:val="nil"/>
          <w:left w:val="nil"/>
          <w:bottom w:val="nil"/>
          <w:right w:val="nil"/>
        </w:tblBorders>
        <w:tblLayout w:type="fixed"/>
        <w:tblLook w:val="0000" w:firstRow="0" w:lastRow="0" w:firstColumn="0" w:lastColumn="0" w:noHBand="0" w:noVBand="0"/>
      </w:tblPr>
      <w:tblGrid>
        <w:gridCol w:w="959"/>
        <w:gridCol w:w="7555"/>
      </w:tblGrid>
      <w:tr w:rsidR="00FC7D5E" w:rsidRPr="002A43E9" w14:paraId="33B04ADF" w14:textId="77777777" w:rsidTr="00D17637">
        <w:trPr>
          <w:trHeight w:val="483"/>
        </w:trPr>
        <w:tc>
          <w:tcPr>
            <w:tcW w:w="959" w:type="dxa"/>
          </w:tcPr>
          <w:p w14:paraId="0031556B" w14:textId="77777777" w:rsidR="00FC7D5E" w:rsidRPr="00981918" w:rsidRDefault="00FC7D5E" w:rsidP="00D17637">
            <w:pPr>
              <w:pStyle w:val="Default"/>
              <w:rPr>
                <w:sz w:val="20"/>
                <w:szCs w:val="20"/>
              </w:rPr>
            </w:pPr>
            <w:r w:rsidRPr="00981918">
              <w:rPr>
                <w:b/>
                <w:bCs/>
                <w:sz w:val="20"/>
                <w:szCs w:val="20"/>
              </w:rPr>
              <w:t xml:space="preserve">39.13 </w:t>
            </w:r>
          </w:p>
        </w:tc>
        <w:tc>
          <w:tcPr>
            <w:tcW w:w="7555" w:type="dxa"/>
          </w:tcPr>
          <w:p w14:paraId="7FA68E5C" w14:textId="77777777" w:rsidR="00FC7D5E" w:rsidRPr="00981918" w:rsidRDefault="00FC7D5E" w:rsidP="00D17637">
            <w:pPr>
              <w:pStyle w:val="Default"/>
              <w:jc w:val="both"/>
              <w:rPr>
                <w:sz w:val="20"/>
                <w:szCs w:val="20"/>
              </w:rPr>
            </w:pPr>
            <w:r w:rsidRPr="00981918">
              <w:rPr>
                <w:b/>
                <w:bCs/>
                <w:sz w:val="20"/>
                <w:szCs w:val="20"/>
              </w:rPr>
              <w:t xml:space="preserve">Polímeros naturales (por ejemplo: ácido </w:t>
            </w:r>
            <w:proofErr w:type="spellStart"/>
            <w:r w:rsidRPr="00981918">
              <w:rPr>
                <w:b/>
                <w:bCs/>
                <w:sz w:val="20"/>
                <w:szCs w:val="20"/>
              </w:rPr>
              <w:t>algínico</w:t>
            </w:r>
            <w:proofErr w:type="spellEnd"/>
            <w:r w:rsidRPr="00981918">
              <w:rPr>
                <w:b/>
                <w:bCs/>
                <w:sz w:val="20"/>
                <w:szCs w:val="20"/>
              </w:rPr>
              <w:t xml:space="preserve">) y polímeros naturales modificados (por ejemplo: proteínas endurecidas, derivados químicos del caucho natural), no expresados ni comprendidos en otra parte, en formas primarias. </w:t>
            </w:r>
          </w:p>
        </w:tc>
      </w:tr>
    </w:tbl>
    <w:p w14:paraId="0D352102" w14:textId="77777777" w:rsidR="00FC7D5E" w:rsidRPr="00981918" w:rsidRDefault="00FC7D5E" w:rsidP="00FC7D5E">
      <w:pPr>
        <w:shd w:val="clear" w:color="auto" w:fill="FFFFFF"/>
        <w:spacing w:line="240" w:lineRule="auto"/>
        <w:jc w:val="both"/>
        <w:rPr>
          <w:rFonts w:ascii="Arial" w:eastAsia="Times New Roman" w:hAnsi="Arial" w:cs="Arial"/>
          <w:b/>
          <w:bCs/>
          <w:noProof/>
          <w:color w:val="1F3864" w:themeColor="accent1" w:themeShade="80"/>
          <w:sz w:val="20"/>
          <w:szCs w:val="20"/>
          <w:lang w:val="es-CO"/>
        </w:rPr>
      </w:pPr>
    </w:p>
    <w:p w14:paraId="4A4014F4" w14:textId="77777777" w:rsidR="00FC7D5E" w:rsidRPr="00981918" w:rsidRDefault="00FC7D5E" w:rsidP="00FC7D5E">
      <w:pPr>
        <w:autoSpaceDE w:val="0"/>
        <w:autoSpaceDN w:val="0"/>
        <w:adjustRightInd w:val="0"/>
        <w:spacing w:after="0" w:line="240" w:lineRule="auto"/>
        <w:jc w:val="both"/>
        <w:rPr>
          <w:rFonts w:ascii="Arial" w:eastAsia="Times New Roman" w:hAnsi="Arial" w:cs="Arial"/>
          <w:b/>
          <w:bCs/>
          <w:noProof/>
          <w:color w:val="1F3864" w:themeColor="accent1" w:themeShade="80"/>
          <w:sz w:val="20"/>
          <w:szCs w:val="20"/>
          <w:lang w:val="es-CO"/>
        </w:rPr>
      </w:pPr>
      <w:r w:rsidRPr="00981918">
        <w:rPr>
          <w:rFonts w:ascii="Arial" w:eastAsia="Times New Roman" w:hAnsi="Arial" w:cs="Arial"/>
          <w:b/>
          <w:bCs/>
          <w:noProof/>
          <w:color w:val="1F3864" w:themeColor="accent1" w:themeShade="80"/>
          <w:sz w:val="20"/>
          <w:szCs w:val="20"/>
          <w:lang w:val="es-CO"/>
        </w:rPr>
        <w:t>NOTAS EXPLICATIVAS</w:t>
      </w:r>
    </w:p>
    <w:p w14:paraId="1770BC92" w14:textId="77777777" w:rsidR="00FC7D5E" w:rsidRPr="00981918" w:rsidRDefault="00FC7D5E" w:rsidP="00FC7D5E">
      <w:pPr>
        <w:autoSpaceDE w:val="0"/>
        <w:autoSpaceDN w:val="0"/>
        <w:adjustRightInd w:val="0"/>
        <w:spacing w:after="0" w:line="240" w:lineRule="auto"/>
        <w:jc w:val="both"/>
        <w:rPr>
          <w:rFonts w:ascii="Arial" w:hAnsi="Arial" w:cs="Arial"/>
          <w:color w:val="1F3864" w:themeColor="accent1" w:themeShade="80"/>
          <w:sz w:val="20"/>
          <w:szCs w:val="20"/>
          <w:lang w:val="es-CO"/>
        </w:rPr>
      </w:pPr>
    </w:p>
    <w:p w14:paraId="5AFEDE0A" w14:textId="77777777" w:rsidR="00FC7D5E" w:rsidRPr="00981918" w:rsidRDefault="00FC7D5E" w:rsidP="00FC7D5E">
      <w:pPr>
        <w:autoSpaceDE w:val="0"/>
        <w:autoSpaceDN w:val="0"/>
        <w:adjustRightInd w:val="0"/>
        <w:spacing w:after="0" w:line="240" w:lineRule="auto"/>
        <w:jc w:val="both"/>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Se excluyen de la partida:</w:t>
      </w:r>
    </w:p>
    <w:p w14:paraId="7E991DE4" w14:textId="77777777" w:rsidR="00FC7D5E" w:rsidRPr="00981918" w:rsidRDefault="00FC7D5E" w:rsidP="00FC7D5E">
      <w:pPr>
        <w:autoSpaceDE w:val="0"/>
        <w:autoSpaceDN w:val="0"/>
        <w:adjustRightInd w:val="0"/>
        <w:spacing w:after="0" w:line="240" w:lineRule="auto"/>
        <w:jc w:val="both"/>
        <w:rPr>
          <w:rFonts w:ascii="Arial" w:hAnsi="Arial" w:cs="Arial"/>
          <w:color w:val="1F3864" w:themeColor="accent1" w:themeShade="80"/>
          <w:sz w:val="20"/>
          <w:szCs w:val="20"/>
          <w:lang w:val="es-CO"/>
        </w:rPr>
      </w:pPr>
    </w:p>
    <w:p w14:paraId="531CA21F" w14:textId="77777777" w:rsidR="00FC7D5E" w:rsidRPr="00981918" w:rsidRDefault="00FC7D5E" w:rsidP="00FC7D5E">
      <w:pPr>
        <w:autoSpaceDE w:val="0"/>
        <w:autoSpaceDN w:val="0"/>
        <w:adjustRightInd w:val="0"/>
        <w:spacing w:after="0" w:line="240" w:lineRule="auto"/>
        <w:jc w:val="both"/>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a) Las resinas naturales sin modificar (partida 13.01);</w:t>
      </w:r>
    </w:p>
    <w:p w14:paraId="0C84677E" w14:textId="77777777" w:rsidR="00FC7D5E" w:rsidRPr="00981918" w:rsidRDefault="00FC7D5E" w:rsidP="00FC7D5E">
      <w:pPr>
        <w:autoSpaceDE w:val="0"/>
        <w:autoSpaceDN w:val="0"/>
        <w:adjustRightInd w:val="0"/>
        <w:spacing w:after="0" w:line="240" w:lineRule="auto"/>
        <w:jc w:val="both"/>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 xml:space="preserve">b) La harina de </w:t>
      </w:r>
      <w:proofErr w:type="spellStart"/>
      <w:r w:rsidRPr="00981918">
        <w:rPr>
          <w:rFonts w:ascii="Arial" w:hAnsi="Arial" w:cs="Arial"/>
          <w:color w:val="1F3864" w:themeColor="accent1" w:themeShade="80"/>
          <w:sz w:val="20"/>
          <w:szCs w:val="20"/>
          <w:lang w:val="es-CO"/>
        </w:rPr>
        <w:t>endospermios</w:t>
      </w:r>
      <w:proofErr w:type="spellEnd"/>
      <w:r w:rsidRPr="00981918">
        <w:rPr>
          <w:rFonts w:ascii="Arial" w:hAnsi="Arial" w:cs="Arial"/>
          <w:color w:val="1F3864" w:themeColor="accent1" w:themeShade="80"/>
          <w:sz w:val="20"/>
          <w:szCs w:val="20"/>
          <w:lang w:val="es-CO"/>
        </w:rPr>
        <w:t xml:space="preserve"> de semillas de algarroba (</w:t>
      </w:r>
      <w:proofErr w:type="spellStart"/>
      <w:r w:rsidRPr="00981918">
        <w:rPr>
          <w:rFonts w:ascii="Arial" w:hAnsi="Arial" w:cs="Arial"/>
          <w:color w:val="1F3864" w:themeColor="accent1" w:themeShade="80"/>
          <w:sz w:val="20"/>
          <w:szCs w:val="20"/>
          <w:lang w:val="es-CO"/>
        </w:rPr>
        <w:t>garrofin</w:t>
      </w:r>
      <w:proofErr w:type="spellEnd"/>
      <w:r w:rsidRPr="00981918">
        <w:rPr>
          <w:rFonts w:ascii="Arial" w:hAnsi="Arial" w:cs="Arial"/>
          <w:color w:val="1F3864" w:themeColor="accent1" w:themeShade="80"/>
          <w:sz w:val="20"/>
          <w:szCs w:val="20"/>
          <w:lang w:val="es-CO"/>
        </w:rPr>
        <w:t xml:space="preserve">) o de </w:t>
      </w:r>
      <w:proofErr w:type="spellStart"/>
      <w:r w:rsidRPr="00981918">
        <w:rPr>
          <w:rFonts w:ascii="Arial" w:hAnsi="Arial" w:cs="Arial"/>
          <w:color w:val="1F3864" w:themeColor="accent1" w:themeShade="80"/>
          <w:sz w:val="20"/>
          <w:szCs w:val="20"/>
          <w:lang w:val="es-CO"/>
        </w:rPr>
        <w:t>guar</w:t>
      </w:r>
      <w:proofErr w:type="spellEnd"/>
      <w:r w:rsidRPr="00981918">
        <w:rPr>
          <w:rFonts w:ascii="Arial" w:hAnsi="Arial" w:cs="Arial"/>
          <w:color w:val="1F3864" w:themeColor="accent1" w:themeShade="80"/>
          <w:sz w:val="20"/>
          <w:szCs w:val="20"/>
          <w:lang w:val="es-CO"/>
        </w:rPr>
        <w:t xml:space="preserve">, </w:t>
      </w:r>
      <w:proofErr w:type="spellStart"/>
      <w:r w:rsidRPr="00981918">
        <w:rPr>
          <w:rFonts w:ascii="Arial" w:hAnsi="Arial" w:cs="Arial"/>
          <w:color w:val="1F3864" w:themeColor="accent1" w:themeShade="80"/>
          <w:sz w:val="20"/>
          <w:szCs w:val="20"/>
          <w:lang w:val="es-CO"/>
        </w:rPr>
        <w:t>eterificadas</w:t>
      </w:r>
      <w:proofErr w:type="spellEnd"/>
      <w:r w:rsidRPr="00981918">
        <w:rPr>
          <w:rFonts w:ascii="Arial" w:hAnsi="Arial" w:cs="Arial"/>
          <w:color w:val="1F3864" w:themeColor="accent1" w:themeShade="80"/>
          <w:sz w:val="20"/>
          <w:szCs w:val="20"/>
          <w:lang w:val="es-CO"/>
        </w:rPr>
        <w:t xml:space="preserve"> o esterificadas (partida 13.02);</w:t>
      </w:r>
    </w:p>
    <w:p w14:paraId="4E82F349" w14:textId="77777777" w:rsidR="00FC7D5E" w:rsidRPr="00981918" w:rsidRDefault="00FC7D5E" w:rsidP="00FC7D5E">
      <w:pPr>
        <w:autoSpaceDE w:val="0"/>
        <w:autoSpaceDN w:val="0"/>
        <w:adjustRightInd w:val="0"/>
        <w:spacing w:after="0" w:line="240" w:lineRule="auto"/>
        <w:jc w:val="both"/>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 xml:space="preserve">c) La </w:t>
      </w:r>
      <w:proofErr w:type="spellStart"/>
      <w:r w:rsidRPr="00981918">
        <w:rPr>
          <w:rFonts w:ascii="Arial" w:hAnsi="Arial" w:cs="Arial"/>
          <w:color w:val="1F3864" w:themeColor="accent1" w:themeShade="80"/>
          <w:sz w:val="20"/>
          <w:szCs w:val="20"/>
          <w:lang w:val="es-CO"/>
        </w:rPr>
        <w:t>linoxina</w:t>
      </w:r>
      <w:proofErr w:type="spellEnd"/>
      <w:r w:rsidRPr="00981918">
        <w:rPr>
          <w:rFonts w:ascii="Arial" w:hAnsi="Arial" w:cs="Arial"/>
          <w:color w:val="1F3864" w:themeColor="accent1" w:themeShade="80"/>
          <w:sz w:val="20"/>
          <w:szCs w:val="20"/>
          <w:lang w:val="es-CO"/>
        </w:rPr>
        <w:t xml:space="preserve"> (partida 15.18);</w:t>
      </w:r>
    </w:p>
    <w:p w14:paraId="10BC1F4C" w14:textId="39557E79" w:rsidR="00FC7D5E" w:rsidRPr="00FD79B6" w:rsidRDefault="00FC7D5E" w:rsidP="00FC7D5E">
      <w:pPr>
        <w:shd w:val="clear" w:color="auto" w:fill="FFFFFF"/>
        <w:spacing w:line="240" w:lineRule="auto"/>
        <w:jc w:val="both"/>
        <w:rPr>
          <w:rFonts w:ascii="Arial" w:hAnsi="Arial" w:cs="Arial"/>
          <w:b/>
          <w:bCs/>
          <w:color w:val="1F3864" w:themeColor="accent1" w:themeShade="80"/>
          <w:sz w:val="20"/>
          <w:szCs w:val="20"/>
          <w:lang w:val="es-CO"/>
        </w:rPr>
      </w:pPr>
      <w:r w:rsidRPr="00FD79B6">
        <w:rPr>
          <w:rFonts w:ascii="Arial" w:hAnsi="Arial" w:cs="Arial"/>
          <w:b/>
          <w:bCs/>
          <w:color w:val="1F3864" w:themeColor="accent1" w:themeShade="80"/>
          <w:sz w:val="20"/>
          <w:szCs w:val="20"/>
          <w:lang w:val="es-CO"/>
        </w:rPr>
        <w:t>d) La heparina (partida 30.01);</w:t>
      </w:r>
    </w:p>
    <w:p w14:paraId="1FE1B1EA" w14:textId="11B3FDDB" w:rsidR="00FC7D5E" w:rsidRPr="004971D4" w:rsidRDefault="00FC7D5E" w:rsidP="00FC7D5E">
      <w:pPr>
        <w:shd w:val="clear" w:color="auto" w:fill="FFFFFF"/>
        <w:spacing w:line="240" w:lineRule="auto"/>
        <w:jc w:val="both"/>
        <w:rPr>
          <w:rFonts w:ascii="Arial" w:hAnsi="Arial" w:cs="Arial"/>
          <w:sz w:val="20"/>
          <w:szCs w:val="20"/>
          <w:lang w:val="es-CO"/>
        </w:rPr>
      </w:pPr>
      <w:r w:rsidRPr="004971D4">
        <w:rPr>
          <w:rFonts w:ascii="Arial" w:hAnsi="Arial" w:cs="Arial"/>
          <w:sz w:val="20"/>
          <w:szCs w:val="20"/>
          <w:lang w:val="es-CO"/>
        </w:rPr>
        <w:t>Como polímero natural, la heparina se excluye de la partida 39.13 y se remite a la partida 30.01</w:t>
      </w:r>
    </w:p>
    <w:p w14:paraId="6CB894CC" w14:textId="136F4831" w:rsidR="00FC7D5E" w:rsidRDefault="00FC7D5E" w:rsidP="00981918">
      <w:pPr>
        <w:autoSpaceDE w:val="0"/>
        <w:autoSpaceDN w:val="0"/>
        <w:adjustRightInd w:val="0"/>
        <w:spacing w:after="0" w:line="240" w:lineRule="auto"/>
        <w:jc w:val="center"/>
        <w:rPr>
          <w:rFonts w:ascii="Arial" w:hAnsi="Arial" w:cs="Arial"/>
          <w:b/>
          <w:bCs/>
          <w:color w:val="4A4A49"/>
          <w:sz w:val="20"/>
          <w:szCs w:val="20"/>
          <w:lang w:val="es-CO"/>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817"/>
        <w:gridCol w:w="7697"/>
      </w:tblGrid>
      <w:tr w:rsidR="00FC7D5E" w:rsidRPr="002A43E9" w14:paraId="2F9C0487" w14:textId="77777777" w:rsidTr="00FC7D5E">
        <w:trPr>
          <w:trHeight w:val="735"/>
        </w:trPr>
        <w:tc>
          <w:tcPr>
            <w:tcW w:w="817" w:type="dxa"/>
          </w:tcPr>
          <w:p w14:paraId="63991A62" w14:textId="77777777" w:rsidR="00FC7D5E" w:rsidRPr="00FC7D5E" w:rsidRDefault="00FC7D5E" w:rsidP="00FC7D5E">
            <w:pPr>
              <w:autoSpaceDE w:val="0"/>
              <w:autoSpaceDN w:val="0"/>
              <w:adjustRightInd w:val="0"/>
              <w:spacing w:after="0" w:line="240" w:lineRule="auto"/>
              <w:rPr>
                <w:rFonts w:ascii="Arial" w:hAnsi="Arial" w:cs="Arial"/>
                <w:color w:val="000000"/>
                <w:sz w:val="20"/>
                <w:szCs w:val="20"/>
                <w:lang w:val="es-CO"/>
              </w:rPr>
            </w:pPr>
            <w:r w:rsidRPr="00FC7D5E">
              <w:rPr>
                <w:rFonts w:ascii="Arial" w:hAnsi="Arial" w:cs="Arial"/>
                <w:b/>
                <w:bCs/>
                <w:color w:val="000000"/>
                <w:sz w:val="20"/>
                <w:szCs w:val="20"/>
                <w:lang w:val="es-CO"/>
              </w:rPr>
              <w:t xml:space="preserve">30.01 </w:t>
            </w:r>
          </w:p>
        </w:tc>
        <w:tc>
          <w:tcPr>
            <w:tcW w:w="7697" w:type="dxa"/>
          </w:tcPr>
          <w:p w14:paraId="03961478" w14:textId="77777777" w:rsidR="00FC7D5E" w:rsidRPr="00FC7D5E" w:rsidRDefault="00FC7D5E" w:rsidP="00FC7D5E">
            <w:pPr>
              <w:autoSpaceDE w:val="0"/>
              <w:autoSpaceDN w:val="0"/>
              <w:adjustRightInd w:val="0"/>
              <w:spacing w:after="0" w:line="240" w:lineRule="auto"/>
              <w:jc w:val="both"/>
              <w:rPr>
                <w:rFonts w:ascii="Arial" w:hAnsi="Arial" w:cs="Arial"/>
                <w:color w:val="000000"/>
                <w:sz w:val="20"/>
                <w:szCs w:val="20"/>
                <w:lang w:val="es-CO"/>
              </w:rPr>
            </w:pPr>
            <w:r w:rsidRPr="00FC7D5E">
              <w:rPr>
                <w:rFonts w:ascii="Arial" w:hAnsi="Arial" w:cs="Arial"/>
                <w:b/>
                <w:bCs/>
                <w:color w:val="000000"/>
                <w:sz w:val="20"/>
                <w:szCs w:val="20"/>
                <w:lang w:val="es-CO"/>
              </w:rPr>
              <w:t xml:space="preserve">Glándulas y demás órganos para usos opoterápicos, desecados, incluso pulverizados; extractos de glándulas o de otros órganos o de sus secreciones, para usos opoterápicos; heparina y sus sales; las demás sustancias humanas o animales preparadas para usos terapéuticos o profilácticos, no expresadas ni comprendidas en otra parte. </w:t>
            </w:r>
          </w:p>
        </w:tc>
      </w:tr>
    </w:tbl>
    <w:p w14:paraId="2F31384C" w14:textId="77777777" w:rsidR="00FC7D5E" w:rsidRPr="00981918" w:rsidRDefault="00FC7D5E" w:rsidP="00FC7D5E">
      <w:pPr>
        <w:autoSpaceDE w:val="0"/>
        <w:autoSpaceDN w:val="0"/>
        <w:adjustRightInd w:val="0"/>
        <w:spacing w:after="0" w:line="240" w:lineRule="auto"/>
        <w:rPr>
          <w:rFonts w:ascii="Arial" w:hAnsi="Arial" w:cs="Arial"/>
          <w:b/>
          <w:bCs/>
          <w:color w:val="4A4A49"/>
          <w:sz w:val="20"/>
          <w:szCs w:val="20"/>
          <w:lang w:val="es-CO"/>
        </w:rPr>
      </w:pPr>
    </w:p>
    <w:p w14:paraId="3B11047D" w14:textId="77777777" w:rsidR="004971D4" w:rsidRDefault="004971D4" w:rsidP="00FC7D5E">
      <w:pPr>
        <w:shd w:val="clear" w:color="auto" w:fill="FFFFFF"/>
        <w:spacing w:line="240" w:lineRule="auto"/>
        <w:jc w:val="both"/>
        <w:rPr>
          <w:rFonts w:ascii="Arial" w:eastAsia="Times New Roman" w:hAnsi="Arial" w:cs="Arial"/>
          <w:b/>
          <w:bCs/>
          <w:noProof/>
          <w:color w:val="1F3864" w:themeColor="accent1" w:themeShade="80"/>
          <w:sz w:val="20"/>
          <w:szCs w:val="20"/>
          <w:lang w:val="es-CO"/>
        </w:rPr>
      </w:pPr>
    </w:p>
    <w:p w14:paraId="713DE037" w14:textId="09130E1C" w:rsidR="00FC7D5E" w:rsidRPr="00981918" w:rsidRDefault="00FC7D5E" w:rsidP="00FC7D5E">
      <w:pPr>
        <w:shd w:val="clear" w:color="auto" w:fill="FFFFFF"/>
        <w:spacing w:line="240" w:lineRule="auto"/>
        <w:jc w:val="both"/>
        <w:rPr>
          <w:rFonts w:ascii="Arial" w:eastAsia="Times New Roman" w:hAnsi="Arial" w:cs="Arial"/>
          <w:b/>
          <w:bCs/>
          <w:noProof/>
          <w:color w:val="1F3864" w:themeColor="accent1" w:themeShade="80"/>
          <w:sz w:val="20"/>
          <w:szCs w:val="20"/>
          <w:lang w:val="es-CO"/>
        </w:rPr>
      </w:pPr>
      <w:r w:rsidRPr="00981918">
        <w:rPr>
          <w:rFonts w:ascii="Arial" w:eastAsia="Times New Roman" w:hAnsi="Arial" w:cs="Arial"/>
          <w:b/>
          <w:bCs/>
          <w:noProof/>
          <w:color w:val="1F3864" w:themeColor="accent1" w:themeShade="80"/>
          <w:sz w:val="20"/>
          <w:szCs w:val="20"/>
          <w:lang w:val="es-CO"/>
        </w:rPr>
        <w:t>NOTAS EXPLICATIVAS</w:t>
      </w:r>
    </w:p>
    <w:p w14:paraId="6DCF85C1" w14:textId="77777777" w:rsidR="00FC7D5E" w:rsidRPr="00981918" w:rsidRDefault="00FC7D5E" w:rsidP="00FC7D5E">
      <w:pPr>
        <w:shd w:val="clear" w:color="auto" w:fill="FFFFFF"/>
        <w:spacing w:line="240" w:lineRule="auto"/>
        <w:jc w:val="both"/>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Esta partida comprende:</w:t>
      </w:r>
    </w:p>
    <w:p w14:paraId="4D4B2CFB" w14:textId="77777777" w:rsidR="00FC7D5E" w:rsidRPr="00981918" w:rsidRDefault="00FC7D5E" w:rsidP="00FC7D5E">
      <w:pPr>
        <w:autoSpaceDE w:val="0"/>
        <w:autoSpaceDN w:val="0"/>
        <w:adjustRightInd w:val="0"/>
        <w:spacing w:after="0" w:line="240" w:lineRule="auto"/>
        <w:jc w:val="both"/>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C) La heparina y sus sales. La heparina consiste en una mezcla de ácidos orgánicos complejos (mucopolisacáridos) procedentes de los tejidos de mamíferos. Su composición varía según el origen de los tejidos. La heparina y sus sales se utilizan principalmente en medicina, sobre todo como anticoagulantes. Se clasifican en esta partida cualquiera sea su grado de actividad.</w:t>
      </w:r>
    </w:p>
    <w:p w14:paraId="58097A5D" w14:textId="77777777" w:rsidR="00FC7D5E" w:rsidRPr="00981918" w:rsidRDefault="00FC7D5E" w:rsidP="00FC7D5E">
      <w:pPr>
        <w:autoSpaceDE w:val="0"/>
        <w:autoSpaceDN w:val="0"/>
        <w:adjustRightInd w:val="0"/>
        <w:spacing w:after="0" w:line="240" w:lineRule="auto"/>
        <w:rPr>
          <w:rFonts w:ascii="Arial" w:hAnsi="Arial" w:cs="Arial"/>
          <w:color w:val="1F3864" w:themeColor="accent1" w:themeShade="80"/>
          <w:sz w:val="20"/>
          <w:szCs w:val="20"/>
          <w:lang w:val="es-CO"/>
        </w:rPr>
      </w:pPr>
    </w:p>
    <w:p w14:paraId="7EA8322D" w14:textId="77777777" w:rsidR="00FC7D5E" w:rsidRPr="00981918" w:rsidRDefault="00FC7D5E" w:rsidP="00FC7D5E">
      <w:pPr>
        <w:autoSpaceDE w:val="0"/>
        <w:autoSpaceDN w:val="0"/>
        <w:adjustRightInd w:val="0"/>
        <w:spacing w:after="0" w:line="240" w:lineRule="auto"/>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Se excluyen de esta partida:</w:t>
      </w:r>
    </w:p>
    <w:p w14:paraId="1599D3DF" w14:textId="77777777" w:rsidR="00FC7D5E" w:rsidRPr="00981918" w:rsidRDefault="00FC7D5E" w:rsidP="00FC7D5E">
      <w:pPr>
        <w:autoSpaceDE w:val="0"/>
        <w:autoSpaceDN w:val="0"/>
        <w:adjustRightInd w:val="0"/>
        <w:spacing w:after="0" w:line="240" w:lineRule="auto"/>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w:t>
      </w:r>
    </w:p>
    <w:p w14:paraId="4961DEAA" w14:textId="77777777" w:rsidR="00FC7D5E" w:rsidRPr="00981918" w:rsidRDefault="00FC7D5E" w:rsidP="00FC7D5E">
      <w:pPr>
        <w:autoSpaceDE w:val="0"/>
        <w:autoSpaceDN w:val="0"/>
        <w:adjustRightInd w:val="0"/>
        <w:spacing w:after="0" w:line="240" w:lineRule="auto"/>
        <w:rPr>
          <w:rFonts w:ascii="Arial" w:hAnsi="Arial" w:cs="Arial"/>
          <w:color w:val="1F3864" w:themeColor="accent1" w:themeShade="80"/>
          <w:sz w:val="20"/>
          <w:szCs w:val="20"/>
          <w:lang w:val="es-CO"/>
        </w:rPr>
      </w:pPr>
    </w:p>
    <w:p w14:paraId="4AA7F2A1" w14:textId="77777777" w:rsidR="00FC7D5E" w:rsidRPr="00981918" w:rsidRDefault="00FC7D5E" w:rsidP="00FA7C37">
      <w:pPr>
        <w:autoSpaceDE w:val="0"/>
        <w:autoSpaceDN w:val="0"/>
        <w:adjustRightInd w:val="0"/>
        <w:spacing w:after="0" w:line="240" w:lineRule="auto"/>
        <w:jc w:val="both"/>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 xml:space="preserve">e) Los productos </w:t>
      </w:r>
      <w:r w:rsidRPr="00981918">
        <w:rPr>
          <w:rFonts w:ascii="Arial" w:hAnsi="Arial" w:cs="Arial"/>
          <w:b/>
          <w:bCs/>
          <w:i/>
          <w:iCs/>
          <w:color w:val="1F3864" w:themeColor="accent1" w:themeShade="80"/>
          <w:sz w:val="20"/>
          <w:szCs w:val="20"/>
          <w:lang w:val="es-CO"/>
        </w:rPr>
        <w:t>que tengan el carácter de medicamentos de las partidas 30.03 o 30.04</w:t>
      </w:r>
      <w:r w:rsidRPr="00981918">
        <w:rPr>
          <w:rFonts w:ascii="Arial" w:hAnsi="Arial" w:cs="Arial"/>
          <w:color w:val="1F3864" w:themeColor="accent1" w:themeShade="80"/>
          <w:sz w:val="20"/>
          <w:szCs w:val="20"/>
          <w:lang w:val="es-CO"/>
        </w:rPr>
        <w:t xml:space="preserve"> (véanse las Notas Explicativas de estas partidas).</w:t>
      </w:r>
    </w:p>
    <w:p w14:paraId="2813E048" w14:textId="12BACC64" w:rsidR="00FC7D5E" w:rsidRDefault="00FC7D5E" w:rsidP="00FA7C37">
      <w:pPr>
        <w:shd w:val="clear" w:color="auto" w:fill="FFFFFF"/>
        <w:spacing w:line="240" w:lineRule="auto"/>
        <w:jc w:val="both"/>
        <w:rPr>
          <w:rFonts w:ascii="Arial" w:eastAsia="Times New Roman" w:hAnsi="Arial" w:cs="Arial"/>
          <w:noProof/>
          <w:color w:val="000000"/>
          <w:sz w:val="20"/>
          <w:szCs w:val="20"/>
          <w:lang w:val="es-CO"/>
        </w:rPr>
      </w:pPr>
    </w:p>
    <w:p w14:paraId="233FCA15" w14:textId="52CB00DE" w:rsidR="00FC7D5E" w:rsidRDefault="00172A1F" w:rsidP="00FC7D5E">
      <w:pPr>
        <w:shd w:val="clear" w:color="auto" w:fill="FFFFFF"/>
        <w:spacing w:line="240" w:lineRule="auto"/>
        <w:jc w:val="both"/>
        <w:rPr>
          <w:rFonts w:ascii="Arial" w:eastAsia="Times New Roman" w:hAnsi="Arial" w:cs="Arial"/>
          <w:noProof/>
          <w:color w:val="000000"/>
          <w:sz w:val="20"/>
          <w:szCs w:val="20"/>
          <w:lang w:val="es-CO"/>
        </w:rPr>
      </w:pPr>
      <w:r>
        <w:rPr>
          <w:rFonts w:ascii="Arial" w:eastAsia="Times New Roman" w:hAnsi="Arial" w:cs="Arial"/>
          <w:noProof/>
          <w:color w:val="000000"/>
          <w:sz w:val="20"/>
          <w:szCs w:val="20"/>
          <w:lang w:val="es-CO"/>
        </w:rPr>
        <w:t>Según las Notas explicativas, e</w:t>
      </w:r>
      <w:r w:rsidR="00C40E6E">
        <w:rPr>
          <w:rFonts w:ascii="Arial" w:eastAsia="Times New Roman" w:hAnsi="Arial" w:cs="Arial"/>
          <w:noProof/>
          <w:color w:val="000000"/>
          <w:sz w:val="20"/>
          <w:szCs w:val="20"/>
          <w:lang w:val="es-CO"/>
        </w:rPr>
        <w:t>l texto de partida</w:t>
      </w:r>
      <w:r w:rsidR="00995660">
        <w:rPr>
          <w:rFonts w:ascii="Arial" w:eastAsia="Times New Roman" w:hAnsi="Arial" w:cs="Arial"/>
          <w:noProof/>
          <w:color w:val="000000"/>
          <w:sz w:val="20"/>
          <w:szCs w:val="20"/>
          <w:lang w:val="es-CO"/>
        </w:rPr>
        <w:t xml:space="preserve"> 30.01</w:t>
      </w:r>
      <w:r w:rsidR="00C40E6E">
        <w:rPr>
          <w:rFonts w:ascii="Arial" w:eastAsia="Times New Roman" w:hAnsi="Arial" w:cs="Arial"/>
          <w:noProof/>
          <w:color w:val="000000"/>
          <w:sz w:val="20"/>
          <w:szCs w:val="20"/>
          <w:lang w:val="es-CO"/>
        </w:rPr>
        <w:t xml:space="preserve"> comprende heparinas de diferentes grados de actividad</w:t>
      </w:r>
      <w:r w:rsidR="00753D79">
        <w:rPr>
          <w:rFonts w:ascii="Arial" w:eastAsia="Times New Roman" w:hAnsi="Arial" w:cs="Arial"/>
          <w:noProof/>
          <w:color w:val="000000"/>
          <w:sz w:val="20"/>
          <w:szCs w:val="20"/>
          <w:lang w:val="es-CO"/>
        </w:rPr>
        <w:t>,</w:t>
      </w:r>
      <w:r w:rsidR="00C40E6E">
        <w:rPr>
          <w:rFonts w:ascii="Arial" w:eastAsia="Times New Roman" w:hAnsi="Arial" w:cs="Arial"/>
          <w:noProof/>
          <w:color w:val="000000"/>
          <w:sz w:val="20"/>
          <w:szCs w:val="20"/>
          <w:lang w:val="es-CO"/>
        </w:rPr>
        <w:t xml:space="preserve"> </w:t>
      </w:r>
      <w:r w:rsidR="00F717B7">
        <w:rPr>
          <w:rFonts w:ascii="Arial" w:eastAsia="Times New Roman" w:hAnsi="Arial" w:cs="Arial"/>
          <w:noProof/>
          <w:color w:val="000000"/>
          <w:sz w:val="20"/>
          <w:szCs w:val="20"/>
          <w:lang w:val="es-CO"/>
        </w:rPr>
        <w:t xml:space="preserve">en farmacología la </w:t>
      </w:r>
      <w:r w:rsidR="00B11D72">
        <w:rPr>
          <w:rFonts w:ascii="Arial" w:eastAsia="Times New Roman" w:hAnsi="Arial" w:cs="Arial"/>
          <w:noProof/>
          <w:color w:val="000000"/>
          <w:sz w:val="20"/>
          <w:szCs w:val="20"/>
          <w:lang w:val="es-CO"/>
        </w:rPr>
        <w:t>actividad</w:t>
      </w:r>
      <w:r w:rsidR="00BA1ADA">
        <w:rPr>
          <w:rFonts w:ascii="Arial" w:eastAsia="Times New Roman" w:hAnsi="Arial" w:cs="Arial"/>
          <w:noProof/>
          <w:color w:val="000000"/>
          <w:sz w:val="20"/>
          <w:szCs w:val="20"/>
          <w:lang w:val="es-CO"/>
        </w:rPr>
        <w:t xml:space="preserve"> de los principios activo</w:t>
      </w:r>
      <w:r w:rsidR="00B11D72">
        <w:rPr>
          <w:rFonts w:ascii="Arial" w:eastAsia="Times New Roman" w:hAnsi="Arial" w:cs="Arial"/>
          <w:noProof/>
          <w:color w:val="000000"/>
          <w:sz w:val="20"/>
          <w:szCs w:val="20"/>
          <w:lang w:val="es-CO"/>
        </w:rPr>
        <w:t xml:space="preserve"> se mide en unidades internacionales</w:t>
      </w:r>
      <w:r w:rsidR="0018548C">
        <w:rPr>
          <w:rFonts w:ascii="Arial" w:eastAsia="Times New Roman" w:hAnsi="Arial" w:cs="Arial"/>
          <w:noProof/>
          <w:color w:val="000000"/>
          <w:sz w:val="20"/>
          <w:szCs w:val="20"/>
          <w:lang w:val="es-CO"/>
        </w:rPr>
        <w:t xml:space="preserve"> (UI)</w:t>
      </w:r>
      <w:r w:rsidR="00B11D72">
        <w:rPr>
          <w:rFonts w:ascii="Arial" w:eastAsia="Times New Roman" w:hAnsi="Arial" w:cs="Arial"/>
          <w:noProof/>
          <w:color w:val="000000"/>
          <w:sz w:val="20"/>
          <w:szCs w:val="20"/>
          <w:lang w:val="es-CO"/>
        </w:rPr>
        <w:t>:</w:t>
      </w:r>
    </w:p>
    <w:p w14:paraId="5E85D627" w14:textId="4F7574BA" w:rsidR="00B11D72" w:rsidRDefault="00B11D72" w:rsidP="00FC7D5E">
      <w:pPr>
        <w:shd w:val="clear" w:color="auto" w:fill="FFFFFF"/>
        <w:spacing w:line="240" w:lineRule="auto"/>
        <w:jc w:val="both"/>
        <w:rPr>
          <w:rFonts w:ascii="Arial" w:eastAsia="Times New Roman" w:hAnsi="Arial" w:cs="Arial"/>
          <w:noProof/>
          <w:color w:val="000000"/>
          <w:sz w:val="20"/>
          <w:szCs w:val="20"/>
          <w:lang w:val="es-CO"/>
        </w:rPr>
      </w:pPr>
    </w:p>
    <w:p w14:paraId="680BE640" w14:textId="2B8D078F" w:rsidR="00B11D72" w:rsidRDefault="00B11D72" w:rsidP="00FC7D5E">
      <w:pPr>
        <w:shd w:val="clear" w:color="auto" w:fill="FFFFFF"/>
        <w:spacing w:line="240" w:lineRule="auto"/>
        <w:jc w:val="both"/>
        <w:rPr>
          <w:rFonts w:ascii="Arial" w:eastAsia="Times New Roman" w:hAnsi="Arial" w:cs="Arial"/>
          <w:noProof/>
          <w:color w:val="000000"/>
          <w:sz w:val="20"/>
          <w:szCs w:val="20"/>
          <w:lang w:val="es-CO"/>
        </w:rPr>
      </w:pPr>
    </w:p>
    <w:p w14:paraId="4B4C6FB4" w14:textId="121A8E95" w:rsidR="001C2137" w:rsidRDefault="00223FB2" w:rsidP="00FC7D5E">
      <w:pPr>
        <w:shd w:val="clear" w:color="auto" w:fill="FFFFFF"/>
        <w:spacing w:line="240" w:lineRule="auto"/>
        <w:jc w:val="both"/>
        <w:rPr>
          <w:rFonts w:ascii="Arial" w:eastAsia="Times New Roman" w:hAnsi="Arial" w:cs="Arial"/>
          <w:noProof/>
          <w:color w:val="000000"/>
          <w:sz w:val="20"/>
          <w:szCs w:val="20"/>
          <w:lang w:val="es-CO"/>
        </w:rPr>
      </w:pPr>
      <w:r w:rsidRPr="00636C4A">
        <w:rPr>
          <w:rFonts w:ascii="Arial" w:eastAsia="Times New Roman" w:hAnsi="Arial" w:cs="Arial"/>
          <w:i/>
          <w:iCs/>
          <w:noProof/>
          <w:color w:val="000000"/>
          <w:sz w:val="20"/>
          <w:szCs w:val="20"/>
          <w:lang w:val="es-CO"/>
        </w:rPr>
        <w:t>Unidad que se usa para medir la actividad de muchas vitaminas, hormonas, enzimas y medicamentos. Una Unidad Internacional es la cantidad de una sustancia que tiene cierto efecto biológico. Para cada sustancia, hay un acuerdo internacional sobre el efecto biológico que se espera de 1 Unidad Internacional</w:t>
      </w:r>
      <w:r w:rsidRPr="00B11D72">
        <w:rPr>
          <w:rFonts w:ascii="Arial" w:eastAsia="Times New Roman" w:hAnsi="Arial" w:cs="Arial"/>
          <w:noProof/>
          <w:color w:val="000000"/>
          <w:sz w:val="20"/>
          <w:szCs w:val="20"/>
          <w:lang w:val="es-CO"/>
        </w:rPr>
        <w:t>.</w:t>
      </w:r>
    </w:p>
    <w:p w14:paraId="1FDC95F7" w14:textId="6A37A6A7" w:rsidR="00B11D72" w:rsidRPr="00223FB2" w:rsidRDefault="003F11E9" w:rsidP="00FC7D5E">
      <w:pPr>
        <w:shd w:val="clear" w:color="auto" w:fill="FFFFFF"/>
        <w:spacing w:line="240" w:lineRule="auto"/>
        <w:jc w:val="both"/>
        <w:rPr>
          <w:rFonts w:ascii="Arial" w:eastAsia="Times New Roman" w:hAnsi="Arial" w:cs="Arial"/>
          <w:noProof/>
          <w:color w:val="000000"/>
          <w:sz w:val="20"/>
          <w:szCs w:val="20"/>
          <w:lang w:val="es-CO"/>
        </w:rPr>
      </w:pPr>
      <w:r w:rsidRPr="003F11E9">
        <w:rPr>
          <w:rFonts w:ascii="Arial" w:eastAsia="Times New Roman" w:hAnsi="Arial" w:cs="Arial"/>
          <w:noProof/>
          <w:color w:val="000000"/>
          <w:sz w:val="20"/>
          <w:szCs w:val="20"/>
          <w:lang w:val="es-CO"/>
        </w:rPr>
        <w:t>https://www.cancer.gov/espanol/publicaciones/diccionarios/diccionario-cancer/def/unidad-internacional</w:t>
      </w:r>
    </w:p>
    <w:p w14:paraId="3F683C05" w14:textId="5EBCDB63" w:rsidR="001C2137" w:rsidRDefault="003F11E9" w:rsidP="00FC7D5E">
      <w:pPr>
        <w:shd w:val="clear" w:color="auto" w:fill="FFFFFF"/>
        <w:spacing w:line="240" w:lineRule="auto"/>
        <w:jc w:val="both"/>
        <w:rPr>
          <w:rFonts w:ascii="Arial" w:eastAsia="Times New Roman" w:hAnsi="Arial" w:cs="Arial"/>
          <w:noProof/>
          <w:color w:val="000000"/>
          <w:sz w:val="20"/>
          <w:szCs w:val="20"/>
          <w:lang w:val="es-CO"/>
        </w:rPr>
      </w:pPr>
      <w:r>
        <w:rPr>
          <w:rFonts w:ascii="Arial" w:eastAsia="Times New Roman" w:hAnsi="Arial" w:cs="Arial"/>
          <w:noProof/>
          <w:color w:val="000000"/>
          <w:sz w:val="20"/>
          <w:szCs w:val="20"/>
          <w:lang w:val="es-CO"/>
        </w:rPr>
        <w:t xml:space="preserve">Sobre el grado de actividad de la </w:t>
      </w:r>
      <w:r w:rsidR="00920C5E">
        <w:rPr>
          <w:rFonts w:ascii="Arial" w:eastAsia="Times New Roman" w:hAnsi="Arial" w:cs="Arial"/>
          <w:noProof/>
          <w:color w:val="000000"/>
          <w:sz w:val="20"/>
          <w:szCs w:val="20"/>
          <w:lang w:val="es-CO"/>
        </w:rPr>
        <w:t>heparina</w:t>
      </w:r>
      <w:r>
        <w:rPr>
          <w:rFonts w:ascii="Arial" w:eastAsia="Times New Roman" w:hAnsi="Arial" w:cs="Arial"/>
          <w:noProof/>
          <w:color w:val="000000"/>
          <w:sz w:val="20"/>
          <w:szCs w:val="20"/>
          <w:lang w:val="es-CO"/>
        </w:rPr>
        <w:t xml:space="preserve"> se </w:t>
      </w:r>
      <w:r w:rsidR="0026753D">
        <w:rPr>
          <w:rFonts w:ascii="Arial" w:eastAsia="Times New Roman" w:hAnsi="Arial" w:cs="Arial"/>
          <w:noProof/>
          <w:color w:val="000000"/>
          <w:sz w:val="20"/>
          <w:szCs w:val="20"/>
          <w:lang w:val="es-CO"/>
        </w:rPr>
        <w:t xml:space="preserve">encuentra que </w:t>
      </w:r>
      <w:r w:rsidR="009B53F7">
        <w:rPr>
          <w:rFonts w:ascii="Arial" w:eastAsia="Times New Roman" w:hAnsi="Arial" w:cs="Arial"/>
          <w:noProof/>
          <w:color w:val="000000"/>
          <w:sz w:val="20"/>
          <w:szCs w:val="20"/>
          <w:lang w:val="es-CO"/>
        </w:rPr>
        <w:t xml:space="preserve">depende </w:t>
      </w:r>
      <w:r w:rsidR="00F95F15">
        <w:rPr>
          <w:rFonts w:ascii="Arial" w:eastAsia="Times New Roman" w:hAnsi="Arial" w:cs="Arial"/>
          <w:noProof/>
          <w:color w:val="000000"/>
          <w:sz w:val="20"/>
          <w:szCs w:val="20"/>
          <w:lang w:val="es-CO"/>
        </w:rPr>
        <w:t>de la edad del animal, raza, método de producción</w:t>
      </w:r>
      <w:r w:rsidR="00DB77EE">
        <w:rPr>
          <w:rFonts w:ascii="Arial" w:eastAsia="Times New Roman" w:hAnsi="Arial" w:cs="Arial"/>
          <w:noProof/>
          <w:color w:val="000000"/>
          <w:sz w:val="20"/>
          <w:szCs w:val="20"/>
          <w:lang w:val="es-CO"/>
        </w:rPr>
        <w:t xml:space="preserve"> ente otros:</w:t>
      </w:r>
    </w:p>
    <w:p w14:paraId="75572B0B" w14:textId="7F2A30C3" w:rsidR="001C2137" w:rsidRDefault="001C2137" w:rsidP="00FC7D5E">
      <w:pPr>
        <w:shd w:val="clear" w:color="auto" w:fill="FFFFFF"/>
        <w:spacing w:line="240" w:lineRule="auto"/>
        <w:jc w:val="both"/>
        <w:rPr>
          <w:rFonts w:ascii="Arial" w:eastAsia="Times New Roman" w:hAnsi="Arial" w:cs="Arial"/>
          <w:noProof/>
          <w:color w:val="000000"/>
          <w:sz w:val="20"/>
          <w:szCs w:val="20"/>
          <w:lang w:val="es-CO"/>
        </w:rPr>
      </w:pPr>
      <w:r w:rsidRPr="001C2137">
        <w:rPr>
          <w:rFonts w:ascii="Arial" w:eastAsia="Times New Roman" w:hAnsi="Arial" w:cs="Arial"/>
          <w:noProof/>
          <w:color w:val="000000"/>
          <w:sz w:val="20"/>
          <w:szCs w:val="20"/>
          <w:lang w:val="es-CO"/>
        </w:rPr>
        <w:drawing>
          <wp:inline distT="0" distB="0" distL="0" distR="0" wp14:anchorId="109DA453" wp14:editId="2D59BD82">
            <wp:extent cx="5612130" cy="2298700"/>
            <wp:effectExtent l="0" t="0" r="762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2130" cy="2298700"/>
                    </a:xfrm>
                    <a:prstGeom prst="rect">
                      <a:avLst/>
                    </a:prstGeom>
                  </pic:spPr>
                </pic:pic>
              </a:graphicData>
            </a:graphic>
          </wp:inline>
        </w:drawing>
      </w:r>
    </w:p>
    <w:p w14:paraId="2DECBF42" w14:textId="267B9807" w:rsidR="001C2137" w:rsidRPr="00981918" w:rsidRDefault="00AA71CF" w:rsidP="00FC7D5E">
      <w:pPr>
        <w:shd w:val="clear" w:color="auto" w:fill="FFFFFF"/>
        <w:spacing w:line="240" w:lineRule="auto"/>
        <w:jc w:val="both"/>
        <w:rPr>
          <w:rFonts w:ascii="Arial" w:eastAsia="Times New Roman" w:hAnsi="Arial" w:cs="Arial"/>
          <w:noProof/>
          <w:color w:val="000000"/>
          <w:sz w:val="20"/>
          <w:szCs w:val="20"/>
          <w:lang w:val="es-CO"/>
        </w:rPr>
      </w:pPr>
      <w:r w:rsidRPr="00AA71CF">
        <w:rPr>
          <w:rFonts w:ascii="Arial" w:eastAsia="Times New Roman" w:hAnsi="Arial" w:cs="Arial"/>
          <w:noProof/>
          <w:color w:val="000000"/>
          <w:sz w:val="20"/>
          <w:szCs w:val="20"/>
          <w:lang w:val="es-CO"/>
        </w:rPr>
        <w:t>https://digibug.ugr.es/bitstream/handle/10481/26437/Ars%20Pharm%202010;51(Suppl3)333-345.pdf;jsessionid=FF80AA8F5EB4C31BB97BDA2229D279AD?sequence=1</w:t>
      </w:r>
    </w:p>
    <w:p w14:paraId="1E912D2F" w14:textId="7EA8DB14" w:rsidR="00312ED3" w:rsidRPr="00D426C0" w:rsidRDefault="00D426C0" w:rsidP="00312ED3">
      <w:pPr>
        <w:autoSpaceDE w:val="0"/>
        <w:autoSpaceDN w:val="0"/>
        <w:adjustRightInd w:val="0"/>
        <w:spacing w:after="0" w:line="240" w:lineRule="auto"/>
        <w:jc w:val="both"/>
        <w:rPr>
          <w:rFonts w:ascii="Arial" w:eastAsia="Times New Roman" w:hAnsi="Arial" w:cs="Arial"/>
          <w:noProof/>
          <w:color w:val="000000"/>
          <w:sz w:val="20"/>
          <w:szCs w:val="20"/>
          <w:lang w:val="es-CO"/>
        </w:rPr>
      </w:pPr>
      <w:r w:rsidRPr="00D426C0">
        <w:rPr>
          <w:rFonts w:ascii="Arial" w:eastAsia="Times New Roman" w:hAnsi="Arial" w:cs="Arial"/>
          <w:noProof/>
          <w:color w:val="000000"/>
          <w:sz w:val="20"/>
          <w:szCs w:val="20"/>
          <w:lang w:val="es-CO"/>
        </w:rPr>
        <w:t xml:space="preserve">De las consultas técnicas se entiende que la partida 30.01 comprende </w:t>
      </w:r>
      <w:r>
        <w:rPr>
          <w:rFonts w:ascii="Arial" w:eastAsia="Times New Roman" w:hAnsi="Arial" w:cs="Arial"/>
          <w:noProof/>
          <w:color w:val="000000"/>
          <w:sz w:val="20"/>
          <w:szCs w:val="20"/>
          <w:lang w:val="es-CO"/>
        </w:rPr>
        <w:t xml:space="preserve">heparinas </w:t>
      </w:r>
      <w:r w:rsidR="00DA241B">
        <w:rPr>
          <w:rFonts w:ascii="Arial" w:eastAsia="Times New Roman" w:hAnsi="Arial" w:cs="Arial"/>
          <w:noProof/>
          <w:color w:val="000000"/>
          <w:sz w:val="20"/>
          <w:szCs w:val="20"/>
          <w:lang w:val="es-CO"/>
        </w:rPr>
        <w:t xml:space="preserve">con diversos grados de actividad entendida como efecto biológico </w:t>
      </w:r>
      <w:r w:rsidR="00397EC7">
        <w:rPr>
          <w:rFonts w:ascii="Arial" w:eastAsia="Times New Roman" w:hAnsi="Arial" w:cs="Arial"/>
          <w:noProof/>
          <w:color w:val="000000"/>
          <w:sz w:val="20"/>
          <w:szCs w:val="20"/>
          <w:lang w:val="es-CO"/>
        </w:rPr>
        <w:t xml:space="preserve">dependiendo de las características del animal del que se extrae, pero </w:t>
      </w:r>
      <w:r w:rsidR="00053131">
        <w:rPr>
          <w:rFonts w:ascii="Arial" w:eastAsia="Times New Roman" w:hAnsi="Arial" w:cs="Arial"/>
          <w:noProof/>
          <w:color w:val="000000"/>
          <w:sz w:val="20"/>
          <w:szCs w:val="20"/>
          <w:lang w:val="es-CO"/>
        </w:rPr>
        <w:t xml:space="preserve">esto no equivale a su forma de presentación </w:t>
      </w:r>
      <w:r w:rsidR="007B3864">
        <w:rPr>
          <w:rFonts w:ascii="Arial" w:eastAsia="Times New Roman" w:hAnsi="Arial" w:cs="Arial"/>
          <w:noProof/>
          <w:color w:val="000000"/>
          <w:sz w:val="20"/>
          <w:szCs w:val="20"/>
          <w:lang w:val="es-CO"/>
        </w:rPr>
        <w:t>o dosificación.</w:t>
      </w:r>
    </w:p>
    <w:p w14:paraId="391A6A9C" w14:textId="77777777" w:rsidR="00D426C0" w:rsidRDefault="00D426C0" w:rsidP="00C90611">
      <w:pPr>
        <w:pStyle w:val="NormalWeb"/>
        <w:spacing w:before="0" w:beforeAutospacing="0" w:after="150" w:afterAutospacing="0"/>
        <w:rPr>
          <w:rFonts w:ascii="Arial" w:hAnsi="Arial" w:cs="Arial"/>
          <w:b/>
          <w:bCs/>
          <w:noProof/>
          <w:sz w:val="20"/>
          <w:szCs w:val="20"/>
          <w:lang w:val="es-CO"/>
        </w:rPr>
      </w:pPr>
    </w:p>
    <w:p w14:paraId="401C0AD8" w14:textId="2EE98FE5" w:rsidR="00D426C0" w:rsidRDefault="00D426C0" w:rsidP="00C90611">
      <w:pPr>
        <w:pStyle w:val="NormalWeb"/>
        <w:spacing w:before="0" w:beforeAutospacing="0" w:after="150" w:afterAutospacing="0"/>
        <w:rPr>
          <w:rFonts w:ascii="Arial" w:hAnsi="Arial" w:cs="Arial"/>
          <w:b/>
          <w:bCs/>
          <w:noProof/>
          <w:sz w:val="20"/>
          <w:szCs w:val="20"/>
          <w:lang w:val="es-CO"/>
        </w:rPr>
      </w:pPr>
    </w:p>
    <w:p w14:paraId="514200F5" w14:textId="6C2B9CC1" w:rsidR="007B3864" w:rsidRDefault="007B3864" w:rsidP="00C90611">
      <w:pPr>
        <w:pStyle w:val="NormalWeb"/>
        <w:spacing w:before="0" w:beforeAutospacing="0" w:after="150" w:afterAutospacing="0"/>
        <w:rPr>
          <w:rFonts w:ascii="Arial" w:hAnsi="Arial" w:cs="Arial"/>
          <w:b/>
          <w:bCs/>
          <w:noProof/>
          <w:sz w:val="20"/>
          <w:szCs w:val="20"/>
          <w:lang w:val="es-CO"/>
        </w:rPr>
      </w:pPr>
    </w:p>
    <w:p w14:paraId="60298B93" w14:textId="34DC8329" w:rsidR="007B3864" w:rsidRDefault="007B3864" w:rsidP="00C90611">
      <w:pPr>
        <w:pStyle w:val="NormalWeb"/>
        <w:spacing w:before="0" w:beforeAutospacing="0" w:after="150" w:afterAutospacing="0"/>
        <w:rPr>
          <w:rFonts w:ascii="Arial" w:hAnsi="Arial" w:cs="Arial"/>
          <w:b/>
          <w:bCs/>
          <w:noProof/>
          <w:sz w:val="20"/>
          <w:szCs w:val="20"/>
          <w:lang w:val="es-CO"/>
        </w:rPr>
      </w:pPr>
    </w:p>
    <w:p w14:paraId="0AA07FEF" w14:textId="4A58A49A" w:rsidR="007B3864" w:rsidRDefault="007B3864" w:rsidP="00C90611">
      <w:pPr>
        <w:pStyle w:val="NormalWeb"/>
        <w:spacing w:before="0" w:beforeAutospacing="0" w:after="150" w:afterAutospacing="0"/>
        <w:rPr>
          <w:rFonts w:ascii="Arial" w:hAnsi="Arial" w:cs="Arial"/>
          <w:b/>
          <w:bCs/>
          <w:noProof/>
          <w:sz w:val="20"/>
          <w:szCs w:val="20"/>
          <w:lang w:val="es-CO"/>
        </w:rPr>
      </w:pPr>
    </w:p>
    <w:p w14:paraId="45AF8B4D" w14:textId="7A7FDD44" w:rsidR="007B3864" w:rsidRDefault="007B3864" w:rsidP="00C90611">
      <w:pPr>
        <w:pStyle w:val="NormalWeb"/>
        <w:spacing w:before="0" w:beforeAutospacing="0" w:after="150" w:afterAutospacing="0"/>
        <w:rPr>
          <w:rFonts w:ascii="Arial" w:hAnsi="Arial" w:cs="Arial"/>
          <w:b/>
          <w:bCs/>
          <w:noProof/>
          <w:sz w:val="20"/>
          <w:szCs w:val="20"/>
          <w:lang w:val="es-CO"/>
        </w:rPr>
      </w:pPr>
    </w:p>
    <w:p w14:paraId="165860CF" w14:textId="57869647" w:rsidR="007B3864" w:rsidRDefault="007B3864" w:rsidP="00C90611">
      <w:pPr>
        <w:pStyle w:val="NormalWeb"/>
        <w:spacing w:before="0" w:beforeAutospacing="0" w:after="150" w:afterAutospacing="0"/>
        <w:rPr>
          <w:rFonts w:ascii="Arial" w:hAnsi="Arial" w:cs="Arial"/>
          <w:b/>
          <w:bCs/>
          <w:noProof/>
          <w:sz w:val="20"/>
          <w:szCs w:val="20"/>
          <w:lang w:val="es-CO"/>
        </w:rPr>
      </w:pPr>
    </w:p>
    <w:p w14:paraId="613FFAA8" w14:textId="6E7FE934" w:rsidR="007B3864" w:rsidRDefault="007B3864" w:rsidP="00C90611">
      <w:pPr>
        <w:pStyle w:val="NormalWeb"/>
        <w:spacing w:before="0" w:beforeAutospacing="0" w:after="150" w:afterAutospacing="0"/>
        <w:rPr>
          <w:rFonts w:ascii="Arial" w:hAnsi="Arial" w:cs="Arial"/>
          <w:b/>
          <w:bCs/>
          <w:noProof/>
          <w:sz w:val="20"/>
          <w:szCs w:val="20"/>
          <w:lang w:val="es-CO"/>
        </w:rPr>
      </w:pPr>
    </w:p>
    <w:p w14:paraId="3C22587E" w14:textId="0CA9A322" w:rsidR="007B3864" w:rsidRDefault="007B3864" w:rsidP="00C90611">
      <w:pPr>
        <w:pStyle w:val="NormalWeb"/>
        <w:spacing w:before="0" w:beforeAutospacing="0" w:after="150" w:afterAutospacing="0"/>
        <w:rPr>
          <w:rFonts w:ascii="Arial" w:hAnsi="Arial" w:cs="Arial"/>
          <w:b/>
          <w:bCs/>
          <w:noProof/>
          <w:sz w:val="20"/>
          <w:szCs w:val="20"/>
          <w:lang w:val="es-CO"/>
        </w:rPr>
      </w:pPr>
    </w:p>
    <w:p w14:paraId="62E3FC28" w14:textId="5F4D7C32" w:rsidR="007B3864" w:rsidRDefault="007B3864" w:rsidP="00C90611">
      <w:pPr>
        <w:pStyle w:val="NormalWeb"/>
        <w:spacing w:before="0" w:beforeAutospacing="0" w:after="150" w:afterAutospacing="0"/>
        <w:rPr>
          <w:rFonts w:ascii="Arial" w:hAnsi="Arial" w:cs="Arial"/>
          <w:b/>
          <w:bCs/>
          <w:noProof/>
          <w:sz w:val="20"/>
          <w:szCs w:val="20"/>
          <w:lang w:val="es-CO"/>
        </w:rPr>
      </w:pPr>
    </w:p>
    <w:p w14:paraId="3AA2790F" w14:textId="060B07B3" w:rsidR="007B3864" w:rsidRDefault="007B3864" w:rsidP="00C90611">
      <w:pPr>
        <w:pStyle w:val="NormalWeb"/>
        <w:spacing w:before="0" w:beforeAutospacing="0" w:after="150" w:afterAutospacing="0"/>
        <w:rPr>
          <w:rFonts w:ascii="Arial" w:hAnsi="Arial" w:cs="Arial"/>
          <w:b/>
          <w:bCs/>
          <w:noProof/>
          <w:sz w:val="20"/>
          <w:szCs w:val="20"/>
          <w:lang w:val="es-CO"/>
        </w:rPr>
      </w:pPr>
    </w:p>
    <w:p w14:paraId="703309EF" w14:textId="71110098" w:rsidR="007B3864" w:rsidRDefault="007B3864" w:rsidP="00C90611">
      <w:pPr>
        <w:pStyle w:val="NormalWeb"/>
        <w:spacing w:before="0" w:beforeAutospacing="0" w:after="150" w:afterAutospacing="0"/>
        <w:rPr>
          <w:rFonts w:ascii="Arial" w:hAnsi="Arial" w:cs="Arial"/>
          <w:b/>
          <w:bCs/>
          <w:noProof/>
          <w:sz w:val="20"/>
          <w:szCs w:val="20"/>
          <w:lang w:val="es-CO"/>
        </w:rPr>
      </w:pPr>
    </w:p>
    <w:p w14:paraId="3450C147" w14:textId="19139697" w:rsidR="007B3864" w:rsidRDefault="007B3864" w:rsidP="00C90611">
      <w:pPr>
        <w:pStyle w:val="NormalWeb"/>
        <w:spacing w:before="0" w:beforeAutospacing="0" w:after="150" w:afterAutospacing="0"/>
        <w:rPr>
          <w:rFonts w:ascii="Arial" w:hAnsi="Arial" w:cs="Arial"/>
          <w:b/>
          <w:bCs/>
          <w:noProof/>
          <w:sz w:val="20"/>
          <w:szCs w:val="20"/>
          <w:lang w:val="es-CO"/>
        </w:rPr>
      </w:pPr>
    </w:p>
    <w:p w14:paraId="5BF92EFC" w14:textId="4578A343" w:rsidR="00F31D46" w:rsidRDefault="00E0620B" w:rsidP="00C90611">
      <w:pPr>
        <w:pStyle w:val="NormalWeb"/>
        <w:spacing w:before="0" w:beforeAutospacing="0" w:after="150" w:afterAutospacing="0"/>
        <w:rPr>
          <w:rFonts w:ascii="Arial" w:hAnsi="Arial" w:cs="Arial"/>
          <w:b/>
          <w:bCs/>
          <w:noProof/>
          <w:sz w:val="20"/>
          <w:szCs w:val="20"/>
          <w:lang w:val="es-CO"/>
        </w:rPr>
      </w:pPr>
      <w:r w:rsidRPr="00EC369B">
        <w:rPr>
          <w:rFonts w:ascii="Arial" w:hAnsi="Arial" w:cs="Arial"/>
          <w:b/>
          <w:bCs/>
          <w:noProof/>
          <w:sz w:val="20"/>
          <w:szCs w:val="20"/>
          <w:lang w:val="es-CO"/>
        </w:rPr>
        <w:t>Partida 30.04</w:t>
      </w:r>
      <w:r w:rsidR="00EC369B" w:rsidRPr="00EC369B">
        <w:rPr>
          <w:rFonts w:ascii="Arial" w:hAnsi="Arial" w:cs="Arial"/>
          <w:b/>
          <w:bCs/>
          <w:noProof/>
          <w:sz w:val="20"/>
          <w:szCs w:val="20"/>
          <w:lang w:val="es-CO"/>
        </w:rPr>
        <w:t>:</w:t>
      </w:r>
    </w:p>
    <w:p w14:paraId="3F9DC92C" w14:textId="233B703B" w:rsidR="00EC369B" w:rsidRDefault="00EC369B" w:rsidP="00C90611">
      <w:pPr>
        <w:pStyle w:val="NormalWeb"/>
        <w:spacing w:before="0" w:beforeAutospacing="0" w:after="150" w:afterAutospacing="0"/>
        <w:rPr>
          <w:rFonts w:ascii="Arial" w:hAnsi="Arial" w:cs="Arial"/>
          <w:b/>
          <w:bCs/>
          <w:noProof/>
          <w:sz w:val="20"/>
          <w:szCs w:val="20"/>
          <w:lang w:val="es-CO"/>
        </w:rPr>
      </w:pPr>
    </w:p>
    <w:p w14:paraId="3A4D59B5" w14:textId="2A4328D0" w:rsidR="00EC369B" w:rsidRPr="0087654E" w:rsidRDefault="00241689" w:rsidP="00C90611">
      <w:pPr>
        <w:pStyle w:val="NormalWeb"/>
        <w:spacing w:before="0" w:beforeAutospacing="0" w:after="150" w:afterAutospacing="0"/>
        <w:rPr>
          <w:rFonts w:ascii="Arial" w:hAnsi="Arial" w:cs="Arial"/>
          <w:noProof/>
          <w:sz w:val="20"/>
          <w:szCs w:val="20"/>
          <w:lang w:val="es-CO"/>
        </w:rPr>
      </w:pPr>
      <w:r w:rsidRPr="0087654E">
        <w:rPr>
          <w:rFonts w:ascii="Arial" w:hAnsi="Arial" w:cs="Arial"/>
          <w:noProof/>
          <w:sz w:val="20"/>
          <w:szCs w:val="20"/>
          <w:lang w:val="es-CO"/>
        </w:rPr>
        <w:t xml:space="preserve">Con respecto a esta partida, se requiere </w:t>
      </w:r>
      <w:r w:rsidR="0087654E" w:rsidRPr="0087654E">
        <w:rPr>
          <w:rFonts w:ascii="Arial" w:hAnsi="Arial" w:cs="Arial"/>
          <w:noProof/>
          <w:sz w:val="20"/>
          <w:szCs w:val="20"/>
          <w:lang w:val="es-CO"/>
        </w:rPr>
        <w:t xml:space="preserve">tener en cuenta la NL </w:t>
      </w:r>
      <w:r w:rsidR="009F22BD">
        <w:rPr>
          <w:rFonts w:ascii="Arial" w:hAnsi="Arial" w:cs="Arial"/>
          <w:noProof/>
          <w:sz w:val="20"/>
          <w:szCs w:val="20"/>
          <w:lang w:val="es-CO"/>
        </w:rPr>
        <w:t>2</w:t>
      </w:r>
      <w:r w:rsidR="0087654E" w:rsidRPr="0087654E">
        <w:rPr>
          <w:rFonts w:ascii="Arial" w:hAnsi="Arial" w:cs="Arial"/>
          <w:noProof/>
          <w:sz w:val="20"/>
          <w:szCs w:val="20"/>
          <w:lang w:val="es-CO"/>
        </w:rPr>
        <w:t xml:space="preserve"> de la Sección VI:</w:t>
      </w:r>
    </w:p>
    <w:p w14:paraId="1769C6DC" w14:textId="12F2C72F" w:rsidR="00FC7D5E" w:rsidRPr="00712A13" w:rsidRDefault="00FC7D5E" w:rsidP="0C5D5D52">
      <w:pPr>
        <w:pStyle w:val="NormalWeb"/>
        <w:spacing w:before="0" w:beforeAutospacing="0" w:after="150" w:afterAutospacing="0"/>
        <w:rPr>
          <w:rFonts w:ascii="Arial" w:hAnsi="Arial" w:cs="Arial"/>
          <w:noProof/>
          <w:sz w:val="20"/>
          <w:szCs w:val="20"/>
          <w:lang w:val="es-CO"/>
        </w:rPr>
      </w:pPr>
      <w:r w:rsidRPr="00981918">
        <w:rPr>
          <w:rFonts w:ascii="Arial" w:hAnsi="Arial" w:cs="Arial"/>
          <w:noProof/>
          <w:sz w:val="20"/>
          <w:szCs w:val="20"/>
        </w:rPr>
        <w:drawing>
          <wp:anchor distT="0" distB="0" distL="114300" distR="114300" simplePos="0" relativeHeight="251658240" behindDoc="0" locked="0" layoutInCell="1" allowOverlap="1" wp14:anchorId="263FE910" wp14:editId="5A6CB41D">
            <wp:simplePos x="0" y="0"/>
            <wp:positionH relativeFrom="margin">
              <wp:align>left</wp:align>
            </wp:positionH>
            <wp:positionV relativeFrom="paragraph">
              <wp:posOffset>4444</wp:posOffset>
            </wp:positionV>
            <wp:extent cx="5643900" cy="34385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3900" cy="3438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D392C1" w14:textId="0AB1F379" w:rsidR="00FC7D5E" w:rsidRPr="00712A13" w:rsidRDefault="00FC7D5E" w:rsidP="00C90611">
      <w:pPr>
        <w:pStyle w:val="NormalWeb"/>
        <w:spacing w:before="0" w:beforeAutospacing="0" w:after="150" w:afterAutospacing="0"/>
        <w:rPr>
          <w:rFonts w:ascii="Arial" w:hAnsi="Arial" w:cs="Arial"/>
          <w:noProof/>
          <w:sz w:val="20"/>
          <w:szCs w:val="20"/>
          <w:lang w:val="es-CO"/>
        </w:rPr>
      </w:pPr>
    </w:p>
    <w:p w14:paraId="67D61816" w14:textId="1B66E780" w:rsidR="00FC7D5E" w:rsidRPr="00712A13" w:rsidRDefault="00FC7D5E" w:rsidP="00C90611">
      <w:pPr>
        <w:pStyle w:val="NormalWeb"/>
        <w:spacing w:before="0" w:beforeAutospacing="0" w:after="150" w:afterAutospacing="0"/>
        <w:rPr>
          <w:rFonts w:ascii="Arial" w:hAnsi="Arial" w:cs="Arial"/>
          <w:noProof/>
          <w:sz w:val="20"/>
          <w:szCs w:val="20"/>
          <w:lang w:val="es-CO"/>
        </w:rPr>
      </w:pPr>
    </w:p>
    <w:p w14:paraId="55CBD55E" w14:textId="07C55603" w:rsidR="00FC7D5E" w:rsidRPr="00712A13" w:rsidRDefault="00FC7D5E" w:rsidP="00C90611">
      <w:pPr>
        <w:pStyle w:val="NormalWeb"/>
        <w:spacing w:before="0" w:beforeAutospacing="0" w:after="150" w:afterAutospacing="0"/>
        <w:rPr>
          <w:rFonts w:ascii="Arial" w:hAnsi="Arial" w:cs="Arial"/>
          <w:noProof/>
          <w:sz w:val="20"/>
          <w:szCs w:val="20"/>
          <w:lang w:val="es-CO"/>
        </w:rPr>
      </w:pPr>
    </w:p>
    <w:p w14:paraId="388162EB" w14:textId="56BCA331" w:rsidR="00FC7D5E" w:rsidRPr="00712A13" w:rsidRDefault="00FC7D5E" w:rsidP="00C90611">
      <w:pPr>
        <w:pStyle w:val="NormalWeb"/>
        <w:spacing w:before="0" w:beforeAutospacing="0" w:after="150" w:afterAutospacing="0"/>
        <w:rPr>
          <w:rFonts w:ascii="Arial" w:hAnsi="Arial" w:cs="Arial"/>
          <w:noProof/>
          <w:sz w:val="20"/>
          <w:szCs w:val="20"/>
          <w:lang w:val="es-CO"/>
        </w:rPr>
      </w:pPr>
    </w:p>
    <w:p w14:paraId="1DCD7621" w14:textId="6E3995F8" w:rsidR="00FC7D5E" w:rsidRPr="00712A13" w:rsidRDefault="00FC7D5E" w:rsidP="00C90611">
      <w:pPr>
        <w:pStyle w:val="NormalWeb"/>
        <w:spacing w:before="0" w:beforeAutospacing="0" w:after="150" w:afterAutospacing="0"/>
        <w:rPr>
          <w:rFonts w:ascii="Arial" w:hAnsi="Arial" w:cs="Arial"/>
          <w:noProof/>
          <w:sz w:val="20"/>
          <w:szCs w:val="20"/>
          <w:lang w:val="es-CO"/>
        </w:rPr>
      </w:pPr>
    </w:p>
    <w:p w14:paraId="323B3DF6" w14:textId="25C4CB61" w:rsidR="00FC7D5E" w:rsidRPr="00712A13" w:rsidRDefault="00FC7D5E" w:rsidP="00C90611">
      <w:pPr>
        <w:pStyle w:val="NormalWeb"/>
        <w:spacing w:before="0" w:beforeAutospacing="0" w:after="150" w:afterAutospacing="0"/>
        <w:rPr>
          <w:rFonts w:ascii="Arial" w:hAnsi="Arial" w:cs="Arial"/>
          <w:noProof/>
          <w:sz w:val="20"/>
          <w:szCs w:val="20"/>
          <w:lang w:val="es-CO"/>
        </w:rPr>
      </w:pPr>
    </w:p>
    <w:p w14:paraId="09BB06E2" w14:textId="6703B9E1" w:rsidR="00FC7D5E" w:rsidRPr="00712A13" w:rsidRDefault="00FC7D5E" w:rsidP="00C90611">
      <w:pPr>
        <w:pStyle w:val="NormalWeb"/>
        <w:spacing w:before="0" w:beforeAutospacing="0" w:after="150" w:afterAutospacing="0"/>
        <w:rPr>
          <w:rFonts w:ascii="Arial" w:hAnsi="Arial" w:cs="Arial"/>
          <w:noProof/>
          <w:sz w:val="20"/>
          <w:szCs w:val="20"/>
          <w:lang w:val="es-CO"/>
        </w:rPr>
      </w:pPr>
    </w:p>
    <w:p w14:paraId="14FEEC45" w14:textId="77777777" w:rsidR="00FC7D5E" w:rsidRPr="00981918" w:rsidRDefault="00FC7D5E"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0A555847" w14:textId="657D5DED" w:rsidR="00312ED3" w:rsidRPr="00981918" w:rsidRDefault="00312ED3"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15894848" w14:textId="4EA6BD4F" w:rsidR="00312ED3" w:rsidRPr="00981918" w:rsidRDefault="00312ED3"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6DB960A7" w14:textId="5CEE5EA7" w:rsidR="00312ED3" w:rsidRPr="00981918" w:rsidRDefault="00312ED3"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3F8E07EA" w14:textId="46D26E81" w:rsidR="00312ED3" w:rsidRPr="00981918" w:rsidRDefault="00312ED3"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11E6242E" w14:textId="77777777" w:rsidR="00312ED3" w:rsidRPr="00981918" w:rsidRDefault="00312ED3"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75B21BE7" w14:textId="77777777" w:rsidR="00C554E3" w:rsidRDefault="00C554E3" w:rsidP="00312ED3">
      <w:pPr>
        <w:shd w:val="clear" w:color="auto" w:fill="FFFFFF"/>
        <w:spacing w:line="240" w:lineRule="auto"/>
        <w:jc w:val="both"/>
        <w:rPr>
          <w:rFonts w:ascii="Arial" w:eastAsia="Times New Roman" w:hAnsi="Arial" w:cs="Arial"/>
          <w:b/>
          <w:bCs/>
          <w:noProof/>
          <w:color w:val="1F3864" w:themeColor="accent1" w:themeShade="80"/>
          <w:sz w:val="20"/>
          <w:szCs w:val="20"/>
          <w:lang w:val="es-CO"/>
        </w:rPr>
      </w:pPr>
    </w:p>
    <w:p w14:paraId="3C845E29" w14:textId="06D0073B" w:rsidR="00312ED3" w:rsidRPr="00981918" w:rsidRDefault="00312ED3" w:rsidP="00312ED3">
      <w:pPr>
        <w:shd w:val="clear" w:color="auto" w:fill="FFFFFF"/>
        <w:spacing w:line="240" w:lineRule="auto"/>
        <w:jc w:val="both"/>
        <w:rPr>
          <w:rFonts w:ascii="Arial" w:eastAsia="Times New Roman" w:hAnsi="Arial" w:cs="Arial"/>
          <w:b/>
          <w:bCs/>
          <w:noProof/>
          <w:color w:val="1F3864" w:themeColor="accent1" w:themeShade="80"/>
          <w:sz w:val="20"/>
          <w:szCs w:val="20"/>
          <w:lang w:val="es-CO"/>
        </w:rPr>
      </w:pPr>
      <w:r w:rsidRPr="00981918">
        <w:rPr>
          <w:rFonts w:ascii="Arial" w:eastAsia="Times New Roman" w:hAnsi="Arial" w:cs="Arial"/>
          <w:b/>
          <w:bCs/>
          <w:noProof/>
          <w:color w:val="1F3864" w:themeColor="accent1" w:themeShade="80"/>
          <w:sz w:val="20"/>
          <w:szCs w:val="20"/>
          <w:lang w:val="es-CO"/>
        </w:rPr>
        <w:t>NOTAS EXPLICATIVAS</w:t>
      </w:r>
    </w:p>
    <w:p w14:paraId="088F8EB2" w14:textId="77777777" w:rsidR="00981918" w:rsidRPr="00981918" w:rsidRDefault="00981918" w:rsidP="00312ED3">
      <w:pPr>
        <w:autoSpaceDE w:val="0"/>
        <w:autoSpaceDN w:val="0"/>
        <w:adjustRightInd w:val="0"/>
        <w:spacing w:after="0" w:line="240" w:lineRule="auto"/>
        <w:rPr>
          <w:rFonts w:ascii="Arial" w:hAnsi="Arial" w:cs="Arial"/>
          <w:b/>
          <w:bCs/>
          <w:color w:val="1F3864" w:themeColor="accent1" w:themeShade="80"/>
          <w:sz w:val="20"/>
          <w:szCs w:val="20"/>
          <w:lang w:val="es-CO"/>
        </w:rPr>
      </w:pPr>
    </w:p>
    <w:p w14:paraId="5678B64F" w14:textId="21D789FD" w:rsidR="00312ED3" w:rsidRPr="00981918" w:rsidRDefault="00312ED3" w:rsidP="00981918">
      <w:pPr>
        <w:autoSpaceDE w:val="0"/>
        <w:autoSpaceDN w:val="0"/>
        <w:adjustRightInd w:val="0"/>
        <w:spacing w:after="0" w:line="240" w:lineRule="auto"/>
        <w:jc w:val="both"/>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 xml:space="preserve">La Nota 2 de la Sección dispone que los productos (excepto los comprendidos en las partidas 28.43 a 28.46 </w:t>
      </w:r>
      <w:proofErr w:type="spellStart"/>
      <w:r w:rsidRPr="00981918">
        <w:rPr>
          <w:rFonts w:ascii="Arial" w:hAnsi="Arial" w:cs="Arial"/>
          <w:color w:val="1F3864" w:themeColor="accent1" w:themeShade="80"/>
          <w:sz w:val="20"/>
          <w:szCs w:val="20"/>
          <w:lang w:val="es-CO"/>
        </w:rPr>
        <w:t>ó</w:t>
      </w:r>
      <w:proofErr w:type="spellEnd"/>
      <w:r w:rsidRPr="00981918">
        <w:rPr>
          <w:rFonts w:ascii="Arial" w:hAnsi="Arial" w:cs="Arial"/>
          <w:color w:val="1F3864" w:themeColor="accent1" w:themeShade="80"/>
          <w:sz w:val="20"/>
          <w:szCs w:val="20"/>
          <w:lang w:val="es-CO"/>
        </w:rPr>
        <w:t xml:space="preserve"> 28.52), que por su presentación en forma de dosis o por su acondicionamiento para la venta al por menor, se clasifican en una de las partidas 30.04, 30.05, 30.06, 32.12, 33.03, 33.04, 33.05, 33.06, 33.07, 35.06, 37.07 o 38.08, deben clasificarse en dicha partida, </w:t>
      </w:r>
      <w:r w:rsidRPr="00981918">
        <w:rPr>
          <w:rFonts w:ascii="Arial" w:hAnsi="Arial" w:cs="Arial"/>
          <w:i/>
          <w:iCs/>
          <w:color w:val="1F3864" w:themeColor="accent1" w:themeShade="80"/>
          <w:sz w:val="20"/>
          <w:szCs w:val="20"/>
          <w:u w:val="single"/>
          <w:lang w:val="es-CO"/>
        </w:rPr>
        <w:t>aunque puedan responder a las especificaciones de otras partidas de la Nomenclatura</w:t>
      </w:r>
      <w:r w:rsidRPr="00981918">
        <w:rPr>
          <w:rFonts w:ascii="Arial" w:hAnsi="Arial" w:cs="Arial"/>
          <w:color w:val="1F3864" w:themeColor="accent1" w:themeShade="80"/>
          <w:sz w:val="20"/>
          <w:szCs w:val="20"/>
          <w:lang w:val="es-CO"/>
        </w:rPr>
        <w:t>. Así, por ejemplo, el azufre acondicionado para la venta al por menor con</w:t>
      </w:r>
      <w:r w:rsidR="00DD7BE7">
        <w:rPr>
          <w:rFonts w:ascii="Arial" w:hAnsi="Arial" w:cs="Arial"/>
          <w:color w:val="1F3864" w:themeColor="accent1" w:themeShade="80"/>
          <w:sz w:val="20"/>
          <w:szCs w:val="20"/>
          <w:lang w:val="es-CO"/>
        </w:rPr>
        <w:t xml:space="preserve"> </w:t>
      </w:r>
      <w:r w:rsidRPr="00981918">
        <w:rPr>
          <w:rFonts w:ascii="Arial" w:hAnsi="Arial" w:cs="Arial"/>
          <w:color w:val="1F3864" w:themeColor="accent1" w:themeShade="80"/>
          <w:sz w:val="20"/>
          <w:szCs w:val="20"/>
          <w:lang w:val="es-CO"/>
        </w:rPr>
        <w:t xml:space="preserve">fines terapéuticos se clasifica en la </w:t>
      </w:r>
      <w:r w:rsidRPr="00981918">
        <w:rPr>
          <w:rFonts w:ascii="Arial" w:hAnsi="Arial" w:cs="Arial"/>
          <w:b/>
          <w:bCs/>
          <w:color w:val="1F3864" w:themeColor="accent1" w:themeShade="80"/>
          <w:sz w:val="20"/>
          <w:szCs w:val="20"/>
          <w:lang w:val="es-CO"/>
        </w:rPr>
        <w:t xml:space="preserve">partida 30.04 </w:t>
      </w:r>
      <w:r w:rsidRPr="00981918">
        <w:rPr>
          <w:rFonts w:ascii="Arial" w:hAnsi="Arial" w:cs="Arial"/>
          <w:color w:val="1F3864" w:themeColor="accent1" w:themeShade="80"/>
          <w:sz w:val="20"/>
          <w:szCs w:val="20"/>
          <w:lang w:val="es-CO"/>
        </w:rPr>
        <w:t xml:space="preserve">y no en las partidas 25.03 o 28.02, del mismo modo que la dextrina acondicionada para la venta al por menor como cola se clasifica en la </w:t>
      </w:r>
      <w:r w:rsidRPr="00981918">
        <w:rPr>
          <w:rFonts w:ascii="Arial" w:hAnsi="Arial" w:cs="Arial"/>
          <w:b/>
          <w:bCs/>
          <w:color w:val="1F3864" w:themeColor="accent1" w:themeShade="80"/>
          <w:sz w:val="20"/>
          <w:szCs w:val="20"/>
          <w:lang w:val="es-CO"/>
        </w:rPr>
        <w:t xml:space="preserve">partida 35.06 </w:t>
      </w:r>
      <w:r w:rsidRPr="00981918">
        <w:rPr>
          <w:rFonts w:ascii="Arial" w:hAnsi="Arial" w:cs="Arial"/>
          <w:color w:val="1F3864" w:themeColor="accent1" w:themeShade="80"/>
          <w:sz w:val="20"/>
          <w:szCs w:val="20"/>
          <w:lang w:val="es-CO"/>
        </w:rPr>
        <w:t>y no en la partida</w:t>
      </w:r>
      <w:r w:rsidR="00981918" w:rsidRPr="00981918">
        <w:rPr>
          <w:rFonts w:ascii="Arial" w:hAnsi="Arial" w:cs="Arial"/>
          <w:color w:val="1F3864" w:themeColor="accent1" w:themeShade="80"/>
          <w:sz w:val="20"/>
          <w:szCs w:val="20"/>
          <w:lang w:val="es-CO"/>
        </w:rPr>
        <w:t xml:space="preserve"> </w:t>
      </w:r>
      <w:r w:rsidRPr="00981918">
        <w:rPr>
          <w:rFonts w:ascii="Arial" w:hAnsi="Arial" w:cs="Arial"/>
          <w:color w:val="1F3864" w:themeColor="accent1" w:themeShade="80"/>
          <w:sz w:val="20"/>
          <w:szCs w:val="20"/>
          <w:lang w:val="es-CO"/>
        </w:rPr>
        <w:t>35.05</w:t>
      </w:r>
      <w:r w:rsidR="00981918" w:rsidRPr="00981918">
        <w:rPr>
          <w:rFonts w:ascii="Arial" w:hAnsi="Arial" w:cs="Arial"/>
          <w:color w:val="1F3864" w:themeColor="accent1" w:themeShade="80"/>
          <w:sz w:val="20"/>
          <w:szCs w:val="20"/>
          <w:lang w:val="es-CO"/>
        </w:rPr>
        <w:t>. (subrayado fuera del texto original).</w:t>
      </w:r>
    </w:p>
    <w:p w14:paraId="00982D87" w14:textId="77777777" w:rsidR="00981918" w:rsidRPr="00981918" w:rsidRDefault="00981918" w:rsidP="00981918">
      <w:pPr>
        <w:autoSpaceDE w:val="0"/>
        <w:autoSpaceDN w:val="0"/>
        <w:adjustRightInd w:val="0"/>
        <w:spacing w:after="0" w:line="240" w:lineRule="auto"/>
        <w:jc w:val="both"/>
        <w:rPr>
          <w:rFonts w:ascii="Arial" w:eastAsia="Times New Roman" w:hAnsi="Arial" w:cs="Arial"/>
          <w:color w:val="1F3864" w:themeColor="accent1" w:themeShade="80"/>
          <w:sz w:val="20"/>
          <w:szCs w:val="20"/>
          <w:lang w:val="es-CO"/>
        </w:rPr>
      </w:pPr>
    </w:p>
    <w:p w14:paraId="0B860663" w14:textId="6DEB1136" w:rsidR="00C8470C" w:rsidRDefault="00C8470C" w:rsidP="005247B7">
      <w:pPr>
        <w:pStyle w:val="NormalWeb"/>
        <w:spacing w:before="0" w:beforeAutospacing="0" w:after="150" w:afterAutospacing="0"/>
        <w:jc w:val="both"/>
        <w:rPr>
          <w:rStyle w:val="ms-rtecustom-subttulodeartculo"/>
          <w:rFonts w:ascii="Arial" w:hAnsi="Arial" w:cs="Arial"/>
          <w:color w:val="000000" w:themeColor="text1"/>
          <w:sz w:val="20"/>
          <w:szCs w:val="20"/>
          <w:lang w:val="es-CO"/>
        </w:rPr>
      </w:pPr>
      <w:r w:rsidRPr="00981918">
        <w:rPr>
          <w:rStyle w:val="ms-rtecustom-subttulodeartculo"/>
          <w:rFonts w:ascii="Arial" w:hAnsi="Arial" w:cs="Arial"/>
          <w:color w:val="000000" w:themeColor="text1"/>
          <w:sz w:val="20"/>
          <w:szCs w:val="20"/>
          <w:lang w:val="es-CO"/>
        </w:rPr>
        <w:t xml:space="preserve">Partiendo </w:t>
      </w:r>
      <w:r w:rsidR="005247B7">
        <w:rPr>
          <w:rStyle w:val="ms-rtecustom-subttulodeartculo"/>
          <w:rFonts w:ascii="Arial" w:hAnsi="Arial" w:cs="Arial"/>
          <w:color w:val="000000" w:themeColor="text1"/>
          <w:sz w:val="20"/>
          <w:szCs w:val="20"/>
          <w:lang w:val="es-CO"/>
        </w:rPr>
        <w:t xml:space="preserve">de la explicación </w:t>
      </w:r>
      <w:r w:rsidRPr="00981918">
        <w:rPr>
          <w:rStyle w:val="ms-rtecustom-subttulodeartculo"/>
          <w:rFonts w:ascii="Arial" w:hAnsi="Arial" w:cs="Arial"/>
          <w:color w:val="000000" w:themeColor="text1"/>
          <w:sz w:val="20"/>
          <w:szCs w:val="20"/>
          <w:lang w:val="es-CO"/>
        </w:rPr>
        <w:t>del texto de la NL 2, se efectúa el siguiente análisis para la Enoxaparina</w:t>
      </w:r>
      <w:r w:rsidR="00864083">
        <w:rPr>
          <w:rStyle w:val="ms-rtecustom-subttulodeartculo"/>
          <w:rFonts w:ascii="Arial" w:hAnsi="Arial" w:cs="Arial"/>
          <w:color w:val="000000" w:themeColor="text1"/>
          <w:sz w:val="20"/>
          <w:szCs w:val="20"/>
          <w:lang w:val="es-CO"/>
        </w:rPr>
        <w:t xml:space="preserve"> declarada</w:t>
      </w:r>
      <w:r w:rsidRPr="00981918">
        <w:rPr>
          <w:rStyle w:val="ms-rtecustom-subttulodeartculo"/>
          <w:rFonts w:ascii="Arial" w:hAnsi="Arial" w:cs="Arial"/>
          <w:color w:val="000000" w:themeColor="text1"/>
          <w:sz w:val="20"/>
          <w:szCs w:val="20"/>
          <w:lang w:val="es-CO"/>
        </w:rPr>
        <w:t>:</w:t>
      </w:r>
    </w:p>
    <w:p w14:paraId="6E002A25" w14:textId="7382F512" w:rsidR="005247B7" w:rsidRDefault="005247B7"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p>
    <w:p w14:paraId="0200B206" w14:textId="6FBA34AB" w:rsidR="00D6525D" w:rsidRDefault="00D6525D"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p>
    <w:p w14:paraId="55836F92" w14:textId="445CA68F" w:rsidR="00D6525D" w:rsidRDefault="00D6525D"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p>
    <w:p w14:paraId="316E8F7F" w14:textId="77777777" w:rsidR="006371E9" w:rsidRPr="00981918" w:rsidRDefault="006371E9"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p>
    <w:p w14:paraId="06345912" w14:textId="548BE5E9" w:rsidR="00C8470C" w:rsidRPr="00981918" w:rsidRDefault="00D60B7B"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r>
        <w:rPr>
          <w:rStyle w:val="ms-rtecustom-subttulodeartculo"/>
          <w:rFonts w:ascii="Arial" w:hAnsi="Arial" w:cs="Arial"/>
          <w:b/>
          <w:bCs/>
          <w:color w:val="000000" w:themeColor="text1"/>
          <w:sz w:val="20"/>
          <w:szCs w:val="20"/>
          <w:lang w:val="es-CO"/>
        </w:rPr>
        <w:t>A</w:t>
      </w:r>
      <w:r w:rsidR="00864083">
        <w:rPr>
          <w:rStyle w:val="ms-rtecustom-subttulodeartculo"/>
          <w:rFonts w:ascii="Arial" w:hAnsi="Arial" w:cs="Arial"/>
          <w:b/>
          <w:bCs/>
          <w:color w:val="000000" w:themeColor="text1"/>
          <w:sz w:val="20"/>
          <w:szCs w:val="20"/>
          <w:lang w:val="es-CO"/>
        </w:rPr>
        <w:t xml:space="preserve">. </w:t>
      </w:r>
      <w:r w:rsidR="00981918" w:rsidRPr="00981918">
        <w:rPr>
          <w:rStyle w:val="ms-rtecustom-subttulodeartculo"/>
          <w:rFonts w:ascii="Arial" w:hAnsi="Arial" w:cs="Arial"/>
          <w:b/>
          <w:bCs/>
          <w:color w:val="000000" w:themeColor="text1"/>
          <w:sz w:val="20"/>
          <w:szCs w:val="20"/>
          <w:lang w:val="es-CO"/>
        </w:rPr>
        <w:t>C</w:t>
      </w:r>
      <w:r w:rsidR="00C8470C" w:rsidRPr="00981918">
        <w:rPr>
          <w:rStyle w:val="ms-rtecustom-subttulodeartculo"/>
          <w:rFonts w:ascii="Arial" w:hAnsi="Arial" w:cs="Arial"/>
          <w:b/>
          <w:bCs/>
          <w:color w:val="000000" w:themeColor="text1"/>
          <w:sz w:val="20"/>
          <w:szCs w:val="20"/>
          <w:lang w:val="es-CO"/>
        </w:rPr>
        <w:t>ualquier producto que por su</w:t>
      </w:r>
      <w:r w:rsidR="00981918" w:rsidRPr="00981918">
        <w:rPr>
          <w:rStyle w:val="ms-rtecustom-subttulodeartculo"/>
          <w:rFonts w:ascii="Arial" w:hAnsi="Arial" w:cs="Arial"/>
          <w:b/>
          <w:bCs/>
          <w:color w:val="000000" w:themeColor="text1"/>
          <w:sz w:val="20"/>
          <w:szCs w:val="20"/>
          <w:lang w:val="es-CO"/>
        </w:rPr>
        <w:t xml:space="preserve"> p</w:t>
      </w:r>
      <w:r w:rsidR="00C8470C" w:rsidRPr="00981918">
        <w:rPr>
          <w:rStyle w:val="ms-rtecustom-subttulodeartculo"/>
          <w:rFonts w:ascii="Arial" w:hAnsi="Arial" w:cs="Arial"/>
          <w:b/>
          <w:bCs/>
          <w:color w:val="000000" w:themeColor="text1"/>
          <w:sz w:val="20"/>
          <w:szCs w:val="20"/>
          <w:lang w:val="es-CO"/>
        </w:rPr>
        <w:t>resentación en forma de dosis</w:t>
      </w:r>
      <w:r w:rsidR="00981918" w:rsidRPr="00981918">
        <w:rPr>
          <w:rStyle w:val="ms-rtecustom-subttulodeartculo"/>
          <w:rFonts w:ascii="Arial" w:hAnsi="Arial" w:cs="Arial"/>
          <w:b/>
          <w:bCs/>
          <w:color w:val="000000" w:themeColor="text1"/>
          <w:sz w:val="20"/>
          <w:szCs w:val="20"/>
          <w:lang w:val="es-CO"/>
        </w:rPr>
        <w:t xml:space="preserve"> o acondicionamiento para la venta al por menor</w:t>
      </w:r>
      <w:r w:rsidR="00C8470C" w:rsidRPr="00981918">
        <w:rPr>
          <w:rStyle w:val="ms-rtecustom-subttulodeartculo"/>
          <w:rFonts w:ascii="Arial" w:hAnsi="Arial" w:cs="Arial"/>
          <w:b/>
          <w:bCs/>
          <w:color w:val="000000" w:themeColor="text1"/>
          <w:sz w:val="20"/>
          <w:szCs w:val="20"/>
          <w:lang w:val="es-CO"/>
        </w:rPr>
        <w:t xml:space="preserve">:  </w:t>
      </w:r>
    </w:p>
    <w:p w14:paraId="3B1976D1" w14:textId="553DC085" w:rsidR="00981918" w:rsidRPr="00981918" w:rsidRDefault="00981918" w:rsidP="00652B24">
      <w:pPr>
        <w:pStyle w:val="NormalWeb"/>
        <w:spacing w:before="0" w:beforeAutospacing="0" w:after="150" w:afterAutospacing="0"/>
        <w:jc w:val="both"/>
        <w:rPr>
          <w:rStyle w:val="ms-rtecustom-subttulodeartculo"/>
          <w:rFonts w:ascii="Arial" w:hAnsi="Arial" w:cs="Arial"/>
          <w:color w:val="000000" w:themeColor="text1"/>
          <w:sz w:val="20"/>
          <w:szCs w:val="20"/>
          <w:lang w:val="es-CO"/>
        </w:rPr>
      </w:pPr>
      <w:r w:rsidRPr="00712A13">
        <w:rPr>
          <w:rStyle w:val="ms-rtecustom-subttulodeartculo"/>
          <w:rFonts w:ascii="Arial" w:hAnsi="Arial" w:cs="Arial"/>
          <w:color w:val="000000" w:themeColor="text1"/>
          <w:sz w:val="20"/>
          <w:szCs w:val="20"/>
          <w:lang w:val="es-CO"/>
        </w:rPr>
        <w:t xml:space="preserve">En el caso particular </w:t>
      </w:r>
      <w:r w:rsidRPr="00981918">
        <w:rPr>
          <w:rStyle w:val="ms-rtecustom-subttulodeartculo"/>
          <w:rFonts w:ascii="Arial" w:hAnsi="Arial" w:cs="Arial"/>
          <w:color w:val="000000" w:themeColor="text1"/>
          <w:sz w:val="20"/>
          <w:szCs w:val="20"/>
          <w:lang w:val="es-CO"/>
        </w:rPr>
        <w:t xml:space="preserve">la mercancía viene presentada en jeringas prellenadas 40 mg/0.4 </w:t>
      </w:r>
      <w:r w:rsidR="00652B24" w:rsidRPr="00981918">
        <w:rPr>
          <w:rStyle w:val="ms-rtecustom-subttulodeartculo"/>
          <w:rFonts w:ascii="Arial" w:hAnsi="Arial" w:cs="Arial"/>
          <w:color w:val="000000" w:themeColor="text1"/>
          <w:sz w:val="20"/>
          <w:szCs w:val="20"/>
          <w:lang w:val="es-CO"/>
        </w:rPr>
        <w:t>ml con</w:t>
      </w:r>
      <w:r w:rsidRPr="00981918">
        <w:rPr>
          <w:rStyle w:val="ms-rtecustom-subttulodeartculo"/>
          <w:rFonts w:ascii="Arial" w:hAnsi="Arial" w:cs="Arial"/>
          <w:color w:val="000000" w:themeColor="text1"/>
          <w:sz w:val="20"/>
          <w:szCs w:val="20"/>
          <w:lang w:val="es-CO"/>
        </w:rPr>
        <w:t xml:space="preserve"> aguja y tapón, lista para ser administrada por vía subcutánea.</w:t>
      </w:r>
    </w:p>
    <w:p w14:paraId="524322A9" w14:textId="7A432020" w:rsidR="00981918" w:rsidRDefault="00981918" w:rsidP="00C8470C">
      <w:pPr>
        <w:autoSpaceDE w:val="0"/>
        <w:autoSpaceDN w:val="0"/>
        <w:adjustRightInd w:val="0"/>
        <w:spacing w:after="0" w:line="240" w:lineRule="auto"/>
        <w:jc w:val="both"/>
        <w:rPr>
          <w:rFonts w:ascii="Arial" w:hAnsi="Arial" w:cs="Arial"/>
          <w:color w:val="1F3864" w:themeColor="accent1" w:themeShade="80"/>
          <w:sz w:val="20"/>
          <w:szCs w:val="20"/>
          <w:lang w:val="es-CO"/>
        </w:rPr>
      </w:pPr>
    </w:p>
    <w:p w14:paraId="56180E16" w14:textId="7E4F5E04" w:rsidR="00312ED3" w:rsidRDefault="00D60B7B"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r>
        <w:rPr>
          <w:rStyle w:val="ms-rtecustom-subttulodeartculo"/>
          <w:rFonts w:ascii="Arial" w:hAnsi="Arial" w:cs="Arial"/>
          <w:b/>
          <w:bCs/>
          <w:color w:val="000000" w:themeColor="text1"/>
          <w:sz w:val="20"/>
          <w:szCs w:val="20"/>
          <w:lang w:val="es-CO"/>
        </w:rPr>
        <w:t>B</w:t>
      </w:r>
      <w:r w:rsidR="00981918" w:rsidRPr="00981918">
        <w:rPr>
          <w:rStyle w:val="ms-rtecustom-subttulodeartculo"/>
          <w:rFonts w:ascii="Arial" w:hAnsi="Arial" w:cs="Arial"/>
          <w:b/>
          <w:bCs/>
          <w:color w:val="000000" w:themeColor="text1"/>
          <w:sz w:val="20"/>
          <w:szCs w:val="20"/>
          <w:lang w:val="es-CO"/>
        </w:rPr>
        <w:t>. Pueda incluirse en la partida 30.04:</w:t>
      </w:r>
    </w:p>
    <w:p w14:paraId="45D6C161" w14:textId="77777777" w:rsidR="00C9491F" w:rsidRPr="00981918" w:rsidRDefault="00C9491F"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6"/>
        <w:gridCol w:w="7420"/>
      </w:tblGrid>
      <w:tr w:rsidR="00981918" w:rsidRPr="002A43E9" w14:paraId="05F078BD" w14:textId="77777777" w:rsidTr="00981918">
        <w:trPr>
          <w:trHeight w:val="609"/>
        </w:trPr>
        <w:tc>
          <w:tcPr>
            <w:tcW w:w="1096" w:type="dxa"/>
          </w:tcPr>
          <w:p w14:paraId="4B69E808" w14:textId="77777777" w:rsidR="00981918" w:rsidRPr="00C9491F" w:rsidRDefault="00981918" w:rsidP="00981918">
            <w:pPr>
              <w:autoSpaceDE w:val="0"/>
              <w:autoSpaceDN w:val="0"/>
              <w:adjustRightInd w:val="0"/>
              <w:spacing w:after="0" w:line="240" w:lineRule="auto"/>
              <w:rPr>
                <w:rFonts w:ascii="Arial" w:hAnsi="Arial" w:cs="Arial"/>
                <w:color w:val="000000"/>
                <w:sz w:val="20"/>
                <w:szCs w:val="20"/>
                <w:lang w:val="es-CO"/>
              </w:rPr>
            </w:pPr>
            <w:r w:rsidRPr="00C9491F">
              <w:rPr>
                <w:rFonts w:ascii="Arial" w:hAnsi="Arial" w:cs="Arial"/>
                <w:b/>
                <w:bCs/>
                <w:color w:val="000000"/>
                <w:sz w:val="20"/>
                <w:szCs w:val="20"/>
                <w:lang w:val="es-CO"/>
              </w:rPr>
              <w:t xml:space="preserve">30.04 </w:t>
            </w:r>
          </w:p>
        </w:tc>
        <w:tc>
          <w:tcPr>
            <w:tcW w:w="7420" w:type="dxa"/>
          </w:tcPr>
          <w:p w14:paraId="38F76528" w14:textId="77777777" w:rsidR="00981918" w:rsidRPr="00C9491F" w:rsidRDefault="00981918" w:rsidP="00981918">
            <w:pPr>
              <w:autoSpaceDE w:val="0"/>
              <w:autoSpaceDN w:val="0"/>
              <w:adjustRightInd w:val="0"/>
              <w:spacing w:after="0" w:line="240" w:lineRule="auto"/>
              <w:jc w:val="both"/>
              <w:rPr>
                <w:rFonts w:ascii="Arial" w:hAnsi="Arial" w:cs="Arial"/>
                <w:color w:val="000000"/>
                <w:sz w:val="20"/>
                <w:szCs w:val="20"/>
                <w:lang w:val="es-CO"/>
              </w:rPr>
            </w:pPr>
            <w:r w:rsidRPr="00C9491F">
              <w:rPr>
                <w:rFonts w:ascii="Arial" w:hAnsi="Arial" w:cs="Arial"/>
                <w:b/>
                <w:bCs/>
                <w:color w:val="000000"/>
                <w:sz w:val="20"/>
                <w:szCs w:val="20"/>
                <w:lang w:val="es-CO"/>
              </w:rPr>
              <w:t xml:space="preserve">Medicamentos (excepto los productos de las partidas 30.02, 30.05 o 30.06) constituidos por productos mezclados o sin mezclar, preparados para usos terapéuticos o profilácticos, dosificados (incluidos los destinados a ser administrados por vía transdérmica) o acondicionados para la venta al por menor. </w:t>
            </w:r>
          </w:p>
        </w:tc>
      </w:tr>
    </w:tbl>
    <w:p w14:paraId="451D4D80" w14:textId="77777777" w:rsidR="002B3628" w:rsidRDefault="002B3628"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p>
    <w:p w14:paraId="5F1825F9" w14:textId="58C2D2C9" w:rsidR="00D0561E" w:rsidRPr="00D0561E" w:rsidRDefault="00D0561E"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r w:rsidRPr="00D0561E">
        <w:rPr>
          <w:rStyle w:val="ms-rtecustom-subttulodeartculo"/>
          <w:rFonts w:ascii="Arial" w:hAnsi="Arial" w:cs="Arial"/>
          <w:color w:val="000000" w:themeColor="text1"/>
          <w:sz w:val="20"/>
          <w:szCs w:val="20"/>
          <w:lang w:val="es-CO"/>
        </w:rPr>
        <w:t>poder1. I. TR. 1. Tener expedita la facultad o potencia de hacer algo. </w:t>
      </w:r>
    </w:p>
    <w:p w14:paraId="00088F11" w14:textId="2570DBB7" w:rsidR="00D0561E" w:rsidRDefault="00D0561E"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r w:rsidRPr="00D0561E">
        <w:rPr>
          <w:rStyle w:val="ms-rtecustom-subttulodeartculo"/>
          <w:rFonts w:ascii="Arial" w:hAnsi="Arial" w:cs="Arial"/>
          <w:color w:val="000000" w:themeColor="text1"/>
          <w:sz w:val="20"/>
          <w:szCs w:val="20"/>
          <w:lang w:val="es-CO"/>
        </w:rPr>
        <w:t>https://www.rae.es/desen/poder</w:t>
      </w:r>
    </w:p>
    <w:p w14:paraId="737BCC4B" w14:textId="63652610" w:rsidR="00A073D0" w:rsidRPr="001F3CC3" w:rsidRDefault="00A073D0" w:rsidP="00D0561E">
      <w:pPr>
        <w:pStyle w:val="NormalWeb"/>
        <w:spacing w:before="0" w:beforeAutospacing="0" w:after="150" w:afterAutospacing="0"/>
        <w:jc w:val="both"/>
        <w:rPr>
          <w:rStyle w:val="ms-rtecustom-subttulodeartculo"/>
          <w:rFonts w:ascii="Arial" w:hAnsi="Arial" w:cs="Arial"/>
          <w:color w:val="000000" w:themeColor="text1"/>
          <w:sz w:val="20"/>
          <w:szCs w:val="20"/>
          <w:lang w:val="es-CO"/>
        </w:rPr>
      </w:pPr>
      <w:r w:rsidRPr="001F3CC3">
        <w:rPr>
          <w:rStyle w:val="ms-rtecustom-subttulodeartculo"/>
          <w:rFonts w:ascii="Arial" w:hAnsi="Arial" w:cs="Arial"/>
          <w:color w:val="000000" w:themeColor="text1"/>
          <w:sz w:val="20"/>
          <w:szCs w:val="20"/>
          <w:lang w:val="es-CO"/>
        </w:rPr>
        <w:t>Para determinar s</w:t>
      </w:r>
      <w:r w:rsidR="00110353" w:rsidRPr="001F3CC3">
        <w:rPr>
          <w:rStyle w:val="ms-rtecustom-subttulodeartculo"/>
          <w:rFonts w:ascii="Arial" w:hAnsi="Arial" w:cs="Arial"/>
          <w:color w:val="000000" w:themeColor="text1"/>
          <w:sz w:val="20"/>
          <w:szCs w:val="20"/>
          <w:lang w:val="es-CO"/>
        </w:rPr>
        <w:t xml:space="preserve">i la enoxaparina sódica en jeringas por 0.4 ml </w:t>
      </w:r>
      <w:r w:rsidR="00E26907" w:rsidRPr="001F3CC3">
        <w:rPr>
          <w:rStyle w:val="ms-rtecustom-subttulodeartculo"/>
          <w:rFonts w:ascii="Arial" w:hAnsi="Arial" w:cs="Arial"/>
          <w:color w:val="000000" w:themeColor="text1"/>
          <w:sz w:val="20"/>
          <w:szCs w:val="20"/>
          <w:lang w:val="es-CO"/>
        </w:rPr>
        <w:t xml:space="preserve">puede incluirse en la partida 30.04, se </w:t>
      </w:r>
      <w:r w:rsidR="001F3CC3" w:rsidRPr="001F3CC3">
        <w:rPr>
          <w:rStyle w:val="ms-rtecustom-subttulodeartculo"/>
          <w:rFonts w:ascii="Arial" w:hAnsi="Arial" w:cs="Arial"/>
          <w:color w:val="000000" w:themeColor="text1"/>
          <w:sz w:val="20"/>
          <w:szCs w:val="20"/>
          <w:lang w:val="es-CO"/>
        </w:rPr>
        <w:t>analiza cada uno de los elementos que comprende el texto de la partida en relación con el producto:</w:t>
      </w:r>
    </w:p>
    <w:p w14:paraId="26E2FC76" w14:textId="67460534" w:rsidR="00312ED3" w:rsidRPr="000B57C7" w:rsidRDefault="00981918"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r w:rsidRPr="000B57C7">
        <w:rPr>
          <w:rStyle w:val="ms-rtecustom-subttulodeartculo"/>
          <w:rFonts w:ascii="Arial" w:hAnsi="Arial" w:cs="Arial"/>
          <w:b/>
          <w:bCs/>
          <w:color w:val="000000" w:themeColor="text1"/>
          <w:sz w:val="20"/>
          <w:szCs w:val="20"/>
          <w:lang w:val="es-CO"/>
        </w:rPr>
        <w:t>¿</w:t>
      </w:r>
      <w:r w:rsidR="0045295D">
        <w:rPr>
          <w:rStyle w:val="ms-rtecustom-subttulodeartculo"/>
          <w:rFonts w:ascii="Arial" w:hAnsi="Arial" w:cs="Arial"/>
          <w:b/>
          <w:bCs/>
          <w:color w:val="000000" w:themeColor="text1"/>
          <w:sz w:val="20"/>
          <w:szCs w:val="20"/>
          <w:lang w:val="es-CO"/>
        </w:rPr>
        <w:t>La enoxaparina en jeringas</w:t>
      </w:r>
      <w:r w:rsidR="00D42AD0">
        <w:rPr>
          <w:rStyle w:val="ms-rtecustom-subttulodeartculo"/>
          <w:rFonts w:ascii="Arial" w:hAnsi="Arial" w:cs="Arial"/>
          <w:b/>
          <w:bCs/>
          <w:color w:val="000000" w:themeColor="text1"/>
          <w:sz w:val="20"/>
          <w:szCs w:val="20"/>
          <w:lang w:val="es-CO"/>
        </w:rPr>
        <w:t xml:space="preserve"> 40mg</w:t>
      </w:r>
      <w:r w:rsidR="00C37536">
        <w:rPr>
          <w:rStyle w:val="ms-rtecustom-subttulodeartculo"/>
          <w:rFonts w:ascii="Arial" w:hAnsi="Arial" w:cs="Arial"/>
          <w:b/>
          <w:bCs/>
          <w:color w:val="000000" w:themeColor="text1"/>
          <w:sz w:val="20"/>
          <w:szCs w:val="20"/>
          <w:lang w:val="es-CO"/>
        </w:rPr>
        <w:t>/0.4 ml</w:t>
      </w:r>
      <w:r w:rsidR="0045295D">
        <w:rPr>
          <w:rStyle w:val="ms-rtecustom-subttulodeartculo"/>
          <w:rFonts w:ascii="Arial" w:hAnsi="Arial" w:cs="Arial"/>
          <w:b/>
          <w:bCs/>
          <w:color w:val="000000" w:themeColor="text1"/>
          <w:sz w:val="20"/>
          <w:szCs w:val="20"/>
          <w:lang w:val="es-CO"/>
        </w:rPr>
        <w:t xml:space="preserve"> </w:t>
      </w:r>
      <w:r w:rsidR="006C4BE2">
        <w:rPr>
          <w:rStyle w:val="ms-rtecustom-subttulodeartculo"/>
          <w:rFonts w:ascii="Arial" w:hAnsi="Arial" w:cs="Arial"/>
          <w:b/>
          <w:bCs/>
          <w:color w:val="000000" w:themeColor="text1"/>
          <w:sz w:val="20"/>
          <w:szCs w:val="20"/>
          <w:lang w:val="es-CO"/>
        </w:rPr>
        <w:t>e</w:t>
      </w:r>
      <w:r w:rsidRPr="000B57C7">
        <w:rPr>
          <w:rStyle w:val="ms-rtecustom-subttulodeartculo"/>
          <w:rFonts w:ascii="Arial" w:hAnsi="Arial" w:cs="Arial"/>
          <w:b/>
          <w:bCs/>
          <w:color w:val="000000" w:themeColor="text1"/>
          <w:sz w:val="20"/>
          <w:szCs w:val="20"/>
          <w:lang w:val="es-CO"/>
        </w:rPr>
        <w:t>s un medicamento?</w:t>
      </w:r>
    </w:p>
    <w:p w14:paraId="1EBAB75A" w14:textId="3DE439E3" w:rsidR="00981918" w:rsidRPr="00664439" w:rsidRDefault="00BE4820" w:rsidP="00664439">
      <w:pPr>
        <w:pStyle w:val="NormalWeb"/>
        <w:spacing w:before="0" w:beforeAutospacing="0" w:after="150" w:afterAutospacing="0"/>
        <w:jc w:val="both"/>
        <w:rPr>
          <w:rFonts w:ascii="Arial" w:hAnsi="Arial" w:cs="Arial"/>
          <w:i/>
          <w:iCs/>
          <w:sz w:val="20"/>
          <w:szCs w:val="20"/>
          <w:shd w:val="clear" w:color="auto" w:fill="FFFFFF"/>
          <w:lang w:val="es-CO"/>
        </w:rPr>
      </w:pPr>
      <w:r w:rsidRPr="00664439">
        <w:rPr>
          <w:rFonts w:ascii="Arial" w:hAnsi="Arial" w:cs="Arial"/>
          <w:i/>
          <w:iCs/>
          <w:sz w:val="20"/>
          <w:szCs w:val="20"/>
          <w:shd w:val="clear" w:color="auto" w:fill="FFFFFF"/>
          <w:lang w:val="es-CO"/>
        </w:rPr>
        <w:t xml:space="preserve">Los medicamentos son los preparados </w:t>
      </w:r>
      <w:r w:rsidRPr="002A43E9">
        <w:rPr>
          <w:rStyle w:val="ms-rtecustom-subttulodeartculo"/>
          <w:i/>
          <w:iCs/>
          <w:color w:val="000000" w:themeColor="text1"/>
          <w:lang w:val="es-CO"/>
        </w:rPr>
        <w:t>farmacéuticos</w:t>
      </w:r>
      <w:r w:rsidRPr="00664439">
        <w:rPr>
          <w:rFonts w:ascii="Arial" w:hAnsi="Arial" w:cs="Arial"/>
          <w:i/>
          <w:iCs/>
          <w:sz w:val="20"/>
          <w:szCs w:val="20"/>
          <w:shd w:val="clear" w:color="auto" w:fill="FFFFFF"/>
          <w:lang w:val="es-CO"/>
        </w:rPr>
        <w:t xml:space="preserve"> obtenidos a partir de principios activos (la sustancia que cumple la función farmacológica), con o sin sustancias auxiliares (sustancias inactivas que cumplen alguna función no farmacológica), presentados en una forma farmacéutica (cápsula, tableta, solución inyectable, etc.) que se utilizan para la prevención, alivio, diagnóstico, tratamiento, curación o rehabilitación de la enfermedad. </w:t>
      </w:r>
    </w:p>
    <w:p w14:paraId="778D8643" w14:textId="2DCA7992" w:rsidR="000B57C7" w:rsidRPr="00712A13" w:rsidRDefault="00643E77" w:rsidP="00C90611">
      <w:pPr>
        <w:pStyle w:val="NormalWeb"/>
        <w:spacing w:before="0" w:beforeAutospacing="0" w:after="150" w:afterAutospacing="0"/>
        <w:rPr>
          <w:rFonts w:ascii="Arial" w:hAnsi="Arial" w:cs="Arial"/>
          <w:sz w:val="20"/>
          <w:szCs w:val="20"/>
          <w:shd w:val="clear" w:color="auto" w:fill="FFFFFF"/>
          <w:lang w:val="es-CO"/>
        </w:rPr>
      </w:pPr>
      <w:r>
        <w:rPr>
          <w:rFonts w:ascii="Arial" w:hAnsi="Arial" w:cs="Arial"/>
          <w:sz w:val="20"/>
          <w:szCs w:val="20"/>
          <w:shd w:val="clear" w:color="auto" w:fill="FFFFFF"/>
          <w:lang w:val="es-CO"/>
        </w:rPr>
        <w:t xml:space="preserve">Definición del </w:t>
      </w:r>
      <w:r w:rsidR="000B57C7" w:rsidRPr="00712A13">
        <w:rPr>
          <w:rFonts w:ascii="Arial" w:hAnsi="Arial" w:cs="Arial"/>
          <w:sz w:val="20"/>
          <w:szCs w:val="20"/>
          <w:shd w:val="clear" w:color="auto" w:fill="FFFFFF"/>
          <w:lang w:val="es-CO"/>
        </w:rPr>
        <w:t>Artículo 2 del Decreto 677 de 1995</w:t>
      </w:r>
    </w:p>
    <w:p w14:paraId="2C5B88A6" w14:textId="417B5363" w:rsidR="000B57C7" w:rsidRPr="000B57C7" w:rsidRDefault="000B57C7" w:rsidP="00C90611">
      <w:pPr>
        <w:pStyle w:val="NormalWeb"/>
        <w:spacing w:before="0" w:beforeAutospacing="0" w:after="150" w:afterAutospacing="0"/>
        <w:rPr>
          <w:rStyle w:val="ms-rtecustom-subttulodeartculo"/>
          <w:rFonts w:ascii="Arial" w:hAnsi="Arial" w:cs="Arial"/>
          <w:sz w:val="20"/>
          <w:szCs w:val="20"/>
          <w:lang w:val="es-CO"/>
        </w:rPr>
      </w:pPr>
      <w:r w:rsidRPr="000B57C7">
        <w:rPr>
          <w:rStyle w:val="ms-rtecustom-subttulodeartculo"/>
          <w:rFonts w:ascii="Arial" w:hAnsi="Arial" w:cs="Arial"/>
          <w:sz w:val="20"/>
          <w:szCs w:val="20"/>
          <w:lang w:val="es-CO"/>
        </w:rPr>
        <w:t>Principio activo:  enoxaparina</w:t>
      </w:r>
    </w:p>
    <w:p w14:paraId="333AC220" w14:textId="19221699" w:rsidR="000B57C7" w:rsidRPr="000B57C7" w:rsidRDefault="000B57C7" w:rsidP="00C90611">
      <w:pPr>
        <w:pStyle w:val="NormalWeb"/>
        <w:spacing w:before="0" w:beforeAutospacing="0" w:after="150" w:afterAutospacing="0"/>
        <w:rPr>
          <w:rStyle w:val="ms-rtecustom-subttulodeartculo"/>
          <w:rFonts w:ascii="Arial" w:hAnsi="Arial" w:cs="Arial"/>
          <w:sz w:val="20"/>
          <w:szCs w:val="20"/>
          <w:lang w:val="es-CO"/>
        </w:rPr>
      </w:pPr>
      <w:r w:rsidRPr="000B57C7">
        <w:rPr>
          <w:rStyle w:val="ms-rtecustom-subttulodeartculo"/>
          <w:rFonts w:ascii="Arial" w:hAnsi="Arial" w:cs="Arial"/>
          <w:sz w:val="20"/>
          <w:szCs w:val="20"/>
          <w:lang w:val="es-CO"/>
        </w:rPr>
        <w:t>Sustancias auxiliares:  agua</w:t>
      </w:r>
    </w:p>
    <w:p w14:paraId="4BC9B89C" w14:textId="0372F685" w:rsidR="000B57C7" w:rsidRDefault="000B57C7" w:rsidP="00C90611">
      <w:pPr>
        <w:pStyle w:val="NormalWeb"/>
        <w:spacing w:before="0" w:beforeAutospacing="0" w:after="150" w:afterAutospacing="0"/>
        <w:rPr>
          <w:rStyle w:val="ms-rtecustom-subttulodeartculo"/>
          <w:rFonts w:ascii="Arial" w:hAnsi="Arial" w:cs="Arial"/>
          <w:sz w:val="20"/>
          <w:szCs w:val="20"/>
          <w:lang w:val="es-CO"/>
        </w:rPr>
      </w:pPr>
      <w:r w:rsidRPr="000B57C7">
        <w:rPr>
          <w:rStyle w:val="ms-rtecustom-subttulodeartculo"/>
          <w:rFonts w:ascii="Arial" w:hAnsi="Arial" w:cs="Arial"/>
          <w:sz w:val="20"/>
          <w:szCs w:val="20"/>
          <w:lang w:val="es-CO"/>
        </w:rPr>
        <w:t>Forma farmacéutica:  solución inyectable</w:t>
      </w:r>
      <w:r w:rsidR="00BE7507">
        <w:rPr>
          <w:rStyle w:val="ms-rtecustom-subttulodeartculo"/>
          <w:rFonts w:ascii="Arial" w:hAnsi="Arial" w:cs="Arial"/>
          <w:sz w:val="20"/>
          <w:szCs w:val="20"/>
          <w:lang w:val="es-CO"/>
        </w:rPr>
        <w:t xml:space="preserve"> vía subcutánea</w:t>
      </w:r>
    </w:p>
    <w:p w14:paraId="4F97DBE0" w14:textId="1D26ED67" w:rsidR="003309B3" w:rsidRDefault="003309B3" w:rsidP="008D002E">
      <w:pPr>
        <w:pStyle w:val="NormalWeb"/>
        <w:spacing w:before="0" w:beforeAutospacing="0" w:after="150" w:afterAutospacing="0"/>
        <w:jc w:val="both"/>
        <w:rPr>
          <w:rFonts w:ascii="Arial" w:hAnsi="Arial" w:cs="Arial"/>
          <w:sz w:val="20"/>
          <w:szCs w:val="20"/>
          <w:lang w:val="es-CO"/>
        </w:rPr>
      </w:pPr>
      <w:r>
        <w:rPr>
          <w:rStyle w:val="ms-rtecustom-subttulodeartculo"/>
          <w:rFonts w:ascii="Arial" w:hAnsi="Arial" w:cs="Arial"/>
          <w:sz w:val="20"/>
          <w:szCs w:val="20"/>
          <w:lang w:val="es-CO"/>
        </w:rPr>
        <w:t xml:space="preserve">Utilización:  en prevención </w:t>
      </w:r>
      <w:r w:rsidR="00F62F96">
        <w:rPr>
          <w:rStyle w:val="ms-rtecustom-subttulodeartculo"/>
          <w:rFonts w:ascii="Arial" w:hAnsi="Arial" w:cs="Arial"/>
          <w:sz w:val="20"/>
          <w:szCs w:val="20"/>
          <w:lang w:val="es-CO"/>
        </w:rPr>
        <w:t>de trombosis</w:t>
      </w:r>
      <w:r>
        <w:rPr>
          <w:rStyle w:val="ms-rtecustom-subttulodeartculo"/>
          <w:rFonts w:ascii="Arial" w:hAnsi="Arial" w:cs="Arial"/>
          <w:sz w:val="20"/>
          <w:szCs w:val="20"/>
          <w:lang w:val="es-CO"/>
        </w:rPr>
        <w:t xml:space="preserve"> venosa profunda y tromboembolismo y en </w:t>
      </w:r>
      <w:r>
        <w:rPr>
          <w:rFonts w:ascii="Arial" w:hAnsi="Arial" w:cs="Arial"/>
          <w:sz w:val="20"/>
          <w:szCs w:val="20"/>
          <w:lang w:val="es-CO"/>
        </w:rPr>
        <w:t>t</w:t>
      </w:r>
      <w:r w:rsidRPr="00981918">
        <w:rPr>
          <w:rFonts w:ascii="Arial" w:hAnsi="Arial" w:cs="Arial"/>
          <w:sz w:val="20"/>
          <w:szCs w:val="20"/>
          <w:lang w:val="es-CO"/>
        </w:rPr>
        <w:t>ratamiento de la trombosis venosa profunda con o sin embolismo pulmonar</w:t>
      </w:r>
      <w:r>
        <w:rPr>
          <w:rFonts w:ascii="Arial" w:hAnsi="Arial" w:cs="Arial"/>
          <w:sz w:val="20"/>
          <w:szCs w:val="20"/>
          <w:lang w:val="es-CO"/>
        </w:rPr>
        <w:t xml:space="preserve"> y de </w:t>
      </w:r>
      <w:r w:rsidRPr="00981918">
        <w:rPr>
          <w:rFonts w:ascii="Arial" w:hAnsi="Arial" w:cs="Arial"/>
          <w:sz w:val="20"/>
          <w:szCs w:val="20"/>
          <w:lang w:val="es-CO"/>
        </w:rPr>
        <w:t>angina inestable e infarto miocárdico sin onda Q</w:t>
      </w:r>
      <w:r>
        <w:rPr>
          <w:rFonts w:ascii="Arial" w:hAnsi="Arial" w:cs="Arial"/>
          <w:sz w:val="20"/>
          <w:szCs w:val="20"/>
          <w:lang w:val="es-CO"/>
        </w:rPr>
        <w:t>.</w:t>
      </w:r>
    </w:p>
    <w:p w14:paraId="796E4329" w14:textId="117C3CF3" w:rsidR="00865F45" w:rsidRDefault="00865F45" w:rsidP="008D002E">
      <w:pPr>
        <w:pStyle w:val="NormalWeb"/>
        <w:spacing w:before="0" w:beforeAutospacing="0" w:after="150" w:afterAutospacing="0"/>
        <w:jc w:val="both"/>
        <w:rPr>
          <w:rFonts w:ascii="Arial" w:hAnsi="Arial" w:cs="Arial"/>
          <w:sz w:val="20"/>
          <w:szCs w:val="20"/>
          <w:lang w:val="es-CO"/>
        </w:rPr>
      </w:pPr>
      <w:r>
        <w:rPr>
          <w:rFonts w:ascii="Arial" w:hAnsi="Arial" w:cs="Arial"/>
          <w:sz w:val="20"/>
          <w:szCs w:val="20"/>
          <w:lang w:val="es-CO"/>
        </w:rPr>
        <w:t>Se resalta que una forma farmacéutica se define como:</w:t>
      </w:r>
    </w:p>
    <w:p w14:paraId="75C45C56" w14:textId="6C68003D" w:rsidR="00865F45" w:rsidRDefault="00865F45" w:rsidP="008D002E">
      <w:pPr>
        <w:pStyle w:val="NormalWeb"/>
        <w:spacing w:before="0" w:beforeAutospacing="0" w:after="150" w:afterAutospacing="0"/>
        <w:jc w:val="both"/>
        <w:rPr>
          <w:rStyle w:val="ms-rtecustom-subttulodeartculo"/>
          <w:rFonts w:ascii="Arial" w:hAnsi="Arial" w:cs="Arial"/>
          <w:sz w:val="20"/>
          <w:szCs w:val="20"/>
          <w:lang w:val="es-CO"/>
        </w:rPr>
      </w:pPr>
      <w:r w:rsidRPr="00BE7507">
        <w:rPr>
          <w:rStyle w:val="ms-rtecustom-subttulodeartculo"/>
          <w:rFonts w:ascii="Arial" w:hAnsi="Arial" w:cs="Arial"/>
          <w:i/>
          <w:iCs/>
          <w:sz w:val="20"/>
          <w:szCs w:val="20"/>
          <w:lang w:val="es-CO"/>
        </w:rPr>
        <w:t>Formas farmacéuticas Los fármacos se elaboran en diferentes presentaciones para permitir su correcta administración. Estas presentaciones o formatos se denominan formas farmacéuticas y facilitan el suministro de los medicamentos al organismo por las diferentes vías de administración</w:t>
      </w:r>
      <w:r w:rsidRPr="00865F45">
        <w:rPr>
          <w:rStyle w:val="ms-rtecustom-subttulodeartculo"/>
          <w:rFonts w:ascii="Arial" w:hAnsi="Arial" w:cs="Arial"/>
          <w:sz w:val="20"/>
          <w:szCs w:val="20"/>
          <w:lang w:val="es-CO"/>
        </w:rPr>
        <w:t>.</w:t>
      </w:r>
    </w:p>
    <w:p w14:paraId="6CDE1FA4" w14:textId="4A8E6E30" w:rsidR="00BE7507" w:rsidRDefault="004D5B32" w:rsidP="008D002E">
      <w:pPr>
        <w:pStyle w:val="NormalWeb"/>
        <w:spacing w:before="0" w:beforeAutospacing="0" w:after="150" w:afterAutospacing="0"/>
        <w:jc w:val="both"/>
        <w:rPr>
          <w:rStyle w:val="ms-rtecustom-subttulodeartculo"/>
          <w:rFonts w:ascii="Arial" w:hAnsi="Arial" w:cs="Arial"/>
          <w:sz w:val="20"/>
          <w:szCs w:val="20"/>
          <w:lang w:val="es-CO"/>
        </w:rPr>
      </w:pPr>
      <w:r w:rsidRPr="004D5B32">
        <w:rPr>
          <w:rStyle w:val="ms-rtecustom-subttulodeartculo"/>
          <w:rFonts w:ascii="Arial" w:hAnsi="Arial" w:cs="Arial"/>
          <w:sz w:val="20"/>
          <w:szCs w:val="20"/>
          <w:lang w:val="es-CO"/>
        </w:rPr>
        <w:t>https://repository.ucc.edu.co/server/api/core/bitstreams/8399ea97-2c17-4836-a879-15602a1ebc21/content</w:t>
      </w:r>
    </w:p>
    <w:p w14:paraId="52FA5590" w14:textId="756DAE5A" w:rsidR="004D5B32" w:rsidRDefault="004D5B32" w:rsidP="008D002E">
      <w:pPr>
        <w:pStyle w:val="NormalWeb"/>
        <w:spacing w:before="0" w:beforeAutospacing="0" w:after="150" w:afterAutospacing="0"/>
        <w:jc w:val="both"/>
        <w:rPr>
          <w:rFonts w:ascii="Arial" w:hAnsi="Arial" w:cs="Arial"/>
          <w:sz w:val="20"/>
          <w:szCs w:val="20"/>
          <w:lang w:val="es-CO"/>
        </w:rPr>
      </w:pPr>
    </w:p>
    <w:p w14:paraId="0BC6A650" w14:textId="5EE70907" w:rsidR="00496C50" w:rsidRDefault="00496C50" w:rsidP="008D002E">
      <w:pPr>
        <w:pStyle w:val="NormalWeb"/>
        <w:spacing w:before="0" w:beforeAutospacing="0" w:after="150" w:afterAutospacing="0"/>
        <w:jc w:val="both"/>
        <w:rPr>
          <w:rFonts w:ascii="Arial" w:hAnsi="Arial" w:cs="Arial"/>
          <w:sz w:val="20"/>
          <w:szCs w:val="20"/>
          <w:lang w:val="es-CO"/>
        </w:rPr>
      </w:pPr>
    </w:p>
    <w:p w14:paraId="605233B3" w14:textId="4C9631EB" w:rsidR="00496C50" w:rsidRDefault="00496C50" w:rsidP="008D002E">
      <w:pPr>
        <w:pStyle w:val="NormalWeb"/>
        <w:spacing w:before="0" w:beforeAutospacing="0" w:after="150" w:afterAutospacing="0"/>
        <w:jc w:val="both"/>
        <w:rPr>
          <w:rFonts w:ascii="Arial" w:hAnsi="Arial" w:cs="Arial"/>
          <w:sz w:val="20"/>
          <w:szCs w:val="20"/>
          <w:lang w:val="es-CO"/>
        </w:rPr>
      </w:pPr>
    </w:p>
    <w:p w14:paraId="0F3FC897" w14:textId="0ADFD4C9" w:rsidR="00087BE1" w:rsidRDefault="00087BE1" w:rsidP="008D002E">
      <w:pPr>
        <w:pStyle w:val="NormalWeb"/>
        <w:spacing w:before="0" w:beforeAutospacing="0" w:after="150" w:afterAutospacing="0"/>
        <w:jc w:val="both"/>
        <w:rPr>
          <w:rFonts w:ascii="Arial" w:hAnsi="Arial" w:cs="Arial"/>
          <w:sz w:val="20"/>
          <w:szCs w:val="20"/>
          <w:lang w:val="es-CO"/>
        </w:rPr>
      </w:pPr>
      <w:r>
        <w:rPr>
          <w:rFonts w:ascii="Arial" w:hAnsi="Arial" w:cs="Arial"/>
          <w:sz w:val="20"/>
          <w:szCs w:val="20"/>
          <w:lang w:val="es-CO"/>
        </w:rPr>
        <w:t>Según</w:t>
      </w:r>
      <w:r w:rsidR="009E71E6">
        <w:rPr>
          <w:rFonts w:ascii="Arial" w:hAnsi="Arial" w:cs="Arial"/>
          <w:sz w:val="20"/>
          <w:szCs w:val="20"/>
          <w:lang w:val="es-CO"/>
        </w:rPr>
        <w:t xml:space="preserve"> visto bueno del</w:t>
      </w:r>
      <w:r>
        <w:rPr>
          <w:rFonts w:ascii="Arial" w:hAnsi="Arial" w:cs="Arial"/>
          <w:sz w:val="20"/>
          <w:szCs w:val="20"/>
          <w:lang w:val="es-CO"/>
        </w:rPr>
        <w:t xml:space="preserve"> registro de importación, el producto es c</w:t>
      </w:r>
      <w:r w:rsidR="00DE5066">
        <w:rPr>
          <w:rFonts w:ascii="Arial" w:hAnsi="Arial" w:cs="Arial"/>
          <w:sz w:val="20"/>
          <w:szCs w:val="20"/>
          <w:lang w:val="es-CO"/>
        </w:rPr>
        <w:t>atalogado como medicamento:</w:t>
      </w:r>
    </w:p>
    <w:p w14:paraId="348E5B72" w14:textId="636689B1" w:rsidR="00DE5066" w:rsidRDefault="009E71E6" w:rsidP="008D002E">
      <w:pPr>
        <w:pStyle w:val="NormalWeb"/>
        <w:spacing w:before="0" w:beforeAutospacing="0" w:after="150" w:afterAutospacing="0"/>
        <w:jc w:val="both"/>
        <w:rPr>
          <w:rFonts w:ascii="Arial" w:hAnsi="Arial" w:cs="Arial"/>
          <w:sz w:val="20"/>
          <w:szCs w:val="20"/>
          <w:lang w:val="es-CO"/>
        </w:rPr>
      </w:pPr>
      <w:r w:rsidRPr="00AB233C">
        <w:rPr>
          <w:noProof/>
        </w:rPr>
        <w:drawing>
          <wp:inline distT="0" distB="0" distL="0" distR="0" wp14:anchorId="6FBD4941" wp14:editId="4BB0296A">
            <wp:extent cx="5561463" cy="2634018"/>
            <wp:effectExtent l="0" t="0" r="1270" b="0"/>
            <wp:docPr id="18" name="Imagen 18"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nterfaz de usuario gráfica&#10;&#10;Descripción generada automáticamente con confianza media"/>
                    <pic:cNvPicPr/>
                  </pic:nvPicPr>
                  <pic:blipFill rotWithShape="1">
                    <a:blip r:embed="rId10"/>
                    <a:srcRect t="-1" r="895" b="21610"/>
                    <a:stretch/>
                  </pic:blipFill>
                  <pic:spPr bwMode="auto">
                    <a:xfrm>
                      <a:off x="0" y="0"/>
                      <a:ext cx="5561885" cy="2634218"/>
                    </a:xfrm>
                    <a:prstGeom prst="rect">
                      <a:avLst/>
                    </a:prstGeom>
                    <a:ln>
                      <a:noFill/>
                    </a:ln>
                    <a:extLst>
                      <a:ext uri="{53640926-AAD7-44D8-BBD7-CCE9431645EC}">
                        <a14:shadowObscured xmlns:a14="http://schemas.microsoft.com/office/drawing/2010/main"/>
                      </a:ext>
                    </a:extLst>
                  </pic:spPr>
                </pic:pic>
              </a:graphicData>
            </a:graphic>
          </wp:inline>
        </w:drawing>
      </w:r>
    </w:p>
    <w:p w14:paraId="2CB8DA3C" w14:textId="7393787F" w:rsidR="006B2424" w:rsidRDefault="00067D46" w:rsidP="00423367">
      <w:pPr>
        <w:pStyle w:val="NormalWeb"/>
        <w:spacing w:before="0" w:beforeAutospacing="0" w:after="150" w:afterAutospacing="0"/>
        <w:jc w:val="both"/>
        <w:rPr>
          <w:rFonts w:ascii="Arial" w:hAnsi="Arial" w:cs="Arial"/>
          <w:sz w:val="20"/>
          <w:szCs w:val="20"/>
          <w:lang w:val="es-CO"/>
        </w:rPr>
      </w:pPr>
      <w:r>
        <w:rPr>
          <w:rFonts w:ascii="Arial" w:hAnsi="Arial" w:cs="Arial"/>
          <w:sz w:val="20"/>
          <w:szCs w:val="20"/>
          <w:lang w:val="es-CO"/>
        </w:rPr>
        <w:t xml:space="preserve">Según la ficha farmacoterapéutica aportada por el importador, </w:t>
      </w:r>
      <w:r w:rsidR="00D331C6">
        <w:rPr>
          <w:rFonts w:ascii="Arial" w:hAnsi="Arial" w:cs="Arial"/>
          <w:sz w:val="20"/>
          <w:szCs w:val="20"/>
          <w:lang w:val="es-CO"/>
        </w:rPr>
        <w:t>se trata de un medicamento incluido en el Plan de Beneficios en Salud.</w:t>
      </w:r>
    </w:p>
    <w:p w14:paraId="14F8CF31" w14:textId="309DB1C0" w:rsidR="002172CD" w:rsidRDefault="002172CD" w:rsidP="00423367">
      <w:pPr>
        <w:pStyle w:val="NormalWeb"/>
        <w:spacing w:before="0" w:beforeAutospacing="0" w:after="150" w:afterAutospacing="0"/>
        <w:jc w:val="both"/>
        <w:rPr>
          <w:rFonts w:ascii="Arial" w:hAnsi="Arial" w:cs="Arial"/>
          <w:sz w:val="20"/>
          <w:szCs w:val="20"/>
          <w:lang w:val="es-CO"/>
        </w:rPr>
      </w:pPr>
      <w:r>
        <w:rPr>
          <w:rFonts w:ascii="Arial" w:hAnsi="Arial" w:cs="Arial"/>
          <w:sz w:val="20"/>
          <w:szCs w:val="20"/>
          <w:lang w:val="es-CO"/>
        </w:rPr>
        <w:t xml:space="preserve">Se encuentra además que la enoxaparina </w:t>
      </w:r>
      <w:r w:rsidR="008D002E">
        <w:rPr>
          <w:rFonts w:ascii="Arial" w:hAnsi="Arial" w:cs="Arial"/>
          <w:sz w:val="20"/>
          <w:szCs w:val="20"/>
          <w:lang w:val="es-CO"/>
        </w:rPr>
        <w:t xml:space="preserve">en jeringas prellenadas está en la lista de medicamentos esenciales de la OMS e </w:t>
      </w:r>
      <w:r w:rsidR="00A263F7">
        <w:rPr>
          <w:rFonts w:ascii="Arial" w:hAnsi="Arial" w:cs="Arial"/>
          <w:sz w:val="20"/>
          <w:szCs w:val="20"/>
          <w:lang w:val="es-CO"/>
        </w:rPr>
        <w:t>incluida</w:t>
      </w:r>
      <w:r w:rsidR="008D002E">
        <w:rPr>
          <w:rFonts w:ascii="Arial" w:hAnsi="Arial" w:cs="Arial"/>
          <w:sz w:val="20"/>
          <w:szCs w:val="20"/>
          <w:lang w:val="es-CO"/>
        </w:rPr>
        <w:t xml:space="preserve"> por Colombia en el listado de medicamentos del POS</w:t>
      </w:r>
      <w:r w:rsidR="00DF5AB7">
        <w:rPr>
          <w:rFonts w:ascii="Arial" w:hAnsi="Arial" w:cs="Arial"/>
          <w:sz w:val="20"/>
          <w:szCs w:val="20"/>
          <w:lang w:val="es-CO"/>
        </w:rPr>
        <w:t>:</w:t>
      </w:r>
    </w:p>
    <w:p w14:paraId="0628E4B5" w14:textId="1E4D1AC4" w:rsidR="002172CD" w:rsidRDefault="008D002E" w:rsidP="00423367">
      <w:pPr>
        <w:pStyle w:val="NormalWeb"/>
        <w:spacing w:before="0" w:beforeAutospacing="0" w:after="150" w:afterAutospacing="0"/>
        <w:jc w:val="both"/>
        <w:rPr>
          <w:rFonts w:ascii="Arial" w:hAnsi="Arial" w:cs="Arial"/>
          <w:sz w:val="20"/>
          <w:szCs w:val="20"/>
          <w:lang w:val="es-CO"/>
        </w:rPr>
      </w:pPr>
      <w:r w:rsidRPr="008D002E">
        <w:rPr>
          <w:rFonts w:ascii="Arial" w:hAnsi="Arial" w:cs="Arial"/>
          <w:sz w:val="20"/>
          <w:szCs w:val="20"/>
          <w:lang w:val="es-CO"/>
        </w:rPr>
        <w:t>https://www.paho.org/es/documentos/22a-lista-modelo-oms-medicamentos-esenciales-ingles</w:t>
      </w:r>
    </w:p>
    <w:p w14:paraId="04C70EAD" w14:textId="08209BAC" w:rsidR="002172CD" w:rsidRDefault="008D002E" w:rsidP="00423367">
      <w:pPr>
        <w:pStyle w:val="NormalWeb"/>
        <w:spacing w:before="0" w:beforeAutospacing="0" w:after="150" w:afterAutospacing="0"/>
        <w:jc w:val="both"/>
        <w:rPr>
          <w:rFonts w:ascii="Arial" w:hAnsi="Arial" w:cs="Arial"/>
          <w:sz w:val="20"/>
          <w:szCs w:val="20"/>
          <w:lang w:val="es-CO"/>
        </w:rPr>
      </w:pPr>
      <w:r w:rsidRPr="008D002E">
        <w:rPr>
          <w:rFonts w:ascii="Arial" w:hAnsi="Arial" w:cs="Arial"/>
          <w:sz w:val="20"/>
          <w:szCs w:val="20"/>
          <w:lang w:val="es-CO"/>
        </w:rPr>
        <w:t>https://www.minsalud.gov.co/salud/POS/Documents/DOCUMENTO-ANALISIS-COMPARATIVO-MEDICAMENTOS-OMS_VS_%20PB%20_15.pdf</w:t>
      </w:r>
    </w:p>
    <w:p w14:paraId="5E3EC044" w14:textId="608752F6" w:rsidR="002172CD" w:rsidRDefault="00434258" w:rsidP="003309B3">
      <w:pPr>
        <w:pStyle w:val="NormalWeb"/>
        <w:spacing w:before="0" w:beforeAutospacing="0" w:after="150" w:afterAutospacing="0"/>
        <w:jc w:val="both"/>
        <w:rPr>
          <w:rStyle w:val="ms-rtecustom-subttulodeartculo"/>
          <w:rFonts w:ascii="Arial" w:hAnsi="Arial" w:cs="Arial"/>
          <w:sz w:val="20"/>
          <w:szCs w:val="20"/>
          <w:lang w:val="es-CO"/>
        </w:rPr>
      </w:pPr>
      <w:r>
        <w:rPr>
          <w:rStyle w:val="ms-rtecustom-subttulodeartculo"/>
          <w:rFonts w:ascii="Arial" w:hAnsi="Arial" w:cs="Arial"/>
          <w:sz w:val="20"/>
          <w:szCs w:val="20"/>
          <w:lang w:val="es-CO"/>
        </w:rPr>
        <w:t xml:space="preserve">La Agencia Europea de Medicinas y la </w:t>
      </w:r>
      <w:r w:rsidR="00E95918">
        <w:rPr>
          <w:rStyle w:val="ms-rtecustom-subttulodeartculo"/>
          <w:rFonts w:ascii="Arial" w:hAnsi="Arial" w:cs="Arial"/>
          <w:sz w:val="20"/>
          <w:szCs w:val="20"/>
          <w:lang w:val="es-CO"/>
        </w:rPr>
        <w:t xml:space="preserve">Administración de Drogas y Medicamentos de Estados Unidos </w:t>
      </w:r>
      <w:r w:rsidR="00F30054">
        <w:rPr>
          <w:rStyle w:val="ms-rtecustom-subttulodeartculo"/>
          <w:rFonts w:ascii="Arial" w:hAnsi="Arial" w:cs="Arial"/>
          <w:sz w:val="20"/>
          <w:szCs w:val="20"/>
          <w:lang w:val="es-CO"/>
        </w:rPr>
        <w:t>se refieren a la Enoxaparina sódica en</w:t>
      </w:r>
      <w:r w:rsidR="001629EF">
        <w:rPr>
          <w:rStyle w:val="ms-rtecustom-subttulodeartculo"/>
          <w:rFonts w:ascii="Arial" w:hAnsi="Arial" w:cs="Arial"/>
          <w:sz w:val="20"/>
          <w:szCs w:val="20"/>
          <w:lang w:val="es-CO"/>
        </w:rPr>
        <w:t xml:space="preserve"> solución inyectable</w:t>
      </w:r>
      <w:r w:rsidR="00AE7C2B">
        <w:rPr>
          <w:rStyle w:val="ms-rtecustom-subttulodeartculo"/>
          <w:rFonts w:ascii="Arial" w:hAnsi="Arial" w:cs="Arial"/>
          <w:sz w:val="20"/>
          <w:szCs w:val="20"/>
          <w:lang w:val="es-CO"/>
        </w:rPr>
        <w:t xml:space="preserve"> </w:t>
      </w:r>
      <w:r w:rsidR="00B61510">
        <w:rPr>
          <w:rStyle w:val="ms-rtecustom-subttulodeartculo"/>
          <w:rFonts w:ascii="Arial" w:hAnsi="Arial" w:cs="Arial"/>
          <w:sz w:val="20"/>
          <w:szCs w:val="20"/>
          <w:lang w:val="es-CO"/>
        </w:rPr>
        <w:t xml:space="preserve">como medicamento </w:t>
      </w:r>
      <w:r w:rsidR="00E66298">
        <w:rPr>
          <w:rStyle w:val="ms-rtecustom-subttulodeartculo"/>
          <w:rFonts w:ascii="Arial" w:hAnsi="Arial" w:cs="Arial"/>
          <w:sz w:val="20"/>
          <w:szCs w:val="20"/>
          <w:lang w:val="es-CO"/>
        </w:rPr>
        <w:t>anticoagulante</w:t>
      </w:r>
      <w:r w:rsidR="001629EF">
        <w:rPr>
          <w:rStyle w:val="ms-rtecustom-subttulodeartculo"/>
          <w:rFonts w:ascii="Arial" w:hAnsi="Arial" w:cs="Arial"/>
          <w:sz w:val="20"/>
          <w:szCs w:val="20"/>
          <w:lang w:val="es-CO"/>
        </w:rPr>
        <w:t>:</w:t>
      </w:r>
    </w:p>
    <w:p w14:paraId="2C2EAA62" w14:textId="33371EAB" w:rsidR="001629EF" w:rsidRDefault="00307F37" w:rsidP="003309B3">
      <w:pPr>
        <w:pStyle w:val="NormalWeb"/>
        <w:spacing w:before="0" w:beforeAutospacing="0" w:after="150" w:afterAutospacing="0"/>
        <w:jc w:val="both"/>
        <w:rPr>
          <w:rStyle w:val="ms-rtecustom-subttulodeartculo"/>
          <w:rFonts w:ascii="Arial" w:hAnsi="Arial" w:cs="Arial"/>
          <w:sz w:val="20"/>
          <w:szCs w:val="20"/>
          <w:lang w:val="es-CO"/>
        </w:rPr>
      </w:pPr>
      <w:hyperlink r:id="rId11" w:history="1">
        <w:r w:rsidR="001629EF" w:rsidRPr="000F6C31">
          <w:rPr>
            <w:rStyle w:val="Hipervnculo"/>
            <w:rFonts w:ascii="Arial" w:hAnsi="Arial" w:cs="Arial"/>
            <w:sz w:val="20"/>
            <w:szCs w:val="20"/>
            <w:lang w:val="es-CO"/>
          </w:rPr>
          <w:t>https://www.ema.europa.eu/en/medicines/human/referrals/lovenox-associated-names</w:t>
        </w:r>
      </w:hyperlink>
    </w:p>
    <w:p w14:paraId="51521FAD" w14:textId="77777777" w:rsidR="009F3C13" w:rsidRDefault="009F3C13"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592C4B80" w14:textId="54D382EA" w:rsidR="00981918" w:rsidRDefault="00402476"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r>
        <w:rPr>
          <w:rStyle w:val="ms-rtecustom-subttulodeartculo"/>
          <w:rFonts w:ascii="Arial" w:hAnsi="Arial" w:cs="Arial"/>
          <w:b/>
          <w:bCs/>
          <w:color w:val="000000" w:themeColor="text1"/>
          <w:sz w:val="20"/>
          <w:szCs w:val="20"/>
          <w:lang w:val="es-CO"/>
        </w:rPr>
        <w:t xml:space="preserve">¿Está </w:t>
      </w:r>
      <w:r w:rsidR="00BE4820">
        <w:rPr>
          <w:rStyle w:val="ms-rtecustom-subttulodeartculo"/>
          <w:rFonts w:ascii="Arial" w:hAnsi="Arial" w:cs="Arial"/>
          <w:b/>
          <w:bCs/>
          <w:color w:val="000000" w:themeColor="text1"/>
          <w:sz w:val="20"/>
          <w:szCs w:val="20"/>
          <w:lang w:val="es-CO"/>
        </w:rPr>
        <w:t>constituido</w:t>
      </w:r>
      <w:r>
        <w:rPr>
          <w:rStyle w:val="ms-rtecustom-subttulodeartculo"/>
          <w:rFonts w:ascii="Arial" w:hAnsi="Arial" w:cs="Arial"/>
          <w:b/>
          <w:bCs/>
          <w:color w:val="000000" w:themeColor="text1"/>
          <w:sz w:val="20"/>
          <w:szCs w:val="20"/>
          <w:lang w:val="es-CO"/>
        </w:rPr>
        <w:t xml:space="preserve"> por productos mezclados o sin mezclar?</w:t>
      </w:r>
    </w:p>
    <w:p w14:paraId="65180EFF" w14:textId="499206F8" w:rsidR="00981918" w:rsidRDefault="000B57C7"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r w:rsidRPr="000B57C7">
        <w:rPr>
          <w:rStyle w:val="ms-rtecustom-subttulodeartculo"/>
          <w:rFonts w:ascii="Arial" w:hAnsi="Arial" w:cs="Arial"/>
          <w:color w:val="000000" w:themeColor="text1"/>
          <w:sz w:val="20"/>
          <w:szCs w:val="20"/>
          <w:lang w:val="es-CO"/>
        </w:rPr>
        <w:t>Constituida por enoxaparina sódica y agua</w:t>
      </w:r>
      <w:r>
        <w:rPr>
          <w:rStyle w:val="ms-rtecustom-subttulodeartculo"/>
          <w:rFonts w:ascii="Arial" w:hAnsi="Arial" w:cs="Arial"/>
          <w:color w:val="000000" w:themeColor="text1"/>
          <w:sz w:val="20"/>
          <w:szCs w:val="20"/>
          <w:lang w:val="es-CO"/>
        </w:rPr>
        <w:t>, considerado producto sin mezclar bajo la NL 3 a)1) del Capítulo 30:</w:t>
      </w:r>
    </w:p>
    <w:tbl>
      <w:tblPr>
        <w:tblW w:w="9039" w:type="dxa"/>
        <w:tblInd w:w="-108" w:type="dxa"/>
        <w:tblBorders>
          <w:top w:val="nil"/>
          <w:left w:val="nil"/>
          <w:bottom w:val="nil"/>
          <w:right w:val="nil"/>
        </w:tblBorders>
        <w:tblLayout w:type="fixed"/>
        <w:tblLook w:val="0000" w:firstRow="0" w:lastRow="0" w:firstColumn="0" w:lastColumn="0" w:noHBand="0" w:noVBand="0"/>
      </w:tblPr>
      <w:tblGrid>
        <w:gridCol w:w="9039"/>
      </w:tblGrid>
      <w:tr w:rsidR="000B57C7" w:rsidRPr="002A43E9" w14:paraId="10DCF58E" w14:textId="77777777" w:rsidTr="000B57C7">
        <w:trPr>
          <w:trHeight w:val="103"/>
        </w:trPr>
        <w:tc>
          <w:tcPr>
            <w:tcW w:w="9039" w:type="dxa"/>
          </w:tcPr>
          <w:p w14:paraId="4A78A19E" w14:textId="730544F6" w:rsidR="000B57C7" w:rsidRPr="000B57C7" w:rsidRDefault="000B57C7" w:rsidP="000B57C7">
            <w:pPr>
              <w:autoSpaceDE w:val="0"/>
              <w:autoSpaceDN w:val="0"/>
              <w:adjustRightInd w:val="0"/>
              <w:spacing w:after="0" w:line="240" w:lineRule="auto"/>
              <w:rPr>
                <w:rStyle w:val="ms-rtecustom-subttulodeartculo"/>
                <w:rFonts w:ascii="Arial" w:eastAsia="Times New Roman" w:hAnsi="Arial" w:cs="Arial"/>
                <w:i/>
                <w:iCs/>
                <w:color w:val="000000" w:themeColor="text1"/>
                <w:sz w:val="20"/>
                <w:szCs w:val="20"/>
                <w:lang w:val="es-CO"/>
              </w:rPr>
            </w:pPr>
            <w:r w:rsidRPr="000B57C7">
              <w:rPr>
                <w:rStyle w:val="ms-rtecustom-subttulodeartculo"/>
                <w:rFonts w:ascii="Arial" w:eastAsia="Times New Roman" w:hAnsi="Arial" w:cs="Arial"/>
                <w:i/>
                <w:iCs/>
                <w:color w:val="000000" w:themeColor="text1"/>
                <w:sz w:val="20"/>
                <w:szCs w:val="20"/>
                <w:lang w:val="es-CO"/>
              </w:rPr>
              <w:t xml:space="preserve">3. En las partidas 30.03 y 30.04 y en la Nota 4 d) del Capítulo, se </w:t>
            </w:r>
            <w:r w:rsidRPr="00712A13">
              <w:rPr>
                <w:rStyle w:val="ms-rtecustom-subttulodeartculo"/>
                <w:rFonts w:ascii="Arial" w:eastAsia="Times New Roman" w:hAnsi="Arial" w:cs="Arial"/>
                <w:i/>
                <w:iCs/>
                <w:color w:val="000000" w:themeColor="text1"/>
                <w:sz w:val="20"/>
                <w:szCs w:val="20"/>
                <w:lang w:val="es-CO"/>
              </w:rPr>
              <w:t>c</w:t>
            </w:r>
            <w:r w:rsidRPr="000B57C7">
              <w:rPr>
                <w:rStyle w:val="ms-rtecustom-subttulodeartculo"/>
                <w:rFonts w:ascii="Arial" w:eastAsia="Times New Roman" w:hAnsi="Arial" w:cs="Arial"/>
                <w:i/>
                <w:iCs/>
                <w:color w:val="000000" w:themeColor="text1"/>
                <w:sz w:val="20"/>
                <w:szCs w:val="20"/>
                <w:lang w:val="es-CO"/>
              </w:rPr>
              <w:t xml:space="preserve">onsideran: </w:t>
            </w:r>
          </w:p>
        </w:tc>
      </w:tr>
      <w:tr w:rsidR="000B57C7" w:rsidRPr="000B57C7" w14:paraId="2C17D733" w14:textId="77777777" w:rsidTr="000B57C7">
        <w:trPr>
          <w:trHeight w:val="103"/>
        </w:trPr>
        <w:tc>
          <w:tcPr>
            <w:tcW w:w="9039" w:type="dxa"/>
          </w:tcPr>
          <w:p w14:paraId="07C5032F" w14:textId="77777777" w:rsidR="000B57C7" w:rsidRPr="000B57C7" w:rsidRDefault="000B57C7" w:rsidP="000B57C7">
            <w:pPr>
              <w:autoSpaceDE w:val="0"/>
              <w:autoSpaceDN w:val="0"/>
              <w:adjustRightInd w:val="0"/>
              <w:spacing w:after="0" w:line="240" w:lineRule="auto"/>
              <w:rPr>
                <w:rStyle w:val="ms-rtecustom-subttulodeartculo"/>
                <w:rFonts w:ascii="Arial" w:eastAsia="Times New Roman" w:hAnsi="Arial" w:cs="Arial"/>
                <w:i/>
                <w:iCs/>
                <w:color w:val="000000" w:themeColor="text1"/>
                <w:sz w:val="20"/>
                <w:szCs w:val="20"/>
                <w:lang w:val="es-CO"/>
              </w:rPr>
            </w:pPr>
            <w:r w:rsidRPr="000B57C7">
              <w:rPr>
                <w:rStyle w:val="ms-rtecustom-subttulodeartculo"/>
                <w:rFonts w:ascii="Arial" w:eastAsia="Times New Roman" w:hAnsi="Arial" w:cs="Arial"/>
                <w:i/>
                <w:iCs/>
                <w:color w:val="000000" w:themeColor="text1"/>
                <w:sz w:val="20"/>
                <w:szCs w:val="20"/>
                <w:lang w:val="es-CO"/>
              </w:rPr>
              <w:t xml:space="preserve">a) productos sin mezclar: </w:t>
            </w:r>
          </w:p>
        </w:tc>
      </w:tr>
      <w:tr w:rsidR="000B57C7" w:rsidRPr="002A43E9" w14:paraId="1C746B2E" w14:textId="77777777" w:rsidTr="000B57C7">
        <w:trPr>
          <w:trHeight w:val="103"/>
        </w:trPr>
        <w:tc>
          <w:tcPr>
            <w:tcW w:w="9039" w:type="dxa"/>
          </w:tcPr>
          <w:p w14:paraId="29A7910D" w14:textId="77777777" w:rsidR="000B57C7" w:rsidRPr="000B57C7" w:rsidRDefault="000B57C7" w:rsidP="000B57C7">
            <w:pPr>
              <w:autoSpaceDE w:val="0"/>
              <w:autoSpaceDN w:val="0"/>
              <w:adjustRightInd w:val="0"/>
              <w:spacing w:after="0" w:line="240" w:lineRule="auto"/>
              <w:rPr>
                <w:rStyle w:val="ms-rtecustom-subttulodeartculo"/>
                <w:rFonts w:ascii="Arial" w:eastAsia="Times New Roman" w:hAnsi="Arial" w:cs="Arial"/>
                <w:i/>
                <w:iCs/>
                <w:color w:val="000000" w:themeColor="text1"/>
                <w:sz w:val="20"/>
                <w:szCs w:val="20"/>
                <w:lang w:val="es-CO"/>
              </w:rPr>
            </w:pPr>
            <w:r w:rsidRPr="000B57C7">
              <w:rPr>
                <w:rStyle w:val="ms-rtecustom-subttulodeartculo"/>
                <w:rFonts w:ascii="Arial" w:eastAsia="Times New Roman" w:hAnsi="Arial" w:cs="Arial"/>
                <w:i/>
                <w:iCs/>
                <w:color w:val="000000" w:themeColor="text1"/>
                <w:sz w:val="20"/>
                <w:szCs w:val="20"/>
                <w:lang w:val="es-CO"/>
              </w:rPr>
              <w:t xml:space="preserve">1) las disoluciones acuosas de productos sin mezclar; </w:t>
            </w:r>
          </w:p>
        </w:tc>
      </w:tr>
    </w:tbl>
    <w:p w14:paraId="3C48BD14" w14:textId="77777777" w:rsidR="00864083" w:rsidRDefault="00864083"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2904FCCD" w14:textId="2882C83E" w:rsidR="00981918" w:rsidRDefault="00402476"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r>
        <w:rPr>
          <w:rStyle w:val="ms-rtecustom-subttulodeartculo"/>
          <w:rFonts w:ascii="Arial" w:hAnsi="Arial" w:cs="Arial"/>
          <w:b/>
          <w:bCs/>
          <w:color w:val="000000" w:themeColor="text1"/>
          <w:sz w:val="20"/>
          <w:szCs w:val="20"/>
          <w:lang w:val="es-CO"/>
        </w:rPr>
        <w:t>¿Está preparado para usos terapéuticos o profilácticos?</w:t>
      </w:r>
    </w:p>
    <w:p w14:paraId="23B68D8B" w14:textId="096034A3" w:rsidR="00402476" w:rsidRDefault="00C20E20"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r w:rsidRPr="00C20E20">
        <w:rPr>
          <w:rStyle w:val="ms-rtecustom-subttulodeartculo"/>
          <w:rFonts w:ascii="Arial" w:hAnsi="Arial" w:cs="Arial"/>
          <w:color w:val="000000" w:themeColor="text1"/>
          <w:sz w:val="20"/>
          <w:szCs w:val="20"/>
          <w:lang w:val="es-CO"/>
        </w:rPr>
        <w:t>Terapéutico:  Relacionado con el tratamiento de la enfermedad y la ayuda para hacer posible la cura.</w:t>
      </w:r>
    </w:p>
    <w:p w14:paraId="4AD0007F" w14:textId="261C5990" w:rsidR="00A21D96" w:rsidRDefault="00A21D96"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p>
    <w:p w14:paraId="28A4A8B4" w14:textId="4FE8CE7E" w:rsidR="00812FB6" w:rsidRDefault="00812FB6"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p>
    <w:p w14:paraId="31468E18" w14:textId="77777777" w:rsidR="00812FB6" w:rsidRPr="00C20E20" w:rsidRDefault="00812FB6"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p>
    <w:p w14:paraId="6A83CB38" w14:textId="6599A4DC" w:rsidR="00C20E20" w:rsidRPr="00C20E20" w:rsidRDefault="00C20E20"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r w:rsidRPr="00C20E20">
        <w:rPr>
          <w:rStyle w:val="ms-rtecustom-subttulodeartculo"/>
          <w:rFonts w:ascii="Arial" w:hAnsi="Arial" w:cs="Arial"/>
          <w:color w:val="000000" w:themeColor="text1"/>
          <w:sz w:val="20"/>
          <w:szCs w:val="20"/>
          <w:lang w:val="es-CO"/>
        </w:rPr>
        <w:t>Profiláctico:  En medicina, algo que previene y protege.</w:t>
      </w:r>
    </w:p>
    <w:p w14:paraId="3B87DB1B" w14:textId="7115C7CD" w:rsidR="00C20E20" w:rsidRPr="00C4422B" w:rsidRDefault="00307F37"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hyperlink r:id="rId12" w:history="1">
        <w:r w:rsidR="00C20E20" w:rsidRPr="00C4422B">
          <w:rPr>
            <w:rStyle w:val="ms-rtecustom-subttulodeartculo"/>
            <w:rFonts w:ascii="Arial" w:hAnsi="Arial" w:cs="Arial"/>
            <w:color w:val="000000" w:themeColor="text1"/>
            <w:sz w:val="20"/>
            <w:szCs w:val="20"/>
            <w:lang w:val="es-CO"/>
          </w:rPr>
          <w:t>https://www.cancer.gov/espanol/publicaciones/diccionarios/diccionario-cancer/def/terapeutico</w:t>
        </w:r>
      </w:hyperlink>
    </w:p>
    <w:p w14:paraId="0794477A" w14:textId="77777777" w:rsidR="00F62F96" w:rsidRPr="000B57C7" w:rsidRDefault="00F62F96" w:rsidP="00F62F96">
      <w:pPr>
        <w:pStyle w:val="NormalWeb"/>
        <w:spacing w:before="0" w:beforeAutospacing="0" w:after="150" w:afterAutospacing="0"/>
        <w:jc w:val="both"/>
        <w:rPr>
          <w:rStyle w:val="ms-rtecustom-subttulodeartculo"/>
          <w:rFonts w:ascii="Arial" w:hAnsi="Arial" w:cs="Arial"/>
          <w:sz w:val="20"/>
          <w:szCs w:val="20"/>
          <w:lang w:val="es-CO"/>
        </w:rPr>
      </w:pPr>
      <w:r w:rsidRPr="00F62F96">
        <w:rPr>
          <w:rStyle w:val="ms-rtecustom-subttulodeartculo"/>
          <w:rFonts w:ascii="Arial" w:hAnsi="Arial" w:cs="Arial"/>
          <w:color w:val="000000" w:themeColor="text1"/>
          <w:sz w:val="20"/>
          <w:szCs w:val="20"/>
          <w:lang w:val="es-CO"/>
        </w:rPr>
        <w:t xml:space="preserve">Usos terapéuticos:  </w:t>
      </w:r>
      <w:r>
        <w:rPr>
          <w:rFonts w:ascii="Arial" w:hAnsi="Arial" w:cs="Arial"/>
          <w:sz w:val="20"/>
          <w:szCs w:val="20"/>
          <w:lang w:val="es-CO"/>
        </w:rPr>
        <w:t>t</w:t>
      </w:r>
      <w:r w:rsidRPr="00981918">
        <w:rPr>
          <w:rFonts w:ascii="Arial" w:hAnsi="Arial" w:cs="Arial"/>
          <w:sz w:val="20"/>
          <w:szCs w:val="20"/>
          <w:lang w:val="es-CO"/>
        </w:rPr>
        <w:t>ratamiento de la trombosis venosa profunda con o sin embolismo pulmonar</w:t>
      </w:r>
      <w:r>
        <w:rPr>
          <w:rFonts w:ascii="Arial" w:hAnsi="Arial" w:cs="Arial"/>
          <w:sz w:val="20"/>
          <w:szCs w:val="20"/>
          <w:lang w:val="es-CO"/>
        </w:rPr>
        <w:t xml:space="preserve"> y de </w:t>
      </w:r>
      <w:r w:rsidRPr="00981918">
        <w:rPr>
          <w:rFonts w:ascii="Arial" w:hAnsi="Arial" w:cs="Arial"/>
          <w:sz w:val="20"/>
          <w:szCs w:val="20"/>
          <w:lang w:val="es-CO"/>
        </w:rPr>
        <w:t>angina inestable e infarto miocárdico sin onda Q</w:t>
      </w:r>
      <w:r>
        <w:rPr>
          <w:rFonts w:ascii="Arial" w:hAnsi="Arial" w:cs="Arial"/>
          <w:sz w:val="20"/>
          <w:szCs w:val="20"/>
          <w:lang w:val="es-CO"/>
        </w:rPr>
        <w:t>.</w:t>
      </w:r>
    </w:p>
    <w:p w14:paraId="35952D88" w14:textId="76E0B7E4" w:rsidR="00C20E20" w:rsidRDefault="00F62F96" w:rsidP="00C90611">
      <w:pPr>
        <w:pStyle w:val="NormalWeb"/>
        <w:spacing w:before="0" w:beforeAutospacing="0" w:after="150" w:afterAutospacing="0"/>
        <w:rPr>
          <w:rStyle w:val="ms-rtecustom-subttulodeartculo"/>
          <w:rFonts w:ascii="Arial" w:hAnsi="Arial" w:cs="Arial"/>
          <w:sz w:val="20"/>
          <w:szCs w:val="20"/>
          <w:lang w:val="es-CO"/>
        </w:rPr>
      </w:pPr>
      <w:r>
        <w:rPr>
          <w:rStyle w:val="ms-rtecustom-subttulodeartculo"/>
          <w:rFonts w:ascii="Arial" w:hAnsi="Arial" w:cs="Arial"/>
          <w:color w:val="000000" w:themeColor="text1"/>
          <w:sz w:val="20"/>
          <w:szCs w:val="20"/>
          <w:lang w:val="es-CO"/>
        </w:rPr>
        <w:t xml:space="preserve">Usos profilácticos:  </w:t>
      </w:r>
      <w:r>
        <w:rPr>
          <w:rStyle w:val="ms-rtecustom-subttulodeartculo"/>
          <w:rFonts w:ascii="Arial" w:hAnsi="Arial" w:cs="Arial"/>
          <w:sz w:val="20"/>
          <w:szCs w:val="20"/>
          <w:lang w:val="es-CO"/>
        </w:rPr>
        <w:t>en prevención de trombosis venosa profunda y tromboembolismo.</w:t>
      </w:r>
    </w:p>
    <w:p w14:paraId="749E3934" w14:textId="09657F54" w:rsidR="00402476" w:rsidRDefault="00402476"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r>
        <w:rPr>
          <w:rStyle w:val="ms-rtecustom-subttulodeartculo"/>
          <w:rFonts w:ascii="Arial" w:hAnsi="Arial" w:cs="Arial"/>
          <w:b/>
          <w:bCs/>
          <w:color w:val="000000" w:themeColor="text1"/>
          <w:sz w:val="20"/>
          <w:szCs w:val="20"/>
          <w:lang w:val="es-CO"/>
        </w:rPr>
        <w:t>¿Está dosificado o acondicionado para la venta al por menor?</w:t>
      </w:r>
    </w:p>
    <w:p w14:paraId="15D272FD" w14:textId="08C41401" w:rsidR="00F62F96" w:rsidRPr="00F62F96" w:rsidRDefault="00F62F96"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r w:rsidRPr="00F62F96">
        <w:rPr>
          <w:rStyle w:val="ms-rtecustom-subttulodeartculo"/>
          <w:rFonts w:ascii="Arial" w:hAnsi="Arial" w:cs="Arial"/>
          <w:color w:val="000000" w:themeColor="text1"/>
          <w:sz w:val="20"/>
          <w:szCs w:val="20"/>
          <w:lang w:val="es-CO"/>
        </w:rPr>
        <w:t>En relación con la dosificación, las Notas Explicativas de la partida 30.04 indican:</w:t>
      </w:r>
    </w:p>
    <w:p w14:paraId="146933D0" w14:textId="307A1403" w:rsidR="00F62F96" w:rsidRPr="00712A13" w:rsidRDefault="00F62F96" w:rsidP="00F62F96">
      <w:pPr>
        <w:autoSpaceDE w:val="0"/>
        <w:autoSpaceDN w:val="0"/>
        <w:adjustRightInd w:val="0"/>
        <w:spacing w:after="0" w:line="240" w:lineRule="auto"/>
        <w:jc w:val="both"/>
        <w:rPr>
          <w:rStyle w:val="ms-rtecustom-subttulodeartculo"/>
          <w:rFonts w:ascii="Arial" w:eastAsia="Times New Roman" w:hAnsi="Arial" w:cs="Arial"/>
          <w:color w:val="000000" w:themeColor="text1"/>
          <w:sz w:val="20"/>
          <w:szCs w:val="20"/>
          <w:lang w:val="es-CO"/>
        </w:rPr>
      </w:pPr>
      <w:r w:rsidRPr="00F62F96">
        <w:rPr>
          <w:rStyle w:val="ms-rtecustom-subttulodeartculo"/>
          <w:rFonts w:ascii="Arial" w:eastAsia="Times New Roman" w:hAnsi="Arial" w:cs="Arial"/>
          <w:color w:val="000000" w:themeColor="text1"/>
          <w:sz w:val="20"/>
          <w:szCs w:val="20"/>
          <w:lang w:val="es-CO"/>
        </w:rPr>
        <w:t>a) Dosificados, es decir, repartidos uniformemente en las cantidades que deben emplearse para fines terapéuticos o profilácticos. Se presentan generalmente en ampollas (por ejemplo, el agua bidestilada en ampollas de 1.25 cm3 a 10 cm3 que se utilizan directamente para el tratamiento de ciertas enfermedades,</w:t>
      </w:r>
      <w:r w:rsidRPr="00712A13">
        <w:rPr>
          <w:rStyle w:val="ms-rtecustom-subttulodeartculo"/>
          <w:rFonts w:ascii="Arial" w:eastAsia="Times New Roman" w:hAnsi="Arial" w:cs="Arial"/>
          <w:color w:val="000000" w:themeColor="text1"/>
          <w:sz w:val="20"/>
          <w:szCs w:val="20"/>
          <w:lang w:val="es-CO"/>
        </w:rPr>
        <w:t xml:space="preserve"> principalmente el etilismo o el coma diabético, o como disolventes para la preparación de disoluciones medicinales inyectables), sellos, comprimidos, pastillas o tabletas, medicamentos dosificados para administrarse por vía transdérmica, o incluso en polvo, si se presentan en bolsitas dosificadas.</w:t>
      </w:r>
    </w:p>
    <w:p w14:paraId="565E896F" w14:textId="62581831" w:rsidR="00F62F96" w:rsidRPr="00712A13" w:rsidRDefault="00F62F96" w:rsidP="00F62F96">
      <w:pPr>
        <w:autoSpaceDE w:val="0"/>
        <w:autoSpaceDN w:val="0"/>
        <w:adjustRightInd w:val="0"/>
        <w:spacing w:after="0" w:line="240" w:lineRule="auto"/>
        <w:jc w:val="both"/>
        <w:rPr>
          <w:rStyle w:val="ms-rtecustom-subttulodeartculo"/>
          <w:rFonts w:ascii="Arial" w:eastAsia="Times New Roman" w:hAnsi="Arial" w:cs="Arial"/>
          <w:color w:val="000000" w:themeColor="text1"/>
          <w:sz w:val="20"/>
          <w:szCs w:val="20"/>
          <w:lang w:val="es-CO"/>
        </w:rPr>
      </w:pPr>
    </w:p>
    <w:p w14:paraId="68A5001E" w14:textId="2859F55A" w:rsidR="00F62F96" w:rsidRPr="00712A13" w:rsidRDefault="00F62F96" w:rsidP="00F62F96">
      <w:pPr>
        <w:autoSpaceDE w:val="0"/>
        <w:autoSpaceDN w:val="0"/>
        <w:adjustRightInd w:val="0"/>
        <w:spacing w:after="0" w:line="240" w:lineRule="auto"/>
        <w:jc w:val="both"/>
        <w:rPr>
          <w:rStyle w:val="ms-rtecustom-subttulodeartculo"/>
          <w:rFonts w:ascii="Arial" w:eastAsia="Times New Roman" w:hAnsi="Arial" w:cs="Arial"/>
          <w:color w:val="000000" w:themeColor="text1"/>
          <w:sz w:val="20"/>
          <w:szCs w:val="20"/>
          <w:lang w:val="es-CO"/>
        </w:rPr>
      </w:pPr>
      <w:r w:rsidRPr="00712A13">
        <w:rPr>
          <w:rStyle w:val="ms-rtecustom-subttulodeartculo"/>
          <w:rFonts w:ascii="Arial" w:eastAsia="Times New Roman" w:hAnsi="Arial" w:cs="Arial"/>
          <w:color w:val="000000" w:themeColor="text1"/>
          <w:sz w:val="20"/>
          <w:szCs w:val="20"/>
          <w:lang w:val="es-CO"/>
        </w:rPr>
        <w:t>En este caso se presentan dosificados en jeringas de 40 mg/ml con posología específica dependiendo del tratamiento</w:t>
      </w:r>
      <w:r w:rsidR="00B25D88">
        <w:rPr>
          <w:rStyle w:val="ms-rtecustom-subttulodeartculo"/>
          <w:rFonts w:ascii="Arial" w:eastAsia="Times New Roman" w:hAnsi="Arial" w:cs="Arial"/>
          <w:color w:val="000000" w:themeColor="text1"/>
          <w:sz w:val="20"/>
          <w:szCs w:val="20"/>
          <w:lang w:val="es-CO"/>
        </w:rPr>
        <w:t xml:space="preserve"> aplicados por inyección subcutánea.</w:t>
      </w:r>
    </w:p>
    <w:p w14:paraId="536FEFB5" w14:textId="0BF8F8D2" w:rsidR="00981918" w:rsidRDefault="00981918"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17186B1C" w14:textId="279AADCB" w:rsidR="00864083" w:rsidRPr="00864083" w:rsidRDefault="00864083" w:rsidP="00C90611">
      <w:pPr>
        <w:pStyle w:val="NormalWeb"/>
        <w:spacing w:before="0" w:beforeAutospacing="0" w:after="150" w:afterAutospacing="0"/>
        <w:rPr>
          <w:rStyle w:val="ms-rtecustom-subttulodeartculo"/>
          <w:rFonts w:ascii="Arial" w:hAnsi="Arial" w:cs="Arial"/>
          <w:color w:val="000000" w:themeColor="text1"/>
          <w:sz w:val="20"/>
          <w:szCs w:val="20"/>
          <w:lang w:val="es-CO"/>
        </w:rPr>
      </w:pPr>
      <w:r w:rsidRPr="00864083">
        <w:rPr>
          <w:rStyle w:val="ms-rtecustom-subttulodeartculo"/>
          <w:rFonts w:ascii="Arial" w:hAnsi="Arial" w:cs="Arial"/>
          <w:color w:val="000000" w:themeColor="text1"/>
          <w:sz w:val="20"/>
          <w:szCs w:val="20"/>
          <w:lang w:val="es-CO"/>
        </w:rPr>
        <w:t xml:space="preserve">Las notas </w:t>
      </w:r>
      <w:r>
        <w:rPr>
          <w:rStyle w:val="ms-rtecustom-subttulodeartculo"/>
          <w:rFonts w:ascii="Arial" w:hAnsi="Arial" w:cs="Arial"/>
          <w:color w:val="000000" w:themeColor="text1"/>
          <w:sz w:val="20"/>
          <w:szCs w:val="20"/>
          <w:lang w:val="es-CO"/>
        </w:rPr>
        <w:t>explicativas de la partida 30.04 indican con respecto a las exclusiones:</w:t>
      </w:r>
    </w:p>
    <w:p w14:paraId="56BB0E9E" w14:textId="77777777" w:rsidR="00864083" w:rsidRPr="00981918" w:rsidRDefault="00864083" w:rsidP="00864083">
      <w:pPr>
        <w:autoSpaceDE w:val="0"/>
        <w:autoSpaceDN w:val="0"/>
        <w:adjustRightInd w:val="0"/>
        <w:spacing w:after="0" w:line="240" w:lineRule="auto"/>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Están también excluidos de esta partida:</w:t>
      </w:r>
    </w:p>
    <w:p w14:paraId="612CA913" w14:textId="77777777" w:rsidR="00864083" w:rsidRPr="00981918" w:rsidRDefault="00864083" w:rsidP="00864083">
      <w:pPr>
        <w:autoSpaceDE w:val="0"/>
        <w:autoSpaceDN w:val="0"/>
        <w:adjustRightInd w:val="0"/>
        <w:spacing w:after="0" w:line="240" w:lineRule="auto"/>
        <w:rPr>
          <w:rFonts w:ascii="Arial" w:hAnsi="Arial" w:cs="Arial"/>
          <w:color w:val="1F3864" w:themeColor="accent1" w:themeShade="80"/>
          <w:sz w:val="20"/>
          <w:szCs w:val="20"/>
          <w:lang w:val="es-CO"/>
        </w:rPr>
      </w:pPr>
    </w:p>
    <w:p w14:paraId="095F2A67" w14:textId="77777777" w:rsidR="00864083" w:rsidRPr="00981918" w:rsidRDefault="00864083" w:rsidP="007D516E">
      <w:pPr>
        <w:autoSpaceDE w:val="0"/>
        <w:autoSpaceDN w:val="0"/>
        <w:adjustRightInd w:val="0"/>
        <w:spacing w:after="0" w:line="240" w:lineRule="auto"/>
        <w:jc w:val="both"/>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a) Los venenos de serpientes o de abejas que no se presenten como medicamentos (partida 30.01).</w:t>
      </w:r>
    </w:p>
    <w:p w14:paraId="22EA657F" w14:textId="77777777" w:rsidR="00864083" w:rsidRPr="00981918" w:rsidRDefault="00864083" w:rsidP="007D516E">
      <w:pPr>
        <w:autoSpaceDE w:val="0"/>
        <w:autoSpaceDN w:val="0"/>
        <w:adjustRightInd w:val="0"/>
        <w:spacing w:after="0" w:line="240" w:lineRule="auto"/>
        <w:jc w:val="both"/>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b) Los productos de las partidas 30.02, 30.05 y 30.06, cualquiera que sea su presentación.</w:t>
      </w:r>
    </w:p>
    <w:p w14:paraId="154475D5" w14:textId="77777777" w:rsidR="00864083" w:rsidRPr="00981918" w:rsidRDefault="00864083" w:rsidP="007D516E">
      <w:pPr>
        <w:autoSpaceDE w:val="0"/>
        <w:autoSpaceDN w:val="0"/>
        <w:adjustRightInd w:val="0"/>
        <w:spacing w:after="0" w:line="240" w:lineRule="auto"/>
        <w:jc w:val="both"/>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c) Los destilados acuosos aromáticos y las disoluciones acuosas de aceites esenciales, medicinales, así como las preparaciones de las partidas 33.03 a 33.07, aunque tengan propiedades terapéuticas o profilácticas (Capítulo 33).</w:t>
      </w:r>
    </w:p>
    <w:p w14:paraId="7E6924CC" w14:textId="77777777" w:rsidR="00864083" w:rsidRPr="00981918" w:rsidRDefault="00864083" w:rsidP="007D516E">
      <w:pPr>
        <w:autoSpaceDE w:val="0"/>
        <w:autoSpaceDN w:val="0"/>
        <w:adjustRightInd w:val="0"/>
        <w:spacing w:after="0" w:line="240" w:lineRule="auto"/>
        <w:jc w:val="both"/>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d) El jabón medicinal, cualquiera que sea su presentación (partida 34.01).</w:t>
      </w:r>
    </w:p>
    <w:p w14:paraId="22B59DB2" w14:textId="77777777" w:rsidR="00864083" w:rsidRPr="00981918" w:rsidRDefault="00864083" w:rsidP="00864083">
      <w:pPr>
        <w:autoSpaceDE w:val="0"/>
        <w:autoSpaceDN w:val="0"/>
        <w:adjustRightInd w:val="0"/>
        <w:spacing w:after="0" w:line="240" w:lineRule="auto"/>
        <w:rPr>
          <w:rFonts w:ascii="Arial" w:hAnsi="Arial" w:cs="Arial"/>
          <w:color w:val="1F3864" w:themeColor="accent1" w:themeShade="80"/>
          <w:sz w:val="20"/>
          <w:szCs w:val="20"/>
          <w:lang w:val="es-CO"/>
        </w:rPr>
      </w:pPr>
      <w:r w:rsidRPr="00981918">
        <w:rPr>
          <w:rFonts w:ascii="Arial" w:hAnsi="Arial" w:cs="Arial"/>
          <w:color w:val="1F3864" w:themeColor="accent1" w:themeShade="80"/>
          <w:sz w:val="20"/>
          <w:szCs w:val="20"/>
          <w:lang w:val="es-CO"/>
        </w:rPr>
        <w:t>e) Las preparaciones insecticidas desinfectantes, etc., de la partida 38.08 que no se presenten para usos profilácticos en medicina humana o veterinaria.</w:t>
      </w:r>
    </w:p>
    <w:p w14:paraId="2C6F8B9C" w14:textId="77777777" w:rsidR="00864083" w:rsidRPr="00981918" w:rsidRDefault="00864083" w:rsidP="00864083">
      <w:pPr>
        <w:autoSpaceDE w:val="0"/>
        <w:autoSpaceDN w:val="0"/>
        <w:adjustRightInd w:val="0"/>
        <w:spacing w:after="0" w:line="240" w:lineRule="auto"/>
        <w:rPr>
          <w:rFonts w:ascii="Arial" w:hAnsi="Arial" w:cs="Arial"/>
          <w:color w:val="1F3864" w:themeColor="accent1" w:themeShade="80"/>
          <w:sz w:val="20"/>
          <w:szCs w:val="20"/>
          <w:lang w:val="es-CO"/>
        </w:rPr>
      </w:pPr>
    </w:p>
    <w:p w14:paraId="4E4BA042" w14:textId="5CAAB5DD" w:rsidR="00864083" w:rsidRPr="00981918" w:rsidRDefault="00864083" w:rsidP="00864083">
      <w:pPr>
        <w:autoSpaceDE w:val="0"/>
        <w:autoSpaceDN w:val="0"/>
        <w:adjustRightInd w:val="0"/>
        <w:spacing w:after="0" w:line="240" w:lineRule="auto"/>
        <w:rPr>
          <w:rFonts w:ascii="Arial" w:hAnsi="Arial" w:cs="Arial"/>
          <w:color w:val="000000" w:themeColor="text1"/>
          <w:sz w:val="20"/>
          <w:szCs w:val="20"/>
          <w:lang w:val="es-CO"/>
        </w:rPr>
      </w:pPr>
      <w:r w:rsidRPr="00981918">
        <w:rPr>
          <w:rFonts w:ascii="Arial" w:hAnsi="Arial" w:cs="Arial"/>
          <w:color w:val="000000" w:themeColor="text1"/>
          <w:sz w:val="20"/>
          <w:szCs w:val="20"/>
          <w:lang w:val="es-CO"/>
        </w:rPr>
        <w:t xml:space="preserve">Las Notas Explicativas </w:t>
      </w:r>
      <w:r w:rsidR="003F47FE">
        <w:rPr>
          <w:rFonts w:ascii="Arial" w:hAnsi="Arial" w:cs="Arial"/>
          <w:color w:val="000000" w:themeColor="text1"/>
          <w:sz w:val="20"/>
          <w:szCs w:val="20"/>
          <w:lang w:val="es-CO"/>
        </w:rPr>
        <w:t xml:space="preserve">de la partida 30.04 </w:t>
      </w:r>
      <w:r w:rsidRPr="00981918">
        <w:rPr>
          <w:rFonts w:ascii="Arial" w:hAnsi="Arial" w:cs="Arial"/>
          <w:color w:val="000000" w:themeColor="text1"/>
          <w:sz w:val="20"/>
          <w:szCs w:val="20"/>
          <w:lang w:val="es-CO"/>
        </w:rPr>
        <w:t>no excluyen los productos de la partida 30.01</w:t>
      </w:r>
      <w:r>
        <w:rPr>
          <w:rFonts w:ascii="Arial" w:hAnsi="Arial" w:cs="Arial"/>
          <w:color w:val="000000" w:themeColor="text1"/>
          <w:sz w:val="20"/>
          <w:szCs w:val="20"/>
          <w:lang w:val="es-CO"/>
        </w:rPr>
        <w:t>, es decir que las heparinas que presenten las características propias del texto de la partida 30.04 pueden quedar comprendidas</w:t>
      </w:r>
      <w:r w:rsidR="00D836CA">
        <w:rPr>
          <w:rFonts w:ascii="Arial" w:hAnsi="Arial" w:cs="Arial"/>
          <w:color w:val="000000" w:themeColor="text1"/>
          <w:sz w:val="20"/>
          <w:szCs w:val="20"/>
          <w:lang w:val="es-CO"/>
        </w:rPr>
        <w:t xml:space="preserve"> allí</w:t>
      </w:r>
      <w:r>
        <w:rPr>
          <w:rFonts w:ascii="Arial" w:hAnsi="Arial" w:cs="Arial"/>
          <w:color w:val="000000" w:themeColor="text1"/>
          <w:sz w:val="20"/>
          <w:szCs w:val="20"/>
          <w:lang w:val="es-CO"/>
        </w:rPr>
        <w:t>.</w:t>
      </w:r>
    </w:p>
    <w:p w14:paraId="70B6E2DF" w14:textId="78C211F5" w:rsidR="00864083" w:rsidRDefault="00864083"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4837D5F8" w14:textId="0C0526DA" w:rsidR="00935FDA" w:rsidRDefault="00935FDA" w:rsidP="00D60B7B">
      <w:pPr>
        <w:pStyle w:val="NormalWeb"/>
        <w:numPr>
          <w:ilvl w:val="0"/>
          <w:numId w:val="5"/>
        </w:numPr>
        <w:spacing w:before="0" w:beforeAutospacing="0" w:after="150" w:afterAutospacing="0"/>
        <w:rPr>
          <w:rStyle w:val="ms-rtecustom-subttulodeartculo"/>
          <w:rFonts w:ascii="Arial" w:hAnsi="Arial" w:cs="Arial"/>
          <w:b/>
          <w:bCs/>
          <w:color w:val="000000" w:themeColor="text1"/>
          <w:sz w:val="20"/>
          <w:szCs w:val="20"/>
          <w:lang w:val="es-CO"/>
        </w:rPr>
      </w:pPr>
      <w:r>
        <w:rPr>
          <w:rStyle w:val="ms-rtecustom-subttulodeartculo"/>
          <w:rFonts w:ascii="Arial" w:hAnsi="Arial" w:cs="Arial"/>
          <w:b/>
          <w:bCs/>
          <w:color w:val="000000" w:themeColor="text1"/>
          <w:sz w:val="20"/>
          <w:szCs w:val="20"/>
          <w:lang w:val="es-CO"/>
        </w:rPr>
        <w:t xml:space="preserve">Se clasifica en </w:t>
      </w:r>
      <w:r w:rsidR="00032343">
        <w:rPr>
          <w:rStyle w:val="ms-rtecustom-subttulodeartculo"/>
          <w:rFonts w:ascii="Arial" w:hAnsi="Arial" w:cs="Arial"/>
          <w:b/>
          <w:bCs/>
          <w:color w:val="000000" w:themeColor="text1"/>
          <w:sz w:val="20"/>
          <w:szCs w:val="20"/>
          <w:lang w:val="es-CO"/>
        </w:rPr>
        <w:t>dicha partida y no en otra de la Nomenclatura</w:t>
      </w:r>
    </w:p>
    <w:p w14:paraId="44F122F6" w14:textId="123D3594" w:rsidR="002172CD" w:rsidRPr="00032343" w:rsidRDefault="002172CD" w:rsidP="002172CD">
      <w:pPr>
        <w:pStyle w:val="NormalWeb"/>
        <w:spacing w:before="0" w:beforeAutospacing="0" w:after="150" w:afterAutospacing="0"/>
        <w:jc w:val="both"/>
        <w:rPr>
          <w:rStyle w:val="ms-rtecustom-subttulodeartculo"/>
          <w:rFonts w:ascii="Arial" w:hAnsi="Arial" w:cs="Arial"/>
          <w:color w:val="000000" w:themeColor="text1"/>
          <w:sz w:val="20"/>
          <w:szCs w:val="20"/>
          <w:lang w:val="es-CO"/>
        </w:rPr>
      </w:pPr>
      <w:r w:rsidRPr="00032343">
        <w:rPr>
          <w:rStyle w:val="ms-rtecustom-subttulodeartculo"/>
          <w:rFonts w:ascii="Arial" w:hAnsi="Arial" w:cs="Arial"/>
          <w:color w:val="000000" w:themeColor="text1"/>
          <w:sz w:val="20"/>
          <w:szCs w:val="20"/>
          <w:lang w:val="es-CO"/>
        </w:rPr>
        <w:t xml:space="preserve">Según el análisis de los elementos anteriores, la enoxaparina sódica en jeringas por 40mg/0.4 ml </w:t>
      </w:r>
      <w:r w:rsidR="00D836CA" w:rsidRPr="00032343">
        <w:rPr>
          <w:rStyle w:val="ms-rtecustom-subttulodeartculo"/>
          <w:rFonts w:ascii="Arial" w:hAnsi="Arial" w:cs="Arial"/>
          <w:color w:val="000000" w:themeColor="text1"/>
          <w:sz w:val="20"/>
          <w:szCs w:val="20"/>
          <w:lang w:val="es-CO"/>
        </w:rPr>
        <w:t>si</w:t>
      </w:r>
      <w:r w:rsidR="0043544F" w:rsidRPr="00032343">
        <w:rPr>
          <w:rStyle w:val="ms-rtecustom-subttulodeartculo"/>
          <w:rFonts w:ascii="Arial" w:hAnsi="Arial" w:cs="Arial"/>
          <w:color w:val="000000" w:themeColor="text1"/>
          <w:sz w:val="20"/>
          <w:szCs w:val="20"/>
          <w:lang w:val="es-CO"/>
        </w:rPr>
        <w:t xml:space="preserve"> </w:t>
      </w:r>
      <w:r w:rsidRPr="00032343">
        <w:rPr>
          <w:rStyle w:val="ms-rtecustom-subttulodeartculo"/>
          <w:rFonts w:ascii="Arial" w:hAnsi="Arial" w:cs="Arial"/>
          <w:color w:val="000000" w:themeColor="text1"/>
          <w:sz w:val="20"/>
          <w:szCs w:val="20"/>
          <w:lang w:val="es-CO"/>
        </w:rPr>
        <w:t>puede incluirse por su dosificación, composición y propiedades</w:t>
      </w:r>
      <w:r w:rsidR="00032343">
        <w:rPr>
          <w:rStyle w:val="ms-rtecustom-subttulodeartculo"/>
          <w:rFonts w:ascii="Arial" w:hAnsi="Arial" w:cs="Arial"/>
          <w:color w:val="000000" w:themeColor="text1"/>
          <w:sz w:val="20"/>
          <w:szCs w:val="20"/>
          <w:lang w:val="es-CO"/>
        </w:rPr>
        <w:t xml:space="preserve"> como medicamento</w:t>
      </w:r>
      <w:r w:rsidRPr="00032343">
        <w:rPr>
          <w:rStyle w:val="ms-rtecustom-subttulodeartculo"/>
          <w:rFonts w:ascii="Arial" w:hAnsi="Arial" w:cs="Arial"/>
          <w:color w:val="000000" w:themeColor="text1"/>
          <w:sz w:val="20"/>
          <w:szCs w:val="20"/>
          <w:lang w:val="es-CO"/>
        </w:rPr>
        <w:t xml:space="preserve"> en la partida 30.04</w:t>
      </w:r>
      <w:r w:rsidR="00032343">
        <w:rPr>
          <w:rStyle w:val="ms-rtecustom-subttulodeartculo"/>
          <w:rFonts w:ascii="Arial" w:hAnsi="Arial" w:cs="Arial"/>
          <w:color w:val="000000" w:themeColor="text1"/>
          <w:sz w:val="20"/>
          <w:szCs w:val="20"/>
          <w:lang w:val="es-CO"/>
        </w:rPr>
        <w:t xml:space="preserve"> y de acuerdo con la NL 2 de la Sección VI, no se clasifica en ninguna otra de la nomenclatura</w:t>
      </w:r>
      <w:r w:rsidR="005428FF">
        <w:rPr>
          <w:rStyle w:val="ms-rtecustom-subttulodeartculo"/>
          <w:rFonts w:ascii="Arial" w:hAnsi="Arial" w:cs="Arial"/>
          <w:color w:val="000000" w:themeColor="text1"/>
          <w:sz w:val="20"/>
          <w:szCs w:val="20"/>
          <w:lang w:val="es-CO"/>
        </w:rPr>
        <w:t>, lo que lleva a concluir que no se clasifica en la partida 30.01 a pesar de que el texto aparentemente la incluye</w:t>
      </w:r>
      <w:r w:rsidR="008D63FD">
        <w:rPr>
          <w:rStyle w:val="ms-rtecustom-subttulodeartculo"/>
          <w:rFonts w:ascii="Arial" w:hAnsi="Arial" w:cs="Arial"/>
          <w:color w:val="000000" w:themeColor="text1"/>
          <w:sz w:val="20"/>
          <w:szCs w:val="20"/>
          <w:lang w:val="es-CO"/>
        </w:rPr>
        <w:t xml:space="preserve"> por la prohibición expresa de la Nota Legal.</w:t>
      </w:r>
    </w:p>
    <w:p w14:paraId="7DE147C8" w14:textId="32A100D1" w:rsidR="00864083" w:rsidRDefault="00864083"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65A90D91" w14:textId="217A63FF" w:rsidR="008D63FD" w:rsidRDefault="008D63FD"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6F5AEBD3" w14:textId="0E15F4B7" w:rsidR="008D63FD" w:rsidRDefault="008D63FD"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7B59DC14" w14:textId="77777777" w:rsidR="008D63FD" w:rsidRDefault="008D63FD"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5A80A709" w14:textId="1FF65038" w:rsidR="00A6200C" w:rsidRDefault="00A6200C" w:rsidP="00D60B7B">
      <w:pPr>
        <w:pStyle w:val="NormalWeb"/>
        <w:numPr>
          <w:ilvl w:val="0"/>
          <w:numId w:val="3"/>
        </w:numPr>
        <w:spacing w:before="0" w:beforeAutospacing="0" w:after="150" w:afterAutospacing="0"/>
        <w:jc w:val="center"/>
        <w:rPr>
          <w:rStyle w:val="ms-rtecustom-subttulodeartculo"/>
          <w:rFonts w:ascii="Arial" w:hAnsi="Arial" w:cs="Arial"/>
          <w:b/>
          <w:bCs/>
          <w:color w:val="000000" w:themeColor="text1"/>
          <w:sz w:val="20"/>
          <w:szCs w:val="20"/>
          <w:lang w:val="es-CO"/>
        </w:rPr>
      </w:pPr>
      <w:r>
        <w:rPr>
          <w:rStyle w:val="ms-rtecustom-subttulodeartculo"/>
          <w:rFonts w:ascii="Arial" w:hAnsi="Arial" w:cs="Arial"/>
          <w:b/>
          <w:bCs/>
          <w:color w:val="000000" w:themeColor="text1"/>
          <w:sz w:val="20"/>
          <w:szCs w:val="20"/>
          <w:lang w:val="es-CO"/>
        </w:rPr>
        <w:t>OTROS ANTECEDENTES</w:t>
      </w:r>
    </w:p>
    <w:p w14:paraId="313BA5C3" w14:textId="77777777" w:rsidR="00A6200C" w:rsidRDefault="00A6200C"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p>
    <w:p w14:paraId="321C7D89" w14:textId="60328F75" w:rsidR="004971D4" w:rsidRPr="00A6200C" w:rsidRDefault="004971D4" w:rsidP="00D836CA">
      <w:pPr>
        <w:pStyle w:val="NormalWeb"/>
        <w:spacing w:before="0" w:beforeAutospacing="0" w:after="150" w:afterAutospacing="0"/>
        <w:jc w:val="both"/>
        <w:rPr>
          <w:rStyle w:val="ms-rtecustom-subttulodeartculo"/>
          <w:rFonts w:ascii="Arial" w:hAnsi="Arial" w:cs="Arial"/>
          <w:color w:val="000000" w:themeColor="text1"/>
          <w:sz w:val="20"/>
          <w:szCs w:val="20"/>
          <w:lang w:val="es-CO"/>
        </w:rPr>
      </w:pPr>
      <w:r w:rsidRPr="00A6200C">
        <w:rPr>
          <w:rStyle w:val="ms-rtecustom-subttulodeartculo"/>
          <w:rFonts w:ascii="Arial" w:hAnsi="Arial" w:cs="Arial"/>
          <w:color w:val="000000" w:themeColor="text1"/>
          <w:sz w:val="20"/>
          <w:szCs w:val="20"/>
          <w:lang w:val="es-CO"/>
        </w:rPr>
        <w:t>SUGERENCIA DE SUBPARTIDAS DE LA SECRETARIA DE LA OM</w:t>
      </w:r>
      <w:r w:rsidR="008F47FC" w:rsidRPr="00A6200C">
        <w:rPr>
          <w:rStyle w:val="ms-rtecustom-subttulodeartculo"/>
          <w:rFonts w:ascii="Arial" w:hAnsi="Arial" w:cs="Arial"/>
          <w:color w:val="000000" w:themeColor="text1"/>
          <w:sz w:val="20"/>
          <w:szCs w:val="20"/>
          <w:lang w:val="es-CO"/>
        </w:rPr>
        <w:t>A</w:t>
      </w:r>
      <w:r w:rsidRPr="00A6200C">
        <w:rPr>
          <w:rStyle w:val="ms-rtecustom-subttulodeartculo"/>
          <w:rFonts w:ascii="Arial" w:hAnsi="Arial" w:cs="Arial"/>
          <w:color w:val="000000" w:themeColor="text1"/>
          <w:sz w:val="20"/>
          <w:szCs w:val="20"/>
          <w:lang w:val="es-CO"/>
        </w:rPr>
        <w:t xml:space="preserve"> PARA MEDICINAS DURANTE LA PANDEMIA</w:t>
      </w:r>
    </w:p>
    <w:p w14:paraId="0EB65E7D" w14:textId="2FC13600" w:rsidR="008F47FC" w:rsidRPr="008F47FC" w:rsidRDefault="008F47FC" w:rsidP="001707D4">
      <w:pPr>
        <w:pStyle w:val="NormalWeb"/>
        <w:spacing w:before="0" w:beforeAutospacing="0" w:after="150" w:afterAutospacing="0"/>
        <w:jc w:val="both"/>
        <w:rPr>
          <w:rStyle w:val="ms-rtecustom-subttulodeartculo"/>
          <w:rFonts w:ascii="Arial" w:hAnsi="Arial" w:cs="Arial"/>
          <w:color w:val="000000" w:themeColor="text1"/>
          <w:sz w:val="20"/>
          <w:szCs w:val="20"/>
          <w:lang w:val="es-CO"/>
        </w:rPr>
      </w:pPr>
      <w:r w:rsidRPr="008F47FC">
        <w:rPr>
          <w:rStyle w:val="ms-rtecustom-subttulodeartculo"/>
          <w:rFonts w:ascii="Arial" w:hAnsi="Arial" w:cs="Arial"/>
          <w:color w:val="000000" w:themeColor="text1"/>
          <w:sz w:val="20"/>
          <w:szCs w:val="20"/>
          <w:lang w:val="es-CO"/>
        </w:rPr>
        <w:t>Como elemento adicional para el análisis se tiene</w:t>
      </w:r>
      <w:r w:rsidR="00D836CA">
        <w:rPr>
          <w:rStyle w:val="ms-rtecustom-subttulodeartculo"/>
          <w:rFonts w:ascii="Arial" w:hAnsi="Arial" w:cs="Arial"/>
          <w:color w:val="000000" w:themeColor="text1"/>
          <w:sz w:val="20"/>
          <w:szCs w:val="20"/>
          <w:lang w:val="es-CO"/>
        </w:rPr>
        <w:t xml:space="preserve"> la guía publicada por la OMC en cooperación con la OMA</w:t>
      </w:r>
      <w:r w:rsidR="000D5497">
        <w:rPr>
          <w:rStyle w:val="ms-rtecustom-subttulodeartculo"/>
          <w:rFonts w:ascii="Arial" w:hAnsi="Arial" w:cs="Arial"/>
          <w:color w:val="000000" w:themeColor="text1"/>
          <w:sz w:val="20"/>
          <w:szCs w:val="20"/>
          <w:lang w:val="es-CO"/>
        </w:rPr>
        <w:t xml:space="preserve"> para las aduanas, de medicinas prioritarias durante la pandemia del </w:t>
      </w:r>
      <w:proofErr w:type="spellStart"/>
      <w:r w:rsidR="000D5497">
        <w:rPr>
          <w:rStyle w:val="ms-rtecustom-subttulodeartculo"/>
          <w:rFonts w:ascii="Arial" w:hAnsi="Arial" w:cs="Arial"/>
          <w:color w:val="000000" w:themeColor="text1"/>
          <w:sz w:val="20"/>
          <w:szCs w:val="20"/>
          <w:lang w:val="es-CO"/>
        </w:rPr>
        <w:t>Covid</w:t>
      </w:r>
      <w:proofErr w:type="spellEnd"/>
      <w:r w:rsidR="000D5497">
        <w:rPr>
          <w:rStyle w:val="ms-rtecustom-subttulodeartculo"/>
          <w:rFonts w:ascii="Arial" w:hAnsi="Arial" w:cs="Arial"/>
          <w:color w:val="000000" w:themeColor="text1"/>
          <w:sz w:val="20"/>
          <w:szCs w:val="20"/>
          <w:lang w:val="es-CO"/>
        </w:rPr>
        <w:t xml:space="preserve"> 19, en ella se </w:t>
      </w:r>
      <w:r w:rsidR="00E702DD">
        <w:rPr>
          <w:rStyle w:val="ms-rtecustom-subttulodeartculo"/>
          <w:rFonts w:ascii="Arial" w:hAnsi="Arial" w:cs="Arial"/>
          <w:color w:val="000000" w:themeColor="text1"/>
          <w:sz w:val="20"/>
          <w:szCs w:val="20"/>
          <w:lang w:val="es-CO"/>
        </w:rPr>
        <w:t>indica señalada con * la clasificación de la en</w:t>
      </w:r>
      <w:r w:rsidR="001707D4">
        <w:rPr>
          <w:rStyle w:val="ms-rtecustom-subttulodeartculo"/>
          <w:rFonts w:ascii="Arial" w:hAnsi="Arial" w:cs="Arial"/>
          <w:color w:val="000000" w:themeColor="text1"/>
          <w:sz w:val="20"/>
          <w:szCs w:val="20"/>
          <w:lang w:val="es-CO"/>
        </w:rPr>
        <w:t>o</w:t>
      </w:r>
      <w:r w:rsidR="00E702DD">
        <w:rPr>
          <w:rStyle w:val="ms-rtecustom-subttulodeartculo"/>
          <w:rFonts w:ascii="Arial" w:hAnsi="Arial" w:cs="Arial"/>
          <w:color w:val="000000" w:themeColor="text1"/>
          <w:sz w:val="20"/>
          <w:szCs w:val="20"/>
          <w:lang w:val="es-CO"/>
        </w:rPr>
        <w:t>xaparina de sodio</w:t>
      </w:r>
      <w:r w:rsidR="001707D4">
        <w:rPr>
          <w:rStyle w:val="ms-rtecustom-subttulodeartculo"/>
          <w:rFonts w:ascii="Arial" w:hAnsi="Arial" w:cs="Arial"/>
          <w:color w:val="000000" w:themeColor="text1"/>
          <w:sz w:val="20"/>
          <w:szCs w:val="20"/>
          <w:lang w:val="es-CO"/>
        </w:rPr>
        <w:t xml:space="preserve"> puesta como medicamentos en dosis medidas, en la subpartida 3004.90</w:t>
      </w:r>
      <w:r w:rsidRPr="008F47FC">
        <w:rPr>
          <w:rStyle w:val="ms-rtecustom-subttulodeartculo"/>
          <w:rFonts w:ascii="Arial" w:hAnsi="Arial" w:cs="Arial"/>
          <w:color w:val="000000" w:themeColor="text1"/>
          <w:sz w:val="20"/>
          <w:szCs w:val="20"/>
          <w:lang w:val="es-CO"/>
        </w:rPr>
        <w:t>:</w:t>
      </w:r>
    </w:p>
    <w:p w14:paraId="632D32B9" w14:textId="4F1D073C" w:rsidR="00740BAF" w:rsidRPr="00981918" w:rsidRDefault="00740BAF"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r w:rsidRPr="00981918">
        <w:rPr>
          <w:rStyle w:val="ms-rtecustom-subttulodeartculo"/>
          <w:rFonts w:ascii="Arial" w:hAnsi="Arial" w:cs="Arial"/>
          <w:b/>
          <w:bCs/>
          <w:noProof/>
          <w:color w:val="000000" w:themeColor="text1"/>
          <w:sz w:val="20"/>
          <w:szCs w:val="20"/>
          <w:lang w:val="es-CO"/>
        </w:rPr>
        <w:drawing>
          <wp:inline distT="0" distB="0" distL="0" distR="0" wp14:anchorId="3E83060F" wp14:editId="7444B397">
            <wp:extent cx="5626100" cy="13906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r="-249" b="52720"/>
                    <a:stretch/>
                  </pic:blipFill>
                  <pic:spPr bwMode="auto">
                    <a:xfrm>
                      <a:off x="0" y="0"/>
                      <a:ext cx="5626100" cy="1390650"/>
                    </a:xfrm>
                    <a:prstGeom prst="rect">
                      <a:avLst/>
                    </a:prstGeom>
                    <a:ln>
                      <a:noFill/>
                    </a:ln>
                    <a:extLst>
                      <a:ext uri="{53640926-AAD7-44D8-BBD7-CCE9431645EC}">
                        <a14:shadowObscured xmlns:a14="http://schemas.microsoft.com/office/drawing/2010/main"/>
                      </a:ext>
                    </a:extLst>
                  </pic:spPr>
                </pic:pic>
              </a:graphicData>
            </a:graphic>
          </wp:inline>
        </w:drawing>
      </w:r>
    </w:p>
    <w:p w14:paraId="27AB70B9" w14:textId="34B1D31B" w:rsidR="00C83B18" w:rsidRPr="00981918" w:rsidRDefault="00C83B18"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r w:rsidRPr="00981918">
        <w:rPr>
          <w:rStyle w:val="ms-rtecustom-subttulodeartculo"/>
          <w:rFonts w:ascii="Arial" w:hAnsi="Arial" w:cs="Arial"/>
          <w:b/>
          <w:bCs/>
          <w:color w:val="000000" w:themeColor="text1"/>
          <w:sz w:val="20"/>
          <w:szCs w:val="20"/>
          <w:lang w:val="es-CO"/>
        </w:rPr>
        <w:t>(…)</w:t>
      </w:r>
    </w:p>
    <w:p w14:paraId="458A194D" w14:textId="1D134A18" w:rsidR="00C83B18" w:rsidRPr="00981918" w:rsidRDefault="00C83B18"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r w:rsidRPr="00981918">
        <w:rPr>
          <w:rStyle w:val="ms-rtecustom-subttulodeartculo"/>
          <w:rFonts w:ascii="Arial" w:hAnsi="Arial" w:cs="Arial"/>
          <w:b/>
          <w:bCs/>
          <w:noProof/>
          <w:color w:val="000000" w:themeColor="text1"/>
          <w:sz w:val="20"/>
          <w:szCs w:val="20"/>
          <w:lang w:val="es-CO"/>
        </w:rPr>
        <w:drawing>
          <wp:inline distT="0" distB="0" distL="0" distR="0" wp14:anchorId="080E3EE9" wp14:editId="325DED0E">
            <wp:extent cx="5612130" cy="955675"/>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12130" cy="955675"/>
                    </a:xfrm>
                    <a:prstGeom prst="rect">
                      <a:avLst/>
                    </a:prstGeom>
                  </pic:spPr>
                </pic:pic>
              </a:graphicData>
            </a:graphic>
          </wp:inline>
        </w:drawing>
      </w:r>
    </w:p>
    <w:p w14:paraId="1DFA643B" w14:textId="0CB3F88A" w:rsidR="00740BAF" w:rsidRPr="00981918" w:rsidRDefault="00740BAF"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r w:rsidRPr="00981918">
        <w:rPr>
          <w:rStyle w:val="ms-rtecustom-subttulodeartculo"/>
          <w:rFonts w:ascii="Arial" w:hAnsi="Arial" w:cs="Arial"/>
          <w:b/>
          <w:bCs/>
          <w:noProof/>
          <w:color w:val="000000" w:themeColor="text1"/>
          <w:sz w:val="20"/>
          <w:szCs w:val="20"/>
          <w:lang w:val="es-CO"/>
        </w:rPr>
        <w:drawing>
          <wp:inline distT="0" distB="0" distL="0" distR="0" wp14:anchorId="6F528BE3" wp14:editId="00F174E1">
            <wp:extent cx="5612130" cy="1365250"/>
            <wp:effectExtent l="0" t="0" r="762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12130" cy="1365250"/>
                    </a:xfrm>
                    <a:prstGeom prst="rect">
                      <a:avLst/>
                    </a:prstGeom>
                  </pic:spPr>
                </pic:pic>
              </a:graphicData>
            </a:graphic>
          </wp:inline>
        </w:drawing>
      </w:r>
    </w:p>
    <w:p w14:paraId="163CE174" w14:textId="5401634C" w:rsidR="00740BAF" w:rsidRPr="00981918" w:rsidRDefault="00740BAF" w:rsidP="00C90611">
      <w:pPr>
        <w:pStyle w:val="NormalWeb"/>
        <w:spacing w:before="0" w:beforeAutospacing="0" w:after="150" w:afterAutospacing="0"/>
        <w:rPr>
          <w:rStyle w:val="ms-rtecustom-subttulodeartculo"/>
          <w:rFonts w:ascii="Arial" w:hAnsi="Arial" w:cs="Arial"/>
          <w:b/>
          <w:bCs/>
          <w:color w:val="000000" w:themeColor="text1"/>
          <w:sz w:val="20"/>
          <w:szCs w:val="20"/>
          <w:lang w:val="es-CO"/>
        </w:rPr>
      </w:pPr>
      <w:r w:rsidRPr="00981918">
        <w:rPr>
          <w:rStyle w:val="ms-rtecustom-subttulodeartculo"/>
          <w:rFonts w:ascii="Arial" w:hAnsi="Arial" w:cs="Arial"/>
          <w:b/>
          <w:bCs/>
          <w:noProof/>
          <w:color w:val="000000" w:themeColor="text1"/>
          <w:sz w:val="20"/>
          <w:szCs w:val="20"/>
          <w:lang w:val="es-CO"/>
        </w:rPr>
        <w:drawing>
          <wp:inline distT="0" distB="0" distL="0" distR="0" wp14:anchorId="544B3C8A" wp14:editId="0F8F4170">
            <wp:extent cx="5612130" cy="530860"/>
            <wp:effectExtent l="0" t="0" r="762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612130" cy="530860"/>
                    </a:xfrm>
                    <a:prstGeom prst="rect">
                      <a:avLst/>
                    </a:prstGeom>
                  </pic:spPr>
                </pic:pic>
              </a:graphicData>
            </a:graphic>
          </wp:inline>
        </w:drawing>
      </w:r>
    </w:p>
    <w:p w14:paraId="31CDD61A" w14:textId="055F72D0" w:rsidR="002664C7" w:rsidRDefault="00960053" w:rsidP="00782BCF">
      <w:pPr>
        <w:shd w:val="clear" w:color="auto" w:fill="FFFFFF"/>
        <w:spacing w:line="240" w:lineRule="auto"/>
        <w:jc w:val="both"/>
        <w:rPr>
          <w:rFonts w:ascii="Arial" w:eastAsia="Times New Roman" w:hAnsi="Arial" w:cs="Arial"/>
          <w:color w:val="000000"/>
          <w:sz w:val="20"/>
          <w:szCs w:val="20"/>
          <w:lang w:val="es-CO"/>
        </w:rPr>
      </w:pPr>
      <w:r>
        <w:rPr>
          <w:rFonts w:ascii="Arial" w:eastAsia="Times New Roman" w:hAnsi="Arial" w:cs="Arial"/>
          <w:color w:val="000000"/>
          <w:sz w:val="20"/>
          <w:szCs w:val="20"/>
          <w:lang w:val="es-CO"/>
        </w:rPr>
        <w:t>En el cuadro anterior se separa la</w:t>
      </w:r>
      <w:r w:rsidR="00E01882">
        <w:rPr>
          <w:rFonts w:ascii="Arial" w:eastAsia="Times New Roman" w:hAnsi="Arial" w:cs="Arial"/>
          <w:color w:val="000000"/>
          <w:sz w:val="20"/>
          <w:szCs w:val="20"/>
          <w:lang w:val="es-CO"/>
        </w:rPr>
        <w:t xml:space="preserve"> enoxaparina como</w:t>
      </w:r>
      <w:r>
        <w:rPr>
          <w:rFonts w:ascii="Arial" w:eastAsia="Times New Roman" w:hAnsi="Arial" w:cs="Arial"/>
          <w:color w:val="000000"/>
          <w:sz w:val="20"/>
          <w:szCs w:val="20"/>
          <w:lang w:val="es-CO"/>
        </w:rPr>
        <w:t xml:space="preserve"> </w:t>
      </w:r>
      <w:r w:rsidR="00775918">
        <w:rPr>
          <w:rFonts w:ascii="Arial" w:eastAsia="Times New Roman" w:hAnsi="Arial" w:cs="Arial"/>
          <w:color w:val="000000"/>
          <w:sz w:val="20"/>
          <w:szCs w:val="20"/>
          <w:lang w:val="es-CO"/>
        </w:rPr>
        <w:t xml:space="preserve">sustancia pura en la partida 30.01 de la que se encuentra </w:t>
      </w:r>
      <w:r w:rsidR="00B33F43">
        <w:rPr>
          <w:rFonts w:ascii="Arial" w:eastAsia="Times New Roman" w:hAnsi="Arial" w:cs="Arial"/>
          <w:color w:val="000000"/>
          <w:sz w:val="20"/>
          <w:szCs w:val="20"/>
          <w:lang w:val="es-CO"/>
        </w:rPr>
        <w:t xml:space="preserve">puesta como medicamento en dosis medidas </w:t>
      </w:r>
      <w:r w:rsidR="00395934">
        <w:rPr>
          <w:rFonts w:ascii="Arial" w:eastAsia="Times New Roman" w:hAnsi="Arial" w:cs="Arial"/>
          <w:color w:val="000000"/>
          <w:sz w:val="20"/>
          <w:szCs w:val="20"/>
          <w:lang w:val="es-CO"/>
        </w:rPr>
        <w:t>en la partida 30.04.</w:t>
      </w:r>
    </w:p>
    <w:p w14:paraId="227DFB46" w14:textId="513D1A26" w:rsidR="00961894" w:rsidRDefault="00961894" w:rsidP="00782BCF">
      <w:pPr>
        <w:shd w:val="clear" w:color="auto" w:fill="FFFFFF"/>
        <w:spacing w:line="240" w:lineRule="auto"/>
        <w:jc w:val="both"/>
        <w:rPr>
          <w:rFonts w:ascii="Arial" w:eastAsia="Times New Roman" w:hAnsi="Arial" w:cs="Arial"/>
          <w:color w:val="000000"/>
          <w:sz w:val="20"/>
          <w:szCs w:val="20"/>
          <w:lang w:val="es-CO"/>
        </w:rPr>
      </w:pPr>
    </w:p>
    <w:p w14:paraId="3021042A" w14:textId="7DA9895C" w:rsidR="008D63FD" w:rsidRDefault="008D63FD" w:rsidP="00782BCF">
      <w:pPr>
        <w:shd w:val="clear" w:color="auto" w:fill="FFFFFF"/>
        <w:spacing w:line="240" w:lineRule="auto"/>
        <w:jc w:val="both"/>
        <w:rPr>
          <w:rFonts w:ascii="Arial" w:eastAsia="Times New Roman" w:hAnsi="Arial" w:cs="Arial"/>
          <w:color w:val="000000"/>
          <w:sz w:val="20"/>
          <w:szCs w:val="20"/>
          <w:lang w:val="es-CO"/>
        </w:rPr>
      </w:pPr>
    </w:p>
    <w:p w14:paraId="6C0780E9" w14:textId="76E95976" w:rsidR="008D63FD" w:rsidRDefault="008D63FD" w:rsidP="00782BCF">
      <w:pPr>
        <w:shd w:val="clear" w:color="auto" w:fill="FFFFFF"/>
        <w:spacing w:line="240" w:lineRule="auto"/>
        <w:jc w:val="both"/>
        <w:rPr>
          <w:rFonts w:ascii="Arial" w:eastAsia="Times New Roman" w:hAnsi="Arial" w:cs="Arial"/>
          <w:color w:val="000000"/>
          <w:sz w:val="20"/>
          <w:szCs w:val="20"/>
          <w:lang w:val="es-CO"/>
        </w:rPr>
      </w:pPr>
    </w:p>
    <w:p w14:paraId="7119F694" w14:textId="77777777" w:rsidR="008D63FD" w:rsidRDefault="008D63FD" w:rsidP="00782BCF">
      <w:pPr>
        <w:shd w:val="clear" w:color="auto" w:fill="FFFFFF"/>
        <w:spacing w:line="240" w:lineRule="auto"/>
        <w:jc w:val="both"/>
        <w:rPr>
          <w:rFonts w:ascii="Arial" w:eastAsia="Times New Roman" w:hAnsi="Arial" w:cs="Arial"/>
          <w:color w:val="000000"/>
          <w:sz w:val="20"/>
          <w:szCs w:val="20"/>
          <w:lang w:val="es-CO"/>
        </w:rPr>
      </w:pPr>
    </w:p>
    <w:p w14:paraId="323174A2" w14:textId="77777777" w:rsidR="008D63FD" w:rsidRDefault="008D63FD" w:rsidP="00782BCF">
      <w:pPr>
        <w:shd w:val="clear" w:color="auto" w:fill="FFFFFF"/>
        <w:spacing w:line="240" w:lineRule="auto"/>
        <w:jc w:val="both"/>
        <w:rPr>
          <w:rFonts w:ascii="Arial" w:eastAsia="Times New Roman" w:hAnsi="Arial" w:cs="Arial"/>
          <w:caps/>
          <w:color w:val="000000"/>
          <w:sz w:val="20"/>
          <w:szCs w:val="20"/>
          <w:lang w:val="es-CO"/>
        </w:rPr>
      </w:pPr>
    </w:p>
    <w:p w14:paraId="738CA4F9" w14:textId="0C158F91" w:rsidR="007865A5" w:rsidRDefault="008F47FC" w:rsidP="00782BCF">
      <w:pPr>
        <w:shd w:val="clear" w:color="auto" w:fill="FFFFFF"/>
        <w:spacing w:line="240" w:lineRule="auto"/>
        <w:jc w:val="both"/>
        <w:rPr>
          <w:rFonts w:ascii="Arial" w:eastAsia="Times New Roman" w:hAnsi="Arial" w:cs="Arial"/>
          <w:caps/>
          <w:color w:val="000000"/>
          <w:sz w:val="20"/>
          <w:szCs w:val="20"/>
          <w:lang w:val="es-CO"/>
        </w:rPr>
      </w:pPr>
      <w:r w:rsidRPr="007865A5">
        <w:rPr>
          <w:rFonts w:ascii="Arial" w:eastAsia="Times New Roman" w:hAnsi="Arial" w:cs="Arial"/>
          <w:caps/>
          <w:color w:val="000000"/>
          <w:sz w:val="20"/>
          <w:szCs w:val="20"/>
          <w:lang w:val="es-CO"/>
        </w:rPr>
        <w:t>Resolución 4494 de 2003</w:t>
      </w:r>
    </w:p>
    <w:p w14:paraId="6569007D" w14:textId="0197CD28" w:rsidR="008F47FC" w:rsidRDefault="007865A5" w:rsidP="00782BCF">
      <w:pPr>
        <w:shd w:val="clear" w:color="auto" w:fill="FFFFFF"/>
        <w:spacing w:line="240" w:lineRule="auto"/>
        <w:jc w:val="both"/>
        <w:rPr>
          <w:rFonts w:ascii="Arial" w:eastAsia="Times New Roman" w:hAnsi="Arial" w:cs="Arial"/>
          <w:color w:val="000000"/>
          <w:sz w:val="20"/>
          <w:szCs w:val="20"/>
          <w:lang w:val="es-CO"/>
        </w:rPr>
      </w:pPr>
      <w:r>
        <w:rPr>
          <w:rFonts w:ascii="Arial" w:eastAsia="Times New Roman" w:hAnsi="Arial" w:cs="Arial"/>
          <w:caps/>
          <w:color w:val="000000"/>
          <w:sz w:val="20"/>
          <w:szCs w:val="20"/>
          <w:lang w:val="es-CO"/>
        </w:rPr>
        <w:t>F</w:t>
      </w:r>
      <w:r w:rsidR="008455E9">
        <w:rPr>
          <w:rFonts w:ascii="Arial" w:eastAsia="Times New Roman" w:hAnsi="Arial" w:cs="Arial"/>
          <w:color w:val="000000"/>
          <w:sz w:val="20"/>
          <w:szCs w:val="20"/>
          <w:lang w:val="es-CO"/>
        </w:rPr>
        <w:t>ue</w:t>
      </w:r>
      <w:r w:rsidR="008F47FC">
        <w:rPr>
          <w:rFonts w:ascii="Arial" w:eastAsia="Times New Roman" w:hAnsi="Arial" w:cs="Arial"/>
          <w:color w:val="000000"/>
          <w:sz w:val="20"/>
          <w:szCs w:val="20"/>
          <w:lang w:val="es-CO"/>
        </w:rPr>
        <w:t xml:space="preserve"> expedida para</w:t>
      </w:r>
      <w:r w:rsidR="008D63FD">
        <w:rPr>
          <w:rFonts w:ascii="Arial" w:eastAsia="Times New Roman" w:hAnsi="Arial" w:cs="Arial"/>
          <w:color w:val="000000"/>
          <w:sz w:val="20"/>
          <w:szCs w:val="20"/>
          <w:lang w:val="es-CO"/>
        </w:rPr>
        <w:t xml:space="preserve"> clasificar</w:t>
      </w:r>
      <w:r w:rsidR="008F47FC">
        <w:rPr>
          <w:rFonts w:ascii="Arial" w:eastAsia="Times New Roman" w:hAnsi="Arial" w:cs="Arial"/>
          <w:color w:val="000000"/>
          <w:sz w:val="20"/>
          <w:szCs w:val="20"/>
          <w:lang w:val="es-CO"/>
        </w:rPr>
        <w:t xml:space="preserve"> un producto similar en la subpartida 3004.90.29.90.00 (vigente para la época).</w:t>
      </w:r>
      <w:r w:rsidR="00A6200C">
        <w:rPr>
          <w:rFonts w:ascii="Arial" w:eastAsia="Times New Roman" w:hAnsi="Arial" w:cs="Arial"/>
          <w:color w:val="000000"/>
          <w:sz w:val="20"/>
          <w:szCs w:val="20"/>
          <w:lang w:val="es-CO"/>
        </w:rPr>
        <w:t xml:space="preserve">  </w:t>
      </w:r>
      <w:r w:rsidR="00AE7C70">
        <w:rPr>
          <w:rFonts w:ascii="Arial" w:eastAsia="Times New Roman" w:hAnsi="Arial" w:cs="Arial"/>
          <w:color w:val="000000"/>
          <w:sz w:val="20"/>
          <w:szCs w:val="20"/>
          <w:lang w:val="es-CO"/>
        </w:rPr>
        <w:t xml:space="preserve">Es de anotar que </w:t>
      </w:r>
      <w:r w:rsidR="004C6DF5">
        <w:rPr>
          <w:rFonts w:ascii="Arial" w:eastAsia="Times New Roman" w:hAnsi="Arial" w:cs="Arial"/>
          <w:color w:val="000000"/>
          <w:sz w:val="20"/>
          <w:szCs w:val="20"/>
          <w:lang w:val="es-CO"/>
        </w:rPr>
        <w:t xml:space="preserve">en la versión del Sistema Armonizado vigente entre 2002 y 2006 </w:t>
      </w:r>
      <w:r w:rsidR="008455E9">
        <w:rPr>
          <w:rFonts w:ascii="Arial" w:eastAsia="Times New Roman" w:hAnsi="Arial" w:cs="Arial"/>
          <w:color w:val="000000"/>
          <w:sz w:val="20"/>
          <w:szCs w:val="20"/>
          <w:lang w:val="es-CO"/>
        </w:rPr>
        <w:t>la Nota Legal 2 de la Sección VI aparece tal y como se encuentra actualmente.</w:t>
      </w:r>
    </w:p>
    <w:p w14:paraId="673AD5BB" w14:textId="57264E69" w:rsidR="008F47FC" w:rsidRDefault="008F47FC" w:rsidP="00782BCF">
      <w:pPr>
        <w:shd w:val="clear" w:color="auto" w:fill="FFFFFF"/>
        <w:spacing w:line="240" w:lineRule="auto"/>
        <w:jc w:val="both"/>
        <w:rPr>
          <w:rFonts w:ascii="Arial" w:eastAsia="Times New Roman" w:hAnsi="Arial" w:cs="Arial"/>
          <w:color w:val="000000"/>
          <w:sz w:val="20"/>
          <w:szCs w:val="20"/>
          <w:lang w:val="es-CO"/>
        </w:rPr>
      </w:pPr>
    </w:p>
    <w:p w14:paraId="34C8528A" w14:textId="77777777" w:rsidR="00DB7140" w:rsidRPr="00DB7140" w:rsidRDefault="003E7BC9" w:rsidP="00782BCF">
      <w:pPr>
        <w:shd w:val="clear" w:color="auto" w:fill="FFFFFF"/>
        <w:spacing w:line="240" w:lineRule="auto"/>
        <w:jc w:val="both"/>
        <w:rPr>
          <w:rFonts w:ascii="Arial" w:eastAsia="Times New Roman" w:hAnsi="Arial" w:cs="Arial"/>
          <w:caps/>
          <w:color w:val="000000"/>
          <w:sz w:val="20"/>
          <w:szCs w:val="20"/>
          <w:lang w:val="es-CO"/>
        </w:rPr>
      </w:pPr>
      <w:r w:rsidRPr="00DB7140">
        <w:rPr>
          <w:rFonts w:ascii="Arial" w:eastAsia="Times New Roman" w:hAnsi="Arial" w:cs="Arial"/>
          <w:caps/>
          <w:color w:val="000000"/>
          <w:sz w:val="20"/>
          <w:szCs w:val="20"/>
          <w:lang w:val="es-CO"/>
        </w:rPr>
        <w:t>Clasificaciones</w:t>
      </w:r>
      <w:r w:rsidR="00A6200C" w:rsidRPr="00DB7140">
        <w:rPr>
          <w:rFonts w:ascii="Arial" w:eastAsia="Times New Roman" w:hAnsi="Arial" w:cs="Arial"/>
          <w:caps/>
          <w:color w:val="000000"/>
          <w:sz w:val="20"/>
          <w:szCs w:val="20"/>
          <w:lang w:val="es-CO"/>
        </w:rPr>
        <w:t xml:space="preserve"> expedidas por la CBP de Estados Unidos.  </w:t>
      </w:r>
    </w:p>
    <w:p w14:paraId="739AE610" w14:textId="48EA61C9" w:rsidR="008F47FC" w:rsidRPr="00981918" w:rsidRDefault="00A6200C" w:rsidP="5B883B78">
      <w:pPr>
        <w:shd w:val="clear" w:color="auto" w:fill="FFFFFF" w:themeFill="background1"/>
        <w:spacing w:line="240" w:lineRule="auto"/>
        <w:jc w:val="both"/>
        <w:rPr>
          <w:rFonts w:ascii="Arial" w:eastAsia="Times New Roman" w:hAnsi="Arial" w:cs="Arial"/>
          <w:color w:val="000000"/>
          <w:sz w:val="20"/>
          <w:szCs w:val="20"/>
          <w:lang w:val="es-CO"/>
        </w:rPr>
      </w:pPr>
      <w:r w:rsidRPr="5B883B78">
        <w:rPr>
          <w:rFonts w:ascii="Arial" w:eastAsia="Times New Roman" w:hAnsi="Arial" w:cs="Arial"/>
          <w:color w:val="000000" w:themeColor="text1"/>
          <w:sz w:val="20"/>
          <w:szCs w:val="20"/>
          <w:lang w:val="es-CO"/>
        </w:rPr>
        <w:t xml:space="preserve">Se </w:t>
      </w:r>
      <w:r w:rsidR="003E7BC9" w:rsidRPr="5B883B78">
        <w:rPr>
          <w:rFonts w:ascii="Arial" w:eastAsia="Times New Roman" w:hAnsi="Arial" w:cs="Arial"/>
          <w:color w:val="000000" w:themeColor="text1"/>
          <w:sz w:val="20"/>
          <w:szCs w:val="20"/>
          <w:lang w:val="es-CO"/>
        </w:rPr>
        <w:t xml:space="preserve">clasifican heparinas </w:t>
      </w:r>
      <w:r w:rsidR="001C212A" w:rsidRPr="5B883B78">
        <w:rPr>
          <w:rFonts w:ascii="Arial" w:eastAsia="Times New Roman" w:hAnsi="Arial" w:cs="Arial"/>
          <w:color w:val="000000" w:themeColor="text1"/>
          <w:sz w:val="20"/>
          <w:szCs w:val="20"/>
          <w:lang w:val="es-CO"/>
        </w:rPr>
        <w:t>para uso en medicina como anticoagulantes, presentados a granel en la partida 30.0</w:t>
      </w:r>
      <w:r w:rsidR="00DB7140" w:rsidRPr="5B883B78">
        <w:rPr>
          <w:rFonts w:ascii="Arial" w:eastAsia="Times New Roman" w:hAnsi="Arial" w:cs="Arial"/>
          <w:color w:val="000000" w:themeColor="text1"/>
          <w:sz w:val="20"/>
          <w:szCs w:val="20"/>
          <w:lang w:val="es-CO"/>
        </w:rPr>
        <w:t>1</w:t>
      </w:r>
      <w:r w:rsidR="001C212A" w:rsidRPr="5B883B78">
        <w:rPr>
          <w:rFonts w:ascii="Arial" w:eastAsia="Times New Roman" w:hAnsi="Arial" w:cs="Arial"/>
          <w:color w:val="000000" w:themeColor="text1"/>
          <w:sz w:val="20"/>
          <w:szCs w:val="20"/>
          <w:lang w:val="es-CO"/>
        </w:rPr>
        <w:t xml:space="preserve"> y</w:t>
      </w:r>
      <w:r w:rsidR="00C8340C">
        <w:rPr>
          <w:rFonts w:ascii="Arial" w:eastAsia="Times New Roman" w:hAnsi="Arial" w:cs="Arial"/>
          <w:color w:val="000000" w:themeColor="text1"/>
          <w:sz w:val="20"/>
          <w:szCs w:val="20"/>
          <w:lang w:val="es-CO"/>
        </w:rPr>
        <w:t xml:space="preserve"> la </w:t>
      </w:r>
      <w:r w:rsidR="00DB7140" w:rsidRPr="5B883B78">
        <w:rPr>
          <w:rFonts w:ascii="Arial" w:eastAsia="Times New Roman" w:hAnsi="Arial" w:cs="Arial"/>
          <w:color w:val="000000" w:themeColor="text1"/>
          <w:sz w:val="20"/>
          <w:szCs w:val="20"/>
          <w:lang w:val="es-CO"/>
        </w:rPr>
        <w:t>heparina</w:t>
      </w:r>
      <w:r w:rsidR="00BD359E" w:rsidRPr="5B883B78">
        <w:rPr>
          <w:rFonts w:ascii="Arial" w:eastAsia="Times New Roman" w:hAnsi="Arial" w:cs="Arial"/>
          <w:color w:val="000000" w:themeColor="text1"/>
          <w:sz w:val="20"/>
          <w:szCs w:val="20"/>
          <w:lang w:val="es-CO"/>
        </w:rPr>
        <w:t xml:space="preserve"> </w:t>
      </w:r>
      <w:r w:rsidR="00BD359E" w:rsidRPr="00C8340C">
        <w:rPr>
          <w:rFonts w:ascii="Arial" w:eastAsia="Times New Roman" w:hAnsi="Arial" w:cs="Arial"/>
          <w:color w:val="000000" w:themeColor="text1"/>
          <w:sz w:val="20"/>
          <w:szCs w:val="20"/>
          <w:lang w:val="es-CO"/>
        </w:rPr>
        <w:t>y enoxaparina</w:t>
      </w:r>
      <w:r w:rsidR="00BD359E" w:rsidRPr="5B883B78">
        <w:rPr>
          <w:rFonts w:ascii="Arial" w:eastAsia="Times New Roman" w:hAnsi="Arial" w:cs="Arial"/>
          <w:color w:val="000000" w:themeColor="text1"/>
          <w:sz w:val="20"/>
          <w:szCs w:val="20"/>
          <w:lang w:val="es-CO"/>
        </w:rPr>
        <w:t xml:space="preserve"> </w:t>
      </w:r>
      <w:r w:rsidR="00DB7140" w:rsidRPr="5B883B78">
        <w:rPr>
          <w:rFonts w:ascii="Arial" w:eastAsia="Times New Roman" w:hAnsi="Arial" w:cs="Arial"/>
          <w:color w:val="000000" w:themeColor="text1"/>
          <w:sz w:val="20"/>
          <w:szCs w:val="20"/>
          <w:lang w:val="es-CO"/>
        </w:rPr>
        <w:t>en forma de dosificación líquida inyectable en la partida 30.04.</w:t>
      </w:r>
    </w:p>
    <w:p w14:paraId="6AD9C605" w14:textId="3F8EAF5E" w:rsidR="00C83B18" w:rsidRPr="00981918" w:rsidRDefault="00C83B18" w:rsidP="00782BCF">
      <w:pPr>
        <w:shd w:val="clear" w:color="auto" w:fill="FFFFFF"/>
        <w:spacing w:line="240" w:lineRule="auto"/>
        <w:jc w:val="both"/>
        <w:rPr>
          <w:rFonts w:ascii="Arial" w:eastAsia="Times New Roman" w:hAnsi="Arial" w:cs="Arial"/>
          <w:color w:val="000000"/>
          <w:sz w:val="20"/>
          <w:szCs w:val="20"/>
          <w:lang w:val="es-CO"/>
        </w:rPr>
      </w:pPr>
    </w:p>
    <w:p w14:paraId="5FEA853C" w14:textId="430631B4" w:rsidR="00C83B18" w:rsidRPr="00981918" w:rsidRDefault="00C83B18" w:rsidP="00782BCF">
      <w:pPr>
        <w:shd w:val="clear" w:color="auto" w:fill="FFFFFF"/>
        <w:spacing w:line="240" w:lineRule="auto"/>
        <w:jc w:val="both"/>
        <w:rPr>
          <w:rFonts w:ascii="Arial" w:eastAsia="Times New Roman" w:hAnsi="Arial" w:cs="Arial"/>
          <w:color w:val="000000"/>
          <w:sz w:val="20"/>
          <w:szCs w:val="20"/>
          <w:lang w:val="es-CO"/>
        </w:rPr>
      </w:pPr>
    </w:p>
    <w:p w14:paraId="5FAD973D" w14:textId="77777777" w:rsidR="00C83B18" w:rsidRPr="00981918" w:rsidRDefault="00C83B18" w:rsidP="00782BCF">
      <w:pPr>
        <w:shd w:val="clear" w:color="auto" w:fill="FFFFFF"/>
        <w:spacing w:line="240" w:lineRule="auto"/>
        <w:jc w:val="both"/>
        <w:rPr>
          <w:rFonts w:ascii="Arial" w:eastAsia="Times New Roman" w:hAnsi="Arial" w:cs="Arial"/>
          <w:color w:val="000000"/>
          <w:sz w:val="20"/>
          <w:szCs w:val="20"/>
          <w:lang w:val="es-CO"/>
        </w:rPr>
      </w:pPr>
    </w:p>
    <w:p w14:paraId="02AD7092" w14:textId="31AF2139" w:rsidR="004F2A4E" w:rsidRPr="00981918" w:rsidRDefault="004F2A4E" w:rsidP="00782BCF">
      <w:pPr>
        <w:shd w:val="clear" w:color="auto" w:fill="FFFFFF"/>
        <w:spacing w:line="240" w:lineRule="auto"/>
        <w:jc w:val="both"/>
        <w:rPr>
          <w:rFonts w:ascii="Arial" w:eastAsia="Times New Roman" w:hAnsi="Arial" w:cs="Arial"/>
          <w:color w:val="000000"/>
          <w:sz w:val="20"/>
          <w:szCs w:val="20"/>
          <w:lang w:val="es-CO"/>
        </w:rPr>
      </w:pPr>
    </w:p>
    <w:p w14:paraId="6BFEA888" w14:textId="2394547B" w:rsidR="004F2A4E" w:rsidRPr="00981918" w:rsidRDefault="004F2A4E" w:rsidP="00782BCF">
      <w:pPr>
        <w:shd w:val="clear" w:color="auto" w:fill="FFFFFF"/>
        <w:spacing w:line="240" w:lineRule="auto"/>
        <w:jc w:val="both"/>
        <w:rPr>
          <w:rFonts w:ascii="Arial" w:eastAsia="Times New Roman" w:hAnsi="Arial" w:cs="Arial"/>
          <w:color w:val="000000"/>
          <w:sz w:val="20"/>
          <w:szCs w:val="20"/>
          <w:lang w:val="es-CO"/>
        </w:rPr>
      </w:pPr>
    </w:p>
    <w:p w14:paraId="0C79BBE4" w14:textId="3529DF10" w:rsidR="004F2A4E" w:rsidRPr="00981918" w:rsidRDefault="004F2A4E" w:rsidP="00782BCF">
      <w:pPr>
        <w:shd w:val="clear" w:color="auto" w:fill="FFFFFF"/>
        <w:spacing w:line="240" w:lineRule="auto"/>
        <w:jc w:val="both"/>
        <w:rPr>
          <w:rFonts w:ascii="Arial" w:eastAsia="Times New Roman" w:hAnsi="Arial" w:cs="Arial"/>
          <w:color w:val="000000"/>
          <w:sz w:val="20"/>
          <w:szCs w:val="20"/>
          <w:lang w:val="es-CO"/>
        </w:rPr>
      </w:pPr>
    </w:p>
    <w:p w14:paraId="225F3C5C" w14:textId="77777777" w:rsidR="004F2A4E" w:rsidRPr="00981918" w:rsidRDefault="004F2A4E" w:rsidP="00782BCF">
      <w:pPr>
        <w:shd w:val="clear" w:color="auto" w:fill="FFFFFF"/>
        <w:spacing w:line="240" w:lineRule="auto"/>
        <w:jc w:val="both"/>
        <w:rPr>
          <w:rFonts w:ascii="Arial" w:eastAsia="Times New Roman" w:hAnsi="Arial" w:cs="Arial"/>
          <w:color w:val="000000"/>
          <w:sz w:val="20"/>
          <w:szCs w:val="20"/>
          <w:lang w:val="es-CO"/>
        </w:rPr>
      </w:pPr>
    </w:p>
    <w:p w14:paraId="47C080B0" w14:textId="216F7756" w:rsidR="00782BCF" w:rsidRPr="00981918" w:rsidRDefault="00782BCF" w:rsidP="00782BCF">
      <w:pPr>
        <w:shd w:val="clear" w:color="auto" w:fill="FFFFFF"/>
        <w:spacing w:line="240" w:lineRule="auto"/>
        <w:jc w:val="both"/>
        <w:rPr>
          <w:rFonts w:ascii="Arial" w:eastAsia="Times New Roman" w:hAnsi="Arial" w:cs="Arial"/>
          <w:color w:val="000000"/>
          <w:sz w:val="20"/>
          <w:szCs w:val="20"/>
          <w:lang w:val="es-CO"/>
        </w:rPr>
      </w:pPr>
    </w:p>
    <w:p w14:paraId="630E96F7" w14:textId="40CE118E" w:rsidR="00F86073" w:rsidRPr="00981918" w:rsidRDefault="00F86073" w:rsidP="00782BCF">
      <w:pPr>
        <w:shd w:val="clear" w:color="auto" w:fill="FFFFFF"/>
        <w:spacing w:line="240" w:lineRule="auto"/>
        <w:jc w:val="both"/>
        <w:rPr>
          <w:rFonts w:ascii="Arial" w:eastAsia="Times New Roman" w:hAnsi="Arial" w:cs="Arial"/>
          <w:noProof/>
          <w:color w:val="000000"/>
          <w:sz w:val="20"/>
          <w:szCs w:val="20"/>
          <w:lang w:val="es-CO"/>
        </w:rPr>
      </w:pPr>
    </w:p>
    <w:p w14:paraId="40E0ECD8" w14:textId="77777777" w:rsidR="004F2A4E" w:rsidRPr="00981918" w:rsidRDefault="004F2A4E" w:rsidP="00782BCF">
      <w:pPr>
        <w:shd w:val="clear" w:color="auto" w:fill="FFFFFF"/>
        <w:spacing w:line="240" w:lineRule="auto"/>
        <w:jc w:val="both"/>
        <w:rPr>
          <w:rFonts w:ascii="Arial" w:eastAsia="Times New Roman" w:hAnsi="Arial" w:cs="Arial"/>
          <w:b/>
          <w:bCs/>
          <w:noProof/>
          <w:color w:val="1F3864" w:themeColor="accent1" w:themeShade="80"/>
          <w:sz w:val="20"/>
          <w:szCs w:val="20"/>
          <w:lang w:val="es-CO"/>
        </w:rPr>
      </w:pPr>
    </w:p>
    <w:p w14:paraId="6EC7C932" w14:textId="09D5D4C6" w:rsidR="004F2A4E" w:rsidRPr="00981918" w:rsidRDefault="004F2A4E" w:rsidP="00782BCF">
      <w:pPr>
        <w:shd w:val="clear" w:color="auto" w:fill="FFFFFF"/>
        <w:spacing w:line="240" w:lineRule="auto"/>
        <w:jc w:val="both"/>
        <w:rPr>
          <w:rFonts w:ascii="Arial" w:eastAsia="Times New Roman" w:hAnsi="Arial" w:cs="Arial"/>
          <w:b/>
          <w:bCs/>
          <w:noProof/>
          <w:color w:val="1F3864" w:themeColor="accent1" w:themeShade="80"/>
          <w:sz w:val="20"/>
          <w:szCs w:val="20"/>
          <w:lang w:val="es-CO"/>
        </w:rPr>
      </w:pPr>
    </w:p>
    <w:p w14:paraId="7FEC8327" w14:textId="2F706FBF" w:rsidR="0078368A" w:rsidRPr="00981918" w:rsidRDefault="0078368A" w:rsidP="00782BCF">
      <w:pPr>
        <w:shd w:val="clear" w:color="auto" w:fill="FFFFFF"/>
        <w:spacing w:line="240" w:lineRule="auto"/>
        <w:jc w:val="both"/>
        <w:rPr>
          <w:rFonts w:ascii="Arial" w:eastAsia="Times New Roman" w:hAnsi="Arial" w:cs="Arial"/>
          <w:b/>
          <w:bCs/>
          <w:noProof/>
          <w:color w:val="1F3864" w:themeColor="accent1" w:themeShade="80"/>
          <w:sz w:val="20"/>
          <w:szCs w:val="20"/>
          <w:lang w:val="es-CO"/>
        </w:rPr>
      </w:pPr>
    </w:p>
    <w:p w14:paraId="3A8D4DA2" w14:textId="1527E26F" w:rsidR="004F2A4E" w:rsidRPr="00981918" w:rsidRDefault="004F2A4E" w:rsidP="00782BCF">
      <w:pPr>
        <w:shd w:val="clear" w:color="auto" w:fill="FFFFFF"/>
        <w:spacing w:line="240" w:lineRule="auto"/>
        <w:jc w:val="both"/>
        <w:rPr>
          <w:rFonts w:ascii="Arial" w:eastAsia="Times New Roman" w:hAnsi="Arial" w:cs="Arial"/>
          <w:b/>
          <w:bCs/>
          <w:noProof/>
          <w:color w:val="1F3864" w:themeColor="accent1" w:themeShade="80"/>
          <w:sz w:val="20"/>
          <w:szCs w:val="20"/>
          <w:lang w:val="es-CO"/>
        </w:rPr>
      </w:pPr>
    </w:p>
    <w:p w14:paraId="512C09FF" w14:textId="14737F44" w:rsidR="004F2A4E" w:rsidRPr="00981918" w:rsidRDefault="004F2A4E" w:rsidP="006F59B6">
      <w:pPr>
        <w:autoSpaceDE w:val="0"/>
        <w:autoSpaceDN w:val="0"/>
        <w:adjustRightInd w:val="0"/>
        <w:spacing w:after="0" w:line="240" w:lineRule="auto"/>
        <w:rPr>
          <w:rFonts w:ascii="Arial" w:hAnsi="Arial" w:cs="Arial"/>
          <w:color w:val="1F3864" w:themeColor="accent1" w:themeShade="80"/>
          <w:sz w:val="20"/>
          <w:szCs w:val="20"/>
          <w:lang w:val="es-CO"/>
        </w:rPr>
      </w:pPr>
    </w:p>
    <w:p w14:paraId="4C49B649" w14:textId="0EFFD1FE" w:rsidR="004F2A4E" w:rsidRPr="00981918" w:rsidRDefault="004F2A4E" w:rsidP="006F59B6">
      <w:pPr>
        <w:autoSpaceDE w:val="0"/>
        <w:autoSpaceDN w:val="0"/>
        <w:adjustRightInd w:val="0"/>
        <w:spacing w:after="0" w:line="240" w:lineRule="auto"/>
        <w:rPr>
          <w:rFonts w:ascii="Arial" w:hAnsi="Arial" w:cs="Arial"/>
          <w:color w:val="1F3864" w:themeColor="accent1" w:themeShade="80"/>
          <w:sz w:val="20"/>
          <w:szCs w:val="20"/>
          <w:lang w:val="es-CO"/>
        </w:rPr>
      </w:pPr>
    </w:p>
    <w:p w14:paraId="0727A4D7" w14:textId="16EB7BFD" w:rsidR="004F2A4E" w:rsidRPr="00981918" w:rsidRDefault="004F2A4E" w:rsidP="006F59B6">
      <w:pPr>
        <w:autoSpaceDE w:val="0"/>
        <w:autoSpaceDN w:val="0"/>
        <w:adjustRightInd w:val="0"/>
        <w:spacing w:after="0" w:line="240" w:lineRule="auto"/>
        <w:rPr>
          <w:rFonts w:ascii="Arial" w:hAnsi="Arial" w:cs="Arial"/>
          <w:color w:val="1F3864" w:themeColor="accent1" w:themeShade="80"/>
          <w:sz w:val="20"/>
          <w:szCs w:val="20"/>
          <w:lang w:val="es-CO"/>
        </w:rPr>
      </w:pPr>
    </w:p>
    <w:p w14:paraId="63004F02" w14:textId="1DE3DF1D" w:rsidR="004F2A4E" w:rsidRPr="00981918" w:rsidRDefault="004F2A4E" w:rsidP="006F59B6">
      <w:pPr>
        <w:autoSpaceDE w:val="0"/>
        <w:autoSpaceDN w:val="0"/>
        <w:adjustRightInd w:val="0"/>
        <w:spacing w:after="0" w:line="240" w:lineRule="auto"/>
        <w:rPr>
          <w:rFonts w:ascii="Arial" w:hAnsi="Arial" w:cs="Arial"/>
          <w:color w:val="1F3864" w:themeColor="accent1" w:themeShade="80"/>
          <w:sz w:val="20"/>
          <w:szCs w:val="20"/>
          <w:lang w:val="es-CO"/>
        </w:rPr>
      </w:pPr>
    </w:p>
    <w:p w14:paraId="49F317C7" w14:textId="17735979" w:rsidR="004F2A4E" w:rsidRPr="00981918" w:rsidRDefault="004F2A4E" w:rsidP="006F59B6">
      <w:pPr>
        <w:autoSpaceDE w:val="0"/>
        <w:autoSpaceDN w:val="0"/>
        <w:adjustRightInd w:val="0"/>
        <w:spacing w:after="0" w:line="240" w:lineRule="auto"/>
        <w:rPr>
          <w:rFonts w:ascii="Arial" w:hAnsi="Arial" w:cs="Arial"/>
          <w:color w:val="1F3864" w:themeColor="accent1" w:themeShade="80"/>
          <w:sz w:val="20"/>
          <w:szCs w:val="20"/>
          <w:lang w:val="es-CO"/>
        </w:rPr>
      </w:pPr>
    </w:p>
    <w:sectPr w:rsidR="004F2A4E" w:rsidRPr="00981918" w:rsidSect="00112064">
      <w:headerReference w:type="default" r:id="rId17"/>
      <w:footerReference w:type="default" r:id="rId18"/>
      <w:pgSz w:w="12240" w:h="15840"/>
      <w:pgMar w:top="1061" w:right="1701" w:bottom="1843"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4FB60" w14:textId="77777777" w:rsidR="008035F8" w:rsidRDefault="008035F8" w:rsidP="004F2A4E">
      <w:pPr>
        <w:spacing w:after="0" w:line="240" w:lineRule="auto"/>
      </w:pPr>
      <w:r>
        <w:separator/>
      </w:r>
    </w:p>
  </w:endnote>
  <w:endnote w:type="continuationSeparator" w:id="0">
    <w:p w14:paraId="3A08B357" w14:textId="77777777" w:rsidR="008035F8" w:rsidRDefault="008035F8" w:rsidP="004F2A4E">
      <w:pPr>
        <w:spacing w:after="0" w:line="240" w:lineRule="auto"/>
      </w:pPr>
      <w:r>
        <w:continuationSeparator/>
      </w:r>
    </w:p>
  </w:endnote>
  <w:endnote w:type="continuationNotice" w:id="1">
    <w:p w14:paraId="55300937" w14:textId="77777777" w:rsidR="008035F8" w:rsidRDefault="008035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11C5A" w14:textId="77777777" w:rsidR="00E05AE4" w:rsidRPr="00E05AE4" w:rsidRDefault="00E05AE4" w:rsidP="00E05AE4">
    <w:pPr>
      <w:framePr w:w="5114" w:hSpace="141" w:wrap="around" w:vAnchor="text" w:hAnchor="page" w:x="1270" w:y="1"/>
      <w:jc w:val="both"/>
      <w:rPr>
        <w:b/>
        <w:bCs/>
        <w:sz w:val="18"/>
        <w:szCs w:val="18"/>
        <w:lang w:val="es-CO"/>
      </w:rPr>
    </w:pPr>
    <w:r w:rsidRPr="00E05AE4">
      <w:rPr>
        <w:rFonts w:ascii="Calibri Light" w:hAnsi="Calibri Light"/>
        <w:b/>
        <w:bCs/>
        <w:sz w:val="18"/>
        <w:szCs w:val="18"/>
        <w:lang w:val="es-CO"/>
      </w:rPr>
      <w:t xml:space="preserve">Dirección Seccional de Aduanas de Medellín    </w:t>
    </w:r>
  </w:p>
  <w:p w14:paraId="0439878F" w14:textId="77777777" w:rsidR="00E05AE4" w:rsidRPr="00E05AE4" w:rsidRDefault="00E05AE4" w:rsidP="00E05AE4">
    <w:pPr>
      <w:framePr w:w="5114" w:hSpace="141" w:wrap="around" w:vAnchor="text" w:hAnchor="page" w:x="1270" w:y="1"/>
      <w:jc w:val="both"/>
      <w:rPr>
        <w:rFonts w:ascii="Calibri Light" w:hAnsi="Calibri Light"/>
        <w:sz w:val="18"/>
        <w:lang w:val="es-CO"/>
      </w:rPr>
    </w:pPr>
    <w:r w:rsidRPr="00E05AE4">
      <w:rPr>
        <w:rFonts w:ascii="Calibri Light" w:hAnsi="Calibri Light"/>
        <w:sz w:val="18"/>
        <w:lang w:val="es-CO"/>
      </w:rPr>
      <w:t>Carrera 52 # 42-43 Alpujarra | 6046051555 - 3103158228</w:t>
    </w:r>
  </w:p>
  <w:p w14:paraId="2E122AC7" w14:textId="77777777" w:rsidR="00E05AE4" w:rsidRPr="00E05AE4" w:rsidRDefault="00E05AE4" w:rsidP="00E05AE4">
    <w:pPr>
      <w:framePr w:w="5114" w:hSpace="141" w:wrap="around" w:vAnchor="text" w:hAnchor="page" w:x="1270" w:y="1"/>
      <w:jc w:val="both"/>
      <w:rPr>
        <w:rFonts w:ascii="Calibri Light" w:hAnsi="Calibri Light"/>
        <w:sz w:val="18"/>
        <w:lang w:val="es-CO"/>
      </w:rPr>
    </w:pPr>
    <w:r w:rsidRPr="00E05AE4">
      <w:rPr>
        <w:rFonts w:ascii="Calibri Light" w:hAnsi="Calibri Light"/>
        <w:sz w:val="18"/>
        <w:lang w:val="es-CO"/>
      </w:rPr>
      <w:t>Código postal 050015</w:t>
    </w:r>
  </w:p>
  <w:p w14:paraId="09FFE61E" w14:textId="77777777" w:rsidR="00E05AE4" w:rsidRPr="00E05AE4" w:rsidRDefault="00E05AE4" w:rsidP="00E05AE4">
    <w:pPr>
      <w:framePr w:w="5114" w:hSpace="141" w:wrap="around" w:vAnchor="text" w:hAnchor="page" w:x="1270" w:y="1"/>
      <w:jc w:val="both"/>
      <w:rPr>
        <w:rFonts w:ascii="Calibri Light" w:hAnsi="Calibri Light"/>
        <w:sz w:val="18"/>
        <w:lang w:val="es-CO"/>
      </w:rPr>
    </w:pPr>
    <w:hyperlink r:id="rId1" w:history="1">
      <w:r w:rsidRPr="00E05AE4">
        <w:rPr>
          <w:rStyle w:val="Hipervnculo"/>
          <w:rFonts w:ascii="Calibri Light" w:hAnsi="Calibri Light"/>
          <w:sz w:val="18"/>
          <w:lang w:val="es-CO"/>
        </w:rPr>
        <w:t>www.dian.gov.co</w:t>
      </w:r>
    </w:hyperlink>
    <w:r w:rsidRPr="00E05AE4">
      <w:rPr>
        <w:rFonts w:ascii="Calibri Light" w:hAnsi="Calibri Light"/>
        <w:sz w:val="18"/>
        <w:lang w:val="es-CO"/>
      </w:rPr>
      <w:t xml:space="preserve"> </w:t>
    </w:r>
  </w:p>
  <w:p w14:paraId="392BCDDD" w14:textId="77777777" w:rsidR="00E05AE4" w:rsidRPr="00E05AE4" w:rsidRDefault="00E05AE4" w:rsidP="00E05AE4">
    <w:pPr>
      <w:framePr w:w="5114" w:hSpace="141" w:wrap="around" w:vAnchor="text" w:hAnchor="page" w:x="1270" w:y="1"/>
      <w:jc w:val="both"/>
      <w:rPr>
        <w:rFonts w:ascii="Calibri Light" w:hAnsi="Calibri Light"/>
        <w:sz w:val="12"/>
        <w:lang w:val="es-CO"/>
      </w:rPr>
    </w:pPr>
    <w:r w:rsidRPr="00E05AE4">
      <w:rPr>
        <w:rFonts w:ascii="Calibri Light" w:hAnsi="Calibri Light"/>
        <w:sz w:val="12"/>
        <w:lang w:val="es-CO"/>
      </w:rPr>
      <w:t>Formule su petición, queja, sugerencia o reclamo en el Sistema PQSR de la DIAN</w:t>
    </w:r>
  </w:p>
  <w:p w14:paraId="4418761C" w14:textId="77777777" w:rsidR="00F824FC" w:rsidRPr="006445BF" w:rsidRDefault="00F824FC">
    <w:pPr>
      <w:pStyle w:val="Piedepgina"/>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3A505" w14:textId="77777777" w:rsidR="008035F8" w:rsidRDefault="008035F8" w:rsidP="004F2A4E">
      <w:pPr>
        <w:spacing w:after="0" w:line="240" w:lineRule="auto"/>
      </w:pPr>
      <w:r>
        <w:separator/>
      </w:r>
    </w:p>
  </w:footnote>
  <w:footnote w:type="continuationSeparator" w:id="0">
    <w:p w14:paraId="45144601" w14:textId="77777777" w:rsidR="008035F8" w:rsidRDefault="008035F8" w:rsidP="004F2A4E">
      <w:pPr>
        <w:spacing w:after="0" w:line="240" w:lineRule="auto"/>
      </w:pPr>
      <w:r>
        <w:continuationSeparator/>
      </w:r>
    </w:p>
  </w:footnote>
  <w:footnote w:type="continuationNotice" w:id="1">
    <w:p w14:paraId="4DA85891" w14:textId="77777777" w:rsidR="008035F8" w:rsidRDefault="008035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1EB9E" w14:textId="6E3F8511" w:rsidR="00F824FC" w:rsidRDefault="0066578B" w:rsidP="00705E6A">
    <w:pPr>
      <w:pStyle w:val="Encabezado"/>
      <w:tabs>
        <w:tab w:val="clear" w:pos="4419"/>
        <w:tab w:val="clear" w:pos="8838"/>
        <w:tab w:val="left" w:pos="1129"/>
      </w:tabs>
    </w:pPr>
    <w:r>
      <w:rPr>
        <w:noProof/>
      </w:rPr>
      <w:drawing>
        <wp:inline distT="0" distB="0" distL="0" distR="0" wp14:anchorId="21148A78" wp14:editId="72683D89">
          <wp:extent cx="5612130" cy="567690"/>
          <wp:effectExtent l="0" t="0" r="7620" b="381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135" t="16092" r="3963" b="12643"/>
                  <a:stretch>
                    <a:fillRect/>
                  </a:stretch>
                </pic:blipFill>
                <pic:spPr bwMode="auto">
                  <a:xfrm>
                    <a:off x="0" y="0"/>
                    <a:ext cx="5612130" cy="567690"/>
                  </a:xfrm>
                  <a:prstGeom prst="rect">
                    <a:avLst/>
                  </a:prstGeom>
                  <a:noFill/>
                  <a:ln>
                    <a:noFill/>
                  </a:ln>
                </pic:spPr>
              </pic:pic>
            </a:graphicData>
          </a:graphic>
        </wp:inline>
      </w:drawing>
    </w:r>
    <w:r w:rsidR="00705E6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A6683"/>
    <w:multiLevelType w:val="hybridMultilevel"/>
    <w:tmpl w:val="380A46E0"/>
    <w:lvl w:ilvl="0" w:tplc="2AC2AB68">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CF391C"/>
    <w:multiLevelType w:val="hybridMultilevel"/>
    <w:tmpl w:val="7AB6255A"/>
    <w:lvl w:ilvl="0" w:tplc="434286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C41B66"/>
    <w:multiLevelType w:val="hybridMultilevel"/>
    <w:tmpl w:val="8D42C6F0"/>
    <w:lvl w:ilvl="0" w:tplc="B16ADF92">
      <w:start w:val="10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0F73BC"/>
    <w:multiLevelType w:val="hybridMultilevel"/>
    <w:tmpl w:val="E6AC0D96"/>
    <w:lvl w:ilvl="0" w:tplc="B6487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0C68E2"/>
    <w:multiLevelType w:val="hybridMultilevel"/>
    <w:tmpl w:val="C2582FEA"/>
    <w:lvl w:ilvl="0" w:tplc="4ADAF80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7951207">
    <w:abstractNumId w:val="3"/>
  </w:num>
  <w:num w:numId="2" w16cid:durableId="89086335">
    <w:abstractNumId w:val="1"/>
  </w:num>
  <w:num w:numId="3" w16cid:durableId="1711566712">
    <w:abstractNumId w:val="0"/>
  </w:num>
  <w:num w:numId="4" w16cid:durableId="498153909">
    <w:abstractNumId w:val="4"/>
  </w:num>
  <w:num w:numId="5" w16cid:durableId="17367791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BCF"/>
    <w:rsid w:val="00032343"/>
    <w:rsid w:val="00050362"/>
    <w:rsid w:val="00052914"/>
    <w:rsid w:val="00053131"/>
    <w:rsid w:val="0006705F"/>
    <w:rsid w:val="0006774B"/>
    <w:rsid w:val="00067D46"/>
    <w:rsid w:val="00087BE1"/>
    <w:rsid w:val="00097FC6"/>
    <w:rsid w:val="000B3A66"/>
    <w:rsid w:val="000B57C7"/>
    <w:rsid w:val="000C40C5"/>
    <w:rsid w:val="000D5497"/>
    <w:rsid w:val="000E0411"/>
    <w:rsid w:val="000E4C6F"/>
    <w:rsid w:val="00110353"/>
    <w:rsid w:val="00112064"/>
    <w:rsid w:val="001629EF"/>
    <w:rsid w:val="001707D4"/>
    <w:rsid w:val="00172A1F"/>
    <w:rsid w:val="0018548C"/>
    <w:rsid w:val="001C212A"/>
    <w:rsid w:val="001C2137"/>
    <w:rsid w:val="001F3CC3"/>
    <w:rsid w:val="002172CD"/>
    <w:rsid w:val="00223FB2"/>
    <w:rsid w:val="0022470A"/>
    <w:rsid w:val="00225517"/>
    <w:rsid w:val="00236902"/>
    <w:rsid w:val="0023703D"/>
    <w:rsid w:val="00241689"/>
    <w:rsid w:val="002664C7"/>
    <w:rsid w:val="0026753D"/>
    <w:rsid w:val="00294CE2"/>
    <w:rsid w:val="002A43E9"/>
    <w:rsid w:val="002B3628"/>
    <w:rsid w:val="00307023"/>
    <w:rsid w:val="00312ED3"/>
    <w:rsid w:val="0031515D"/>
    <w:rsid w:val="00323EBF"/>
    <w:rsid w:val="003309B3"/>
    <w:rsid w:val="00342FFF"/>
    <w:rsid w:val="00355EA5"/>
    <w:rsid w:val="0039057A"/>
    <w:rsid w:val="00395934"/>
    <w:rsid w:val="00397EC7"/>
    <w:rsid w:val="003E7BC9"/>
    <w:rsid w:val="003F11E9"/>
    <w:rsid w:val="003F47FE"/>
    <w:rsid w:val="00402476"/>
    <w:rsid w:val="00423367"/>
    <w:rsid w:val="00434258"/>
    <w:rsid w:val="0043544F"/>
    <w:rsid w:val="0045295D"/>
    <w:rsid w:val="004556D6"/>
    <w:rsid w:val="00483A47"/>
    <w:rsid w:val="00496C50"/>
    <w:rsid w:val="004971D4"/>
    <w:rsid w:val="004C6DF5"/>
    <w:rsid w:val="004D5B32"/>
    <w:rsid w:val="004F02E8"/>
    <w:rsid w:val="004F2A4E"/>
    <w:rsid w:val="00502DA9"/>
    <w:rsid w:val="005247B7"/>
    <w:rsid w:val="005428FF"/>
    <w:rsid w:val="00552C39"/>
    <w:rsid w:val="005950D2"/>
    <w:rsid w:val="005A5101"/>
    <w:rsid w:val="00626073"/>
    <w:rsid w:val="0063241B"/>
    <w:rsid w:val="00636C4A"/>
    <w:rsid w:val="006371E9"/>
    <w:rsid w:val="00643E77"/>
    <w:rsid w:val="006445BF"/>
    <w:rsid w:val="006475A1"/>
    <w:rsid w:val="00652B24"/>
    <w:rsid w:val="00664439"/>
    <w:rsid w:val="0066578B"/>
    <w:rsid w:val="006B2424"/>
    <w:rsid w:val="006C1ABE"/>
    <w:rsid w:val="006C4BE2"/>
    <w:rsid w:val="006D779D"/>
    <w:rsid w:val="006F59B6"/>
    <w:rsid w:val="00705E6A"/>
    <w:rsid w:val="00712A13"/>
    <w:rsid w:val="00734A30"/>
    <w:rsid w:val="00740BAF"/>
    <w:rsid w:val="00753D79"/>
    <w:rsid w:val="00775918"/>
    <w:rsid w:val="00782BCF"/>
    <w:rsid w:val="0078368A"/>
    <w:rsid w:val="007865A5"/>
    <w:rsid w:val="007A2338"/>
    <w:rsid w:val="007B3864"/>
    <w:rsid w:val="007D516E"/>
    <w:rsid w:val="008035F8"/>
    <w:rsid w:val="00810C38"/>
    <w:rsid w:val="00812FB6"/>
    <w:rsid w:val="008167F3"/>
    <w:rsid w:val="00842428"/>
    <w:rsid w:val="008455E9"/>
    <w:rsid w:val="00864083"/>
    <w:rsid w:val="00865F45"/>
    <w:rsid w:val="008761E4"/>
    <w:rsid w:val="0087654E"/>
    <w:rsid w:val="0088208A"/>
    <w:rsid w:val="008B67A3"/>
    <w:rsid w:val="008C616E"/>
    <w:rsid w:val="008D002E"/>
    <w:rsid w:val="008D63FD"/>
    <w:rsid w:val="008F47FC"/>
    <w:rsid w:val="00920C5E"/>
    <w:rsid w:val="00935FDA"/>
    <w:rsid w:val="00960053"/>
    <w:rsid w:val="00961894"/>
    <w:rsid w:val="00981918"/>
    <w:rsid w:val="00995660"/>
    <w:rsid w:val="009B53F7"/>
    <w:rsid w:val="009E71E6"/>
    <w:rsid w:val="009F22BD"/>
    <w:rsid w:val="009F3C13"/>
    <w:rsid w:val="00A073D0"/>
    <w:rsid w:val="00A21D96"/>
    <w:rsid w:val="00A263F7"/>
    <w:rsid w:val="00A429CE"/>
    <w:rsid w:val="00A6200C"/>
    <w:rsid w:val="00AA71CF"/>
    <w:rsid w:val="00AE7C2B"/>
    <w:rsid w:val="00AE7C70"/>
    <w:rsid w:val="00B05656"/>
    <w:rsid w:val="00B11D72"/>
    <w:rsid w:val="00B23BF0"/>
    <w:rsid w:val="00B25D88"/>
    <w:rsid w:val="00B33F43"/>
    <w:rsid w:val="00B537BF"/>
    <w:rsid w:val="00B61510"/>
    <w:rsid w:val="00B81D26"/>
    <w:rsid w:val="00B87148"/>
    <w:rsid w:val="00B91562"/>
    <w:rsid w:val="00BA1ADA"/>
    <w:rsid w:val="00BA2C15"/>
    <w:rsid w:val="00BD359E"/>
    <w:rsid w:val="00BE4820"/>
    <w:rsid w:val="00BE7507"/>
    <w:rsid w:val="00C20E20"/>
    <w:rsid w:val="00C23017"/>
    <w:rsid w:val="00C37536"/>
    <w:rsid w:val="00C40E6E"/>
    <w:rsid w:val="00C4422B"/>
    <w:rsid w:val="00C554E3"/>
    <w:rsid w:val="00C8340C"/>
    <w:rsid w:val="00C83B18"/>
    <w:rsid w:val="00C8470C"/>
    <w:rsid w:val="00C90611"/>
    <w:rsid w:val="00C9491F"/>
    <w:rsid w:val="00CB4398"/>
    <w:rsid w:val="00CC2B4D"/>
    <w:rsid w:val="00D0561E"/>
    <w:rsid w:val="00D062CB"/>
    <w:rsid w:val="00D07D30"/>
    <w:rsid w:val="00D17637"/>
    <w:rsid w:val="00D331C6"/>
    <w:rsid w:val="00D426C0"/>
    <w:rsid w:val="00D42AD0"/>
    <w:rsid w:val="00D60B7B"/>
    <w:rsid w:val="00D6525D"/>
    <w:rsid w:val="00D836CA"/>
    <w:rsid w:val="00DA241B"/>
    <w:rsid w:val="00DB5A18"/>
    <w:rsid w:val="00DB7140"/>
    <w:rsid w:val="00DB77EE"/>
    <w:rsid w:val="00DD6396"/>
    <w:rsid w:val="00DD7BE7"/>
    <w:rsid w:val="00DE5066"/>
    <w:rsid w:val="00DF5AB7"/>
    <w:rsid w:val="00E01882"/>
    <w:rsid w:val="00E05AE4"/>
    <w:rsid w:val="00E0620B"/>
    <w:rsid w:val="00E07E28"/>
    <w:rsid w:val="00E26907"/>
    <w:rsid w:val="00E66298"/>
    <w:rsid w:val="00E702DD"/>
    <w:rsid w:val="00E872EE"/>
    <w:rsid w:val="00E95918"/>
    <w:rsid w:val="00EB0CB9"/>
    <w:rsid w:val="00EC369B"/>
    <w:rsid w:val="00F30054"/>
    <w:rsid w:val="00F31D46"/>
    <w:rsid w:val="00F3385C"/>
    <w:rsid w:val="00F44DB6"/>
    <w:rsid w:val="00F5798D"/>
    <w:rsid w:val="00F62F96"/>
    <w:rsid w:val="00F717B7"/>
    <w:rsid w:val="00F748F5"/>
    <w:rsid w:val="00F824FC"/>
    <w:rsid w:val="00F86073"/>
    <w:rsid w:val="00F95F15"/>
    <w:rsid w:val="00FA7C37"/>
    <w:rsid w:val="00FC7D5E"/>
    <w:rsid w:val="00FD79B6"/>
    <w:rsid w:val="02882D94"/>
    <w:rsid w:val="0C5D5D52"/>
    <w:rsid w:val="472992D0"/>
    <w:rsid w:val="5B883B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117786"/>
  <w15:chartTrackingRefBased/>
  <w15:docId w15:val="{38DA7CAF-DFCA-4A60-9FFA-944730AC2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782BC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782BC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82B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rtecustom-subttulodeartculo">
    <w:name w:val="ms-rtecustom-subtítulodeartículo"/>
    <w:basedOn w:val="Fuentedeprrafopredeter"/>
    <w:rsid w:val="00C90611"/>
  </w:style>
  <w:style w:type="character" w:styleId="Hipervnculo">
    <w:name w:val="Hyperlink"/>
    <w:basedOn w:val="Fuentedeprrafopredeter"/>
    <w:uiPriority w:val="99"/>
    <w:unhideWhenUsed/>
    <w:rsid w:val="00C90611"/>
    <w:rPr>
      <w:color w:val="0000FF"/>
      <w:u w:val="single"/>
    </w:rPr>
  </w:style>
  <w:style w:type="paragraph" w:styleId="Encabezado">
    <w:name w:val="header"/>
    <w:basedOn w:val="Normal"/>
    <w:link w:val="EncabezadoCar"/>
    <w:uiPriority w:val="99"/>
    <w:unhideWhenUsed/>
    <w:rsid w:val="004F2A4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F2A4E"/>
  </w:style>
  <w:style w:type="paragraph" w:styleId="Piedepgina">
    <w:name w:val="footer"/>
    <w:basedOn w:val="Normal"/>
    <w:link w:val="PiedepginaCar"/>
    <w:uiPriority w:val="99"/>
    <w:unhideWhenUsed/>
    <w:rsid w:val="004F2A4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F2A4E"/>
  </w:style>
  <w:style w:type="paragraph" w:customStyle="1" w:styleId="Default">
    <w:name w:val="Default"/>
    <w:rsid w:val="0078368A"/>
    <w:pPr>
      <w:autoSpaceDE w:val="0"/>
      <w:autoSpaceDN w:val="0"/>
      <w:adjustRightInd w:val="0"/>
      <w:spacing w:after="0" w:line="240" w:lineRule="auto"/>
    </w:pPr>
    <w:rPr>
      <w:rFonts w:ascii="Arial" w:hAnsi="Arial" w:cs="Arial"/>
      <w:color w:val="000000"/>
      <w:sz w:val="24"/>
      <w:szCs w:val="24"/>
      <w:lang w:val="es-CO"/>
    </w:rPr>
  </w:style>
  <w:style w:type="character" w:styleId="Mencinsinresolver">
    <w:name w:val="Unresolved Mention"/>
    <w:basedOn w:val="Fuentedeprrafopredeter"/>
    <w:uiPriority w:val="99"/>
    <w:semiHidden/>
    <w:unhideWhenUsed/>
    <w:rsid w:val="00F31D46"/>
    <w:rPr>
      <w:color w:val="605E5C"/>
      <w:shd w:val="clear" w:color="auto" w:fill="E1DFDD"/>
    </w:rPr>
  </w:style>
  <w:style w:type="paragraph" w:styleId="Prrafodelista">
    <w:name w:val="List Paragraph"/>
    <w:basedOn w:val="Normal"/>
    <w:uiPriority w:val="34"/>
    <w:qFormat/>
    <w:rsid w:val="00981918"/>
    <w:pPr>
      <w:ind w:left="720"/>
      <w:contextualSpacing/>
    </w:pPr>
  </w:style>
  <w:style w:type="character" w:customStyle="1" w:styleId="ec">
    <w:name w:val="ec"/>
    <w:basedOn w:val="Fuentedeprrafopredeter"/>
    <w:rsid w:val="00D0561E"/>
  </w:style>
  <w:style w:type="character" w:customStyle="1" w:styleId="ee">
    <w:name w:val="ee"/>
    <w:basedOn w:val="Fuentedeprrafopredeter"/>
    <w:rsid w:val="00D05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90729">
      <w:bodyDiv w:val="1"/>
      <w:marLeft w:val="0"/>
      <w:marRight w:val="0"/>
      <w:marTop w:val="0"/>
      <w:marBottom w:val="0"/>
      <w:divBdr>
        <w:top w:val="none" w:sz="0" w:space="0" w:color="auto"/>
        <w:left w:val="none" w:sz="0" w:space="0" w:color="auto"/>
        <w:bottom w:val="none" w:sz="0" w:space="0" w:color="auto"/>
        <w:right w:val="none" w:sz="0" w:space="0" w:color="auto"/>
      </w:divBdr>
      <w:divsChild>
        <w:div w:id="354312695">
          <w:marLeft w:val="0"/>
          <w:marRight w:val="0"/>
          <w:marTop w:val="0"/>
          <w:marBottom w:val="0"/>
          <w:divBdr>
            <w:top w:val="none" w:sz="0" w:space="0" w:color="auto"/>
            <w:left w:val="none" w:sz="0" w:space="0" w:color="auto"/>
            <w:bottom w:val="none" w:sz="0" w:space="0" w:color="auto"/>
            <w:right w:val="none" w:sz="0" w:space="0" w:color="auto"/>
          </w:divBdr>
          <w:divsChild>
            <w:div w:id="1575502997">
              <w:marLeft w:val="0"/>
              <w:marRight w:val="0"/>
              <w:marTop w:val="0"/>
              <w:marBottom w:val="0"/>
              <w:divBdr>
                <w:top w:val="none" w:sz="0" w:space="0" w:color="auto"/>
                <w:left w:val="none" w:sz="0" w:space="0" w:color="auto"/>
                <w:bottom w:val="none" w:sz="0" w:space="0" w:color="auto"/>
                <w:right w:val="none" w:sz="0" w:space="0" w:color="auto"/>
              </w:divBdr>
            </w:div>
            <w:div w:id="1677918394">
              <w:marLeft w:val="0"/>
              <w:marRight w:val="0"/>
              <w:marTop w:val="0"/>
              <w:marBottom w:val="171"/>
              <w:divBdr>
                <w:top w:val="none" w:sz="0" w:space="0" w:color="auto"/>
                <w:left w:val="none" w:sz="0" w:space="0" w:color="auto"/>
                <w:bottom w:val="single" w:sz="6" w:space="0" w:color="DDDDDD"/>
                <w:right w:val="none" w:sz="0" w:space="0" w:color="auto"/>
              </w:divBdr>
              <w:divsChild>
                <w:div w:id="204355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648760">
          <w:marLeft w:val="0"/>
          <w:marRight w:val="0"/>
          <w:marTop w:val="0"/>
          <w:marBottom w:val="0"/>
          <w:divBdr>
            <w:top w:val="none" w:sz="0" w:space="0" w:color="auto"/>
            <w:left w:val="none" w:sz="0" w:space="0" w:color="auto"/>
            <w:bottom w:val="none" w:sz="0" w:space="0" w:color="auto"/>
            <w:right w:val="none" w:sz="0" w:space="0" w:color="auto"/>
          </w:divBdr>
          <w:divsChild>
            <w:div w:id="2095927925">
              <w:marLeft w:val="0"/>
              <w:marRight w:val="0"/>
              <w:marTop w:val="0"/>
              <w:marBottom w:val="0"/>
              <w:divBdr>
                <w:top w:val="none" w:sz="0" w:space="0" w:color="auto"/>
                <w:left w:val="none" w:sz="0" w:space="0" w:color="auto"/>
                <w:bottom w:val="none" w:sz="0" w:space="0" w:color="auto"/>
                <w:right w:val="none" w:sz="0" w:space="0" w:color="auto"/>
              </w:divBdr>
            </w:div>
            <w:div w:id="2145998434">
              <w:marLeft w:val="0"/>
              <w:marRight w:val="0"/>
              <w:marTop w:val="0"/>
              <w:marBottom w:val="171"/>
              <w:divBdr>
                <w:top w:val="none" w:sz="0" w:space="0" w:color="auto"/>
                <w:left w:val="none" w:sz="0" w:space="0" w:color="auto"/>
                <w:bottom w:val="single" w:sz="6" w:space="0" w:color="DDDDDD"/>
                <w:right w:val="none" w:sz="0" w:space="0" w:color="auto"/>
              </w:divBdr>
              <w:divsChild>
                <w:div w:id="190375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08374">
      <w:bodyDiv w:val="1"/>
      <w:marLeft w:val="0"/>
      <w:marRight w:val="0"/>
      <w:marTop w:val="0"/>
      <w:marBottom w:val="0"/>
      <w:divBdr>
        <w:top w:val="none" w:sz="0" w:space="0" w:color="auto"/>
        <w:left w:val="none" w:sz="0" w:space="0" w:color="auto"/>
        <w:bottom w:val="none" w:sz="0" w:space="0" w:color="auto"/>
        <w:right w:val="none" w:sz="0" w:space="0" w:color="auto"/>
      </w:divBdr>
    </w:div>
    <w:div w:id="1785417579">
      <w:bodyDiv w:val="1"/>
      <w:marLeft w:val="0"/>
      <w:marRight w:val="0"/>
      <w:marTop w:val="0"/>
      <w:marBottom w:val="0"/>
      <w:divBdr>
        <w:top w:val="none" w:sz="0" w:space="0" w:color="auto"/>
        <w:left w:val="none" w:sz="0" w:space="0" w:color="auto"/>
        <w:bottom w:val="none" w:sz="0" w:space="0" w:color="auto"/>
        <w:right w:val="none" w:sz="0" w:space="0" w:color="auto"/>
      </w:divBdr>
      <w:divsChild>
        <w:div w:id="355278696">
          <w:marLeft w:val="0"/>
          <w:marRight w:val="0"/>
          <w:marTop w:val="0"/>
          <w:marBottom w:val="300"/>
          <w:divBdr>
            <w:top w:val="none" w:sz="0" w:space="0" w:color="auto"/>
            <w:left w:val="none" w:sz="0" w:space="0" w:color="auto"/>
            <w:bottom w:val="none" w:sz="0" w:space="0" w:color="auto"/>
            <w:right w:val="none" w:sz="0" w:space="0" w:color="auto"/>
          </w:divBdr>
        </w:div>
        <w:div w:id="933436231">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png"/><Relationship Id="rId12" Type="http://schemas.openxmlformats.org/officeDocument/2006/relationships/hyperlink" Target="https://www.cancer.gov/espanol/publicaciones/diccionarios/diccionario-cancer/def/terapeutico"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ma.europa.eu/en/medicines/human/referrals/lovenox-associated-names"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customXml" Target="../customXml/item3.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dian.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E8BEAC33355F4AB65E30435B9D8C03" ma:contentTypeVersion="15" ma:contentTypeDescription="Crear nuevo documento." ma:contentTypeScope="" ma:versionID="711d31ae19e9f9013e4277ac08c7b404">
  <xsd:schema xmlns:xsd="http://www.w3.org/2001/XMLSchema" xmlns:xs="http://www.w3.org/2001/XMLSchema" xmlns:p="http://schemas.microsoft.com/office/2006/metadata/properties" xmlns:ns2="69670e6f-c4e0-4c09-9c08-ba81bb3840f9" xmlns:ns3="c32f87b9-3e91-4ce4-bf12-7a996838c763" targetNamespace="http://schemas.microsoft.com/office/2006/metadata/properties" ma:root="true" ma:fieldsID="4c7627e824d2997a64663ce6326bf2b0" ns2:_="" ns3:_="">
    <xsd:import namespace="69670e6f-c4e0-4c09-9c08-ba81bb3840f9"/>
    <xsd:import namespace="c32f87b9-3e91-4ce4-bf12-7a996838c7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70e6f-c4e0-4c09-9c08-ba81bb3840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fb2a11dd-44d7-4e65-9a21-858468f226e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f87b9-3e91-4ce4-bf12-7a996838c763"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7" nillable="true" ma:displayName="Taxonomy Catch All Column" ma:hidden="true" ma:list="{84bb72d1-f37e-461a-8b8e-6aa8e39606dd}" ma:internalName="TaxCatchAll" ma:showField="CatchAllData" ma:web="c32f87b9-3e91-4ce4-bf12-7a996838c7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32f87b9-3e91-4ce4-bf12-7a996838c763" xsi:nil="true"/>
    <lcf76f155ced4ddcb4097134ff3c332f xmlns="69670e6f-c4e0-4c09-9c08-ba81bb3840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94EF79-5AB0-4D92-BFBC-32D605F16D4F}"/>
</file>

<file path=customXml/itemProps2.xml><?xml version="1.0" encoding="utf-8"?>
<ds:datastoreItem xmlns:ds="http://schemas.openxmlformats.org/officeDocument/2006/customXml" ds:itemID="{C2DA693E-65D1-4BA4-B840-9D1B74B2E31A}"/>
</file>

<file path=customXml/itemProps3.xml><?xml version="1.0" encoding="utf-8"?>
<ds:datastoreItem xmlns:ds="http://schemas.openxmlformats.org/officeDocument/2006/customXml" ds:itemID="{FAB7B2B6-7C56-4FB6-BB0C-236F382F1351}"/>
</file>

<file path=docProps/app.xml><?xml version="1.0" encoding="utf-8"?>
<Properties xmlns="http://schemas.openxmlformats.org/officeDocument/2006/extended-properties" xmlns:vt="http://schemas.openxmlformats.org/officeDocument/2006/docPropsVTypes">
  <Template>Normal</Template>
  <TotalTime>0</TotalTime>
  <Pages>10</Pages>
  <Words>2278</Words>
  <Characters>12989</Characters>
  <Application>Microsoft Office Word</Application>
  <DocSecurity>0</DocSecurity>
  <Lines>108</Lines>
  <Paragraphs>30</Paragraphs>
  <ScaleCrop>false</ScaleCrop>
  <Company/>
  <LinksUpToDate>false</LinksUpToDate>
  <CharactersWithSpaces>15237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Maria Zapata Vasquez</dc:creator>
  <cp:keywords/>
  <dc:description/>
  <cp:lastModifiedBy>Angela Maria Zapata Vasquez</cp:lastModifiedBy>
  <cp:revision>2</cp:revision>
  <dcterms:created xsi:type="dcterms:W3CDTF">2024-03-11T18:55:00Z</dcterms:created>
  <dcterms:modified xsi:type="dcterms:W3CDTF">2024-03-11T18:55:00Z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0x010100A0E8BEAC33355F4AB65E30435B9D8C03</vt:lpwstr>
  </property>
  <property fmtid="{D5CDD505-2E9C-101B-9397-08002B2CF9AE}" pid="3" name="MediaServiceImageTags">
    <vt:lpwstr/>
  </property>
</Properties>
</file>