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F8BC" w14:textId="77777777" w:rsidR="00BC14B6" w:rsidRPr="008A065A" w:rsidRDefault="00BC14B6" w:rsidP="00BC14B6">
      <w:pPr>
        <w:rPr>
          <w:rFonts w:ascii="Century Gothic" w:hAnsi="Century Gothic"/>
          <w:sz w:val="22"/>
          <w:szCs w:val="22"/>
        </w:rPr>
      </w:pPr>
      <w:r w:rsidRPr="008A065A">
        <w:rPr>
          <w:rFonts w:ascii="Century Gothic" w:hAnsi="Century Gothic"/>
          <w:noProof/>
          <w:sz w:val="22"/>
          <w:szCs w:val="22"/>
          <w:lang w:eastAsia="es-CO"/>
        </w:rPr>
        <mc:AlternateContent>
          <mc:Choice Requires="wps">
            <w:drawing>
              <wp:anchor distT="0" distB="0" distL="114300" distR="114300" simplePos="0" relativeHeight="251658240" behindDoc="0" locked="0" layoutInCell="1" allowOverlap="1" wp14:anchorId="24AEBDF4" wp14:editId="19E68571">
                <wp:simplePos x="0" y="0"/>
                <wp:positionH relativeFrom="margin">
                  <wp:align>center</wp:align>
                </wp:positionH>
                <wp:positionV relativeFrom="paragraph">
                  <wp:posOffset>-224566</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08B15F1" w14:textId="77777777" w:rsidR="00BC14B6" w:rsidRPr="000D23FC" w:rsidRDefault="00BC14B6" w:rsidP="008A065A">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4AEBDF4" id="_x0000_t202" coordsize="21600,21600" o:spt="202" path="m,l,21600r21600,l21600,xe">
                <v:stroke joinstyle="miter"/>
                <v:path gradientshapeok="t" o:connecttype="rect"/>
              </v:shapetype>
              <v:shape id="Cuadro de texto 2" o:spid="_x0000_s1026" type="#_x0000_t202" style="position:absolute;margin-left:0;margin-top:-17.7pt;width:318pt;height:3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" filled="f" stroked="f">
                <v:textbox>
                  <w:txbxContent>
                    <w:p w14:paraId="708B15F1" w14:textId="77777777" w:rsidR="00BC14B6" w:rsidRPr="000D23FC" w:rsidRDefault="00BC14B6" w:rsidP="008A065A">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202541E1" w14:textId="77777777" w:rsidR="00BC14B6" w:rsidRPr="008A065A" w:rsidRDefault="00BC14B6" w:rsidP="00BC14B6">
      <w:pPr>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A065A" w:rsidRPr="008A065A" w14:paraId="167C9B02" w14:textId="77777777" w:rsidTr="00210131">
        <w:trPr>
          <w:trHeight w:val="454"/>
        </w:trPr>
        <w:tc>
          <w:tcPr>
            <w:tcW w:w="4537" w:type="dxa"/>
            <w:vAlign w:val="center"/>
          </w:tcPr>
          <w:p w14:paraId="505D18B3"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Fecha de presentación</w:t>
            </w:r>
          </w:p>
        </w:tc>
        <w:tc>
          <w:tcPr>
            <w:tcW w:w="5670" w:type="dxa"/>
          </w:tcPr>
          <w:p w14:paraId="1E895B34" w14:textId="5F3F42DE" w:rsidR="00BC14B6" w:rsidRPr="008A065A" w:rsidRDefault="000E6CD3" w:rsidP="00210131">
            <w:pPr>
              <w:jc w:val="both"/>
              <w:rPr>
                <w:rFonts w:ascii="Century Gothic" w:hAnsi="Century Gothic"/>
                <w:sz w:val="22"/>
                <w:szCs w:val="22"/>
              </w:rPr>
            </w:pPr>
            <w:r>
              <w:rPr>
                <w:rFonts w:ascii="Century Gothic" w:hAnsi="Century Gothic"/>
                <w:sz w:val="22"/>
                <w:szCs w:val="22"/>
              </w:rPr>
              <w:t>29</w:t>
            </w:r>
            <w:r w:rsidR="00BC14B6" w:rsidRPr="008A065A">
              <w:rPr>
                <w:rFonts w:ascii="Century Gothic" w:hAnsi="Century Gothic"/>
                <w:sz w:val="22"/>
                <w:szCs w:val="22"/>
              </w:rPr>
              <w:t>/0</w:t>
            </w:r>
            <w:r w:rsidR="00767373">
              <w:rPr>
                <w:rFonts w:ascii="Century Gothic" w:hAnsi="Century Gothic"/>
                <w:sz w:val="22"/>
                <w:szCs w:val="22"/>
              </w:rPr>
              <w:t>7</w:t>
            </w:r>
            <w:r w:rsidR="00BC14B6" w:rsidRPr="008A065A">
              <w:rPr>
                <w:rFonts w:ascii="Century Gothic" w:hAnsi="Century Gothic"/>
                <w:sz w:val="22"/>
                <w:szCs w:val="22"/>
              </w:rPr>
              <w:t>/2025</w:t>
            </w:r>
          </w:p>
        </w:tc>
      </w:tr>
      <w:tr w:rsidR="008A065A" w:rsidRPr="008A065A" w14:paraId="59C87357" w14:textId="77777777" w:rsidTr="00210131">
        <w:trPr>
          <w:trHeight w:val="454"/>
        </w:trPr>
        <w:tc>
          <w:tcPr>
            <w:tcW w:w="4537" w:type="dxa"/>
            <w:vAlign w:val="center"/>
          </w:tcPr>
          <w:p w14:paraId="45534948"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Tipo de abogado</w:t>
            </w:r>
          </w:p>
        </w:tc>
        <w:tc>
          <w:tcPr>
            <w:tcW w:w="5670" w:type="dxa"/>
          </w:tcPr>
          <w:p w14:paraId="272F39C8" w14:textId="77777777" w:rsidR="00BC14B6" w:rsidRPr="008A065A" w:rsidRDefault="00BC14B6" w:rsidP="00210131">
            <w:pPr>
              <w:jc w:val="both"/>
              <w:rPr>
                <w:rFonts w:ascii="Century Gothic" w:hAnsi="Century Gothic"/>
                <w:sz w:val="22"/>
                <w:szCs w:val="22"/>
              </w:rPr>
            </w:pPr>
            <w:r w:rsidRPr="008A065A">
              <w:rPr>
                <w:rFonts w:ascii="Century Gothic" w:hAnsi="Century Gothic"/>
                <w:sz w:val="22"/>
                <w:szCs w:val="22"/>
              </w:rPr>
              <w:t>EXTERNO</w:t>
            </w:r>
          </w:p>
        </w:tc>
      </w:tr>
      <w:tr w:rsidR="008A065A" w:rsidRPr="008A065A" w14:paraId="6B6FD289" w14:textId="77777777" w:rsidTr="00210131">
        <w:trPr>
          <w:trHeight w:val="454"/>
        </w:trPr>
        <w:tc>
          <w:tcPr>
            <w:tcW w:w="4537" w:type="dxa"/>
            <w:vAlign w:val="center"/>
          </w:tcPr>
          <w:p w14:paraId="79FDA798"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Aseguradora vinculada al proceso</w:t>
            </w:r>
          </w:p>
        </w:tc>
        <w:tc>
          <w:tcPr>
            <w:tcW w:w="5670" w:type="dxa"/>
          </w:tcPr>
          <w:p w14:paraId="13136E01" w14:textId="77777777" w:rsidR="00BC14B6" w:rsidRPr="008A065A" w:rsidRDefault="00BC14B6" w:rsidP="00210131">
            <w:pPr>
              <w:jc w:val="both"/>
              <w:rPr>
                <w:rFonts w:ascii="Century Gothic" w:hAnsi="Century Gothic"/>
                <w:sz w:val="22"/>
                <w:szCs w:val="22"/>
              </w:rPr>
            </w:pPr>
            <w:r w:rsidRPr="008A065A">
              <w:rPr>
                <w:rFonts w:ascii="Century Gothic" w:hAnsi="Century Gothic"/>
                <w:sz w:val="22"/>
                <w:szCs w:val="22"/>
              </w:rPr>
              <w:t>GENERALES</w:t>
            </w:r>
          </w:p>
        </w:tc>
      </w:tr>
      <w:tr w:rsidR="008A065A" w:rsidRPr="008A065A" w14:paraId="22B249D8" w14:textId="77777777" w:rsidTr="00210131">
        <w:trPr>
          <w:trHeight w:val="454"/>
        </w:trPr>
        <w:tc>
          <w:tcPr>
            <w:tcW w:w="4537" w:type="dxa"/>
            <w:vAlign w:val="center"/>
          </w:tcPr>
          <w:p w14:paraId="3BECB81F"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SGC</w:t>
            </w:r>
          </w:p>
        </w:tc>
        <w:tc>
          <w:tcPr>
            <w:tcW w:w="5670" w:type="dxa"/>
          </w:tcPr>
          <w:p w14:paraId="03605BE6" w14:textId="38190308" w:rsidR="00BC14B6" w:rsidRPr="008A065A" w:rsidRDefault="00767373" w:rsidP="00210131">
            <w:pPr>
              <w:jc w:val="both"/>
              <w:rPr>
                <w:rFonts w:ascii="Century Gothic" w:hAnsi="Century Gothic"/>
                <w:sz w:val="22"/>
                <w:szCs w:val="22"/>
              </w:rPr>
            </w:pPr>
            <w:r>
              <w:rPr>
                <w:rFonts w:ascii="Century Gothic" w:hAnsi="Century Gothic"/>
                <w:sz w:val="22"/>
                <w:szCs w:val="22"/>
              </w:rPr>
              <w:t>10672</w:t>
            </w:r>
          </w:p>
        </w:tc>
      </w:tr>
      <w:tr w:rsidR="008A065A" w:rsidRPr="008A065A" w14:paraId="2D7CB88B" w14:textId="77777777" w:rsidTr="00210131">
        <w:trPr>
          <w:trHeight w:val="454"/>
        </w:trPr>
        <w:tc>
          <w:tcPr>
            <w:tcW w:w="4537" w:type="dxa"/>
            <w:vAlign w:val="center"/>
          </w:tcPr>
          <w:p w14:paraId="2CC79B4B"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Despacho/Juzgado/ Tribunal</w:t>
            </w:r>
          </w:p>
        </w:tc>
        <w:tc>
          <w:tcPr>
            <w:tcW w:w="5670" w:type="dxa"/>
          </w:tcPr>
          <w:p w14:paraId="009D4C17" w14:textId="1DEEBCD6" w:rsidR="00BC14B6" w:rsidRPr="008A065A" w:rsidRDefault="00BC14B6" w:rsidP="00210131">
            <w:pPr>
              <w:jc w:val="both"/>
              <w:rPr>
                <w:rFonts w:ascii="Century Gothic" w:hAnsi="Century Gothic"/>
                <w:sz w:val="22"/>
                <w:szCs w:val="22"/>
              </w:rPr>
            </w:pPr>
            <w:r w:rsidRPr="008A065A">
              <w:rPr>
                <w:rFonts w:ascii="Century Gothic" w:hAnsi="Century Gothic"/>
                <w:sz w:val="22"/>
                <w:szCs w:val="22"/>
              </w:rPr>
              <w:t xml:space="preserve">JUZGADO </w:t>
            </w:r>
            <w:r w:rsidR="00767373">
              <w:rPr>
                <w:rFonts w:ascii="Century Gothic" w:hAnsi="Century Gothic"/>
                <w:sz w:val="22"/>
                <w:szCs w:val="22"/>
              </w:rPr>
              <w:t>CINCUENTA Y OCHO (58) CIVIL DEL CIRCUITO DE BOGOTÁ</w:t>
            </w:r>
          </w:p>
        </w:tc>
      </w:tr>
      <w:tr w:rsidR="008A065A" w:rsidRPr="008A065A" w14:paraId="585CCFC4" w14:textId="77777777" w:rsidTr="00210131">
        <w:trPr>
          <w:trHeight w:val="454"/>
        </w:trPr>
        <w:tc>
          <w:tcPr>
            <w:tcW w:w="4537" w:type="dxa"/>
            <w:vAlign w:val="center"/>
          </w:tcPr>
          <w:p w14:paraId="24C06A17"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 xml:space="preserve">Ciudad </w:t>
            </w:r>
          </w:p>
        </w:tc>
        <w:tc>
          <w:tcPr>
            <w:tcW w:w="5670" w:type="dxa"/>
          </w:tcPr>
          <w:p w14:paraId="04B2BF2D" w14:textId="095D2D43" w:rsidR="00BC14B6" w:rsidRPr="008A065A" w:rsidRDefault="00767373" w:rsidP="00210131">
            <w:pPr>
              <w:jc w:val="both"/>
              <w:rPr>
                <w:rFonts w:ascii="Century Gothic" w:hAnsi="Century Gothic"/>
                <w:sz w:val="22"/>
                <w:szCs w:val="22"/>
              </w:rPr>
            </w:pPr>
            <w:r>
              <w:rPr>
                <w:rFonts w:ascii="Century Gothic" w:hAnsi="Century Gothic"/>
                <w:sz w:val="22"/>
                <w:szCs w:val="22"/>
              </w:rPr>
              <w:t>BOGOTÁ</w:t>
            </w:r>
          </w:p>
        </w:tc>
      </w:tr>
      <w:tr w:rsidR="008A065A" w:rsidRPr="008A065A" w14:paraId="458D861F" w14:textId="77777777" w:rsidTr="00210131">
        <w:trPr>
          <w:trHeight w:val="454"/>
        </w:trPr>
        <w:tc>
          <w:tcPr>
            <w:tcW w:w="4537" w:type="dxa"/>
            <w:vAlign w:val="center"/>
          </w:tcPr>
          <w:p w14:paraId="7B9B6D0D"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Radicado completo 23 dígitos</w:t>
            </w:r>
          </w:p>
        </w:tc>
        <w:tc>
          <w:tcPr>
            <w:tcW w:w="5670" w:type="dxa"/>
          </w:tcPr>
          <w:p w14:paraId="14B381F6" w14:textId="2E004E7B" w:rsidR="00BC14B6" w:rsidRPr="00767373" w:rsidRDefault="00767373" w:rsidP="00767373">
            <w:pPr>
              <w:spacing w:line="360" w:lineRule="auto"/>
              <w:jc w:val="both"/>
              <w:rPr>
                <w:rFonts w:ascii="Arial" w:hAnsi="Arial" w:cs="Arial"/>
              </w:rPr>
            </w:pPr>
            <w:r w:rsidRPr="00767373">
              <w:rPr>
                <w:rFonts w:ascii="Century Gothic" w:hAnsi="Century Gothic"/>
                <w:sz w:val="22"/>
                <w:szCs w:val="22"/>
              </w:rPr>
              <w:t>11001310305820240018300</w:t>
            </w:r>
            <w:r w:rsidR="000E6CD3">
              <w:rPr>
                <w:rFonts w:ascii="Century Gothic" w:hAnsi="Century Gothic"/>
                <w:sz w:val="22"/>
                <w:szCs w:val="22"/>
              </w:rPr>
              <w:t>*</w:t>
            </w:r>
          </w:p>
        </w:tc>
      </w:tr>
      <w:tr w:rsidR="008A065A" w:rsidRPr="008A065A" w14:paraId="055EA285" w14:textId="77777777" w:rsidTr="00210131">
        <w:trPr>
          <w:trHeight w:val="454"/>
        </w:trPr>
        <w:tc>
          <w:tcPr>
            <w:tcW w:w="4537" w:type="dxa"/>
            <w:vAlign w:val="center"/>
          </w:tcPr>
          <w:p w14:paraId="615F1F3D" w14:textId="77777777" w:rsidR="00BC14B6" w:rsidRPr="00B942FE" w:rsidRDefault="00BC14B6" w:rsidP="00210131">
            <w:pPr>
              <w:rPr>
                <w:rFonts w:ascii="Century Gothic" w:hAnsi="Century Gothic"/>
                <w:sz w:val="22"/>
                <w:szCs w:val="22"/>
              </w:rPr>
            </w:pPr>
            <w:r w:rsidRPr="00B942FE">
              <w:rPr>
                <w:rFonts w:ascii="Century Gothic" w:hAnsi="Century Gothic"/>
                <w:sz w:val="22"/>
                <w:szCs w:val="22"/>
              </w:rPr>
              <w:t>Fecha de notificación</w:t>
            </w:r>
          </w:p>
        </w:tc>
        <w:tc>
          <w:tcPr>
            <w:tcW w:w="5670" w:type="dxa"/>
          </w:tcPr>
          <w:p w14:paraId="193E480C" w14:textId="7993CE07" w:rsidR="00BC14B6" w:rsidRPr="00B942FE" w:rsidRDefault="00983AA3" w:rsidP="00210131">
            <w:pPr>
              <w:jc w:val="both"/>
              <w:rPr>
                <w:rFonts w:ascii="Century Gothic" w:hAnsi="Century Gothic"/>
                <w:sz w:val="22"/>
                <w:szCs w:val="22"/>
              </w:rPr>
            </w:pPr>
            <w:r w:rsidRPr="00B942FE">
              <w:rPr>
                <w:rFonts w:ascii="Century Gothic" w:hAnsi="Century Gothic"/>
                <w:sz w:val="22"/>
                <w:szCs w:val="22"/>
              </w:rPr>
              <w:t>17</w:t>
            </w:r>
            <w:r w:rsidR="00BC14B6" w:rsidRPr="00B942FE">
              <w:rPr>
                <w:rFonts w:ascii="Century Gothic" w:hAnsi="Century Gothic"/>
                <w:sz w:val="22"/>
                <w:szCs w:val="22"/>
              </w:rPr>
              <w:t>/</w:t>
            </w:r>
            <w:r w:rsidR="008F007D" w:rsidRPr="00B942FE">
              <w:rPr>
                <w:rFonts w:ascii="Century Gothic" w:hAnsi="Century Gothic"/>
                <w:sz w:val="22"/>
                <w:szCs w:val="22"/>
              </w:rPr>
              <w:t>0</w:t>
            </w:r>
            <w:r w:rsidRPr="00B942FE">
              <w:rPr>
                <w:rFonts w:ascii="Century Gothic" w:hAnsi="Century Gothic"/>
                <w:sz w:val="22"/>
                <w:szCs w:val="22"/>
              </w:rPr>
              <w:t>6</w:t>
            </w:r>
            <w:r w:rsidR="00BC14B6" w:rsidRPr="00B942FE">
              <w:rPr>
                <w:rFonts w:ascii="Century Gothic" w:hAnsi="Century Gothic"/>
                <w:sz w:val="22"/>
                <w:szCs w:val="22"/>
              </w:rPr>
              <w:t>/202</w:t>
            </w:r>
            <w:r w:rsidR="008F007D" w:rsidRPr="00B942FE">
              <w:rPr>
                <w:rFonts w:ascii="Century Gothic" w:hAnsi="Century Gothic"/>
                <w:sz w:val="22"/>
                <w:szCs w:val="22"/>
              </w:rPr>
              <w:t>5</w:t>
            </w:r>
          </w:p>
        </w:tc>
      </w:tr>
      <w:tr w:rsidR="008A065A" w:rsidRPr="008A065A" w14:paraId="575D7462" w14:textId="77777777" w:rsidTr="00210131">
        <w:trPr>
          <w:trHeight w:val="454"/>
        </w:trPr>
        <w:tc>
          <w:tcPr>
            <w:tcW w:w="4537" w:type="dxa"/>
            <w:vAlign w:val="center"/>
          </w:tcPr>
          <w:p w14:paraId="1A8D7799"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Fecha vencimiento del término</w:t>
            </w:r>
          </w:p>
        </w:tc>
        <w:tc>
          <w:tcPr>
            <w:tcW w:w="5670" w:type="dxa"/>
          </w:tcPr>
          <w:p w14:paraId="4031F3A9" w14:textId="260C43B4" w:rsidR="00BC14B6" w:rsidRPr="008A065A" w:rsidRDefault="00DC4EA0" w:rsidP="00210131">
            <w:pPr>
              <w:jc w:val="both"/>
              <w:rPr>
                <w:rFonts w:ascii="Century Gothic" w:hAnsi="Century Gothic"/>
                <w:sz w:val="22"/>
                <w:szCs w:val="22"/>
              </w:rPr>
            </w:pPr>
            <w:r>
              <w:rPr>
                <w:rFonts w:ascii="Century Gothic" w:hAnsi="Century Gothic"/>
                <w:sz w:val="22"/>
                <w:szCs w:val="22"/>
              </w:rPr>
              <w:t>14</w:t>
            </w:r>
            <w:r w:rsidR="00BC14B6" w:rsidRPr="008A065A">
              <w:rPr>
                <w:rFonts w:ascii="Century Gothic" w:hAnsi="Century Gothic"/>
                <w:sz w:val="22"/>
                <w:szCs w:val="22"/>
              </w:rPr>
              <w:t>/</w:t>
            </w:r>
            <w:r>
              <w:rPr>
                <w:rFonts w:ascii="Century Gothic" w:hAnsi="Century Gothic"/>
                <w:sz w:val="22"/>
                <w:szCs w:val="22"/>
              </w:rPr>
              <w:t>07</w:t>
            </w:r>
            <w:r w:rsidR="00BC14B6" w:rsidRPr="008A065A">
              <w:rPr>
                <w:rFonts w:ascii="Century Gothic" w:hAnsi="Century Gothic"/>
                <w:sz w:val="22"/>
                <w:szCs w:val="22"/>
              </w:rPr>
              <w:t>/202</w:t>
            </w:r>
            <w:r w:rsidR="00A1502B" w:rsidRPr="008A065A">
              <w:rPr>
                <w:rFonts w:ascii="Century Gothic" w:hAnsi="Century Gothic"/>
                <w:sz w:val="22"/>
                <w:szCs w:val="22"/>
              </w:rPr>
              <w:t>5</w:t>
            </w:r>
          </w:p>
        </w:tc>
      </w:tr>
    </w:tbl>
    <w:p w14:paraId="3746B336" w14:textId="77777777" w:rsidR="00BC14B6" w:rsidRPr="008A065A" w:rsidRDefault="00BC14B6" w:rsidP="00BC14B6">
      <w:pPr>
        <w:rPr>
          <w:rFonts w:ascii="Century Gothic" w:hAnsi="Century Gothic"/>
          <w:sz w:val="22"/>
          <w:szCs w:val="22"/>
        </w:rPr>
      </w:pPr>
    </w:p>
    <w:p w14:paraId="2E55EFC4" w14:textId="77777777" w:rsidR="00BC14B6" w:rsidRPr="008A065A" w:rsidRDefault="00BC14B6" w:rsidP="00BC14B6">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A065A" w:rsidRPr="008A065A" w14:paraId="6026066B" w14:textId="77777777" w:rsidTr="00210131">
        <w:tc>
          <w:tcPr>
            <w:tcW w:w="10207" w:type="dxa"/>
            <w:shd w:val="clear" w:color="auto" w:fill="B3E5A1" w:themeFill="accent6" w:themeFillTint="66"/>
            <w:vAlign w:val="center"/>
          </w:tcPr>
          <w:p w14:paraId="31DC012E" w14:textId="77777777" w:rsidR="00BC14B6" w:rsidRPr="008A065A" w:rsidRDefault="00BC14B6" w:rsidP="00210131">
            <w:pPr>
              <w:jc w:val="center"/>
              <w:rPr>
                <w:rFonts w:ascii="Century Gothic" w:hAnsi="Century Gothic"/>
                <w:sz w:val="22"/>
                <w:szCs w:val="22"/>
              </w:rPr>
            </w:pPr>
            <w:r w:rsidRPr="008A065A">
              <w:rPr>
                <w:rFonts w:ascii="Century Gothic" w:hAnsi="Century Gothic"/>
                <w:sz w:val="22"/>
                <w:szCs w:val="22"/>
              </w:rPr>
              <w:t>Hechos (haga un relato conciso y preciso de las circunstancias que rodearon el siniestro, tales como fecha, lugar de los hechos, partes involucrados, póliza, lesiones y/o secuelas)</w:t>
            </w:r>
          </w:p>
        </w:tc>
      </w:tr>
      <w:tr w:rsidR="008A065A" w:rsidRPr="008A065A" w14:paraId="7EC54274" w14:textId="77777777" w:rsidTr="00210131">
        <w:tc>
          <w:tcPr>
            <w:tcW w:w="10207" w:type="dxa"/>
            <w:vAlign w:val="center"/>
          </w:tcPr>
          <w:p w14:paraId="2DD1265E" w14:textId="77777777" w:rsidR="00BC14B6" w:rsidRPr="008A065A" w:rsidRDefault="00BC14B6" w:rsidP="00210131">
            <w:pPr>
              <w:rPr>
                <w:rFonts w:ascii="Century Gothic" w:hAnsi="Century Gothic"/>
                <w:sz w:val="22"/>
                <w:szCs w:val="22"/>
              </w:rPr>
            </w:pPr>
          </w:p>
          <w:p w14:paraId="04E9A6D1" w14:textId="7F56AF38" w:rsidR="00767373" w:rsidRPr="00767373" w:rsidRDefault="00767373" w:rsidP="00767373">
            <w:pPr>
              <w:jc w:val="both"/>
              <w:rPr>
                <w:rFonts w:ascii="Century Gothic" w:hAnsi="Century Gothic"/>
                <w:sz w:val="22"/>
                <w:szCs w:val="22"/>
                <w:lang w:val="es-CO"/>
              </w:rPr>
            </w:pPr>
            <w:r w:rsidRPr="00767373">
              <w:rPr>
                <w:rFonts w:ascii="Century Gothic" w:hAnsi="Century Gothic"/>
                <w:sz w:val="22"/>
                <w:szCs w:val="22"/>
                <w:lang w:val="es-CO"/>
              </w:rPr>
              <w:t xml:space="preserve">Ramón Hernando Pineda Silva ingresó el 5 de julio de 2021 al servicio de urgencias de LOSCOBOS MEDICAL CENTER S.A.S., presentando una gastroenteritis bacteriana. En ese momento, </w:t>
            </w:r>
            <w:r w:rsidR="00961E5A">
              <w:rPr>
                <w:rFonts w:ascii="Century Gothic" w:hAnsi="Century Gothic"/>
                <w:sz w:val="22"/>
                <w:szCs w:val="22"/>
                <w:lang w:val="es-CO"/>
              </w:rPr>
              <w:t xml:space="preserve">afirma la demanda que </w:t>
            </w:r>
            <w:r w:rsidRPr="00767373">
              <w:rPr>
                <w:rFonts w:ascii="Century Gothic" w:hAnsi="Century Gothic"/>
                <w:sz w:val="22"/>
                <w:szCs w:val="22"/>
                <w:lang w:val="es-CO"/>
              </w:rPr>
              <w:t xml:space="preserve">no tenía síntomas </w:t>
            </w:r>
            <w:r w:rsidR="00850765" w:rsidRPr="00767373">
              <w:rPr>
                <w:rFonts w:ascii="Century Gothic" w:hAnsi="Century Gothic"/>
                <w:sz w:val="22"/>
                <w:szCs w:val="22"/>
                <w:lang w:val="es-CO"/>
              </w:rPr>
              <w:t>respiratorios,</w:t>
            </w:r>
            <w:r w:rsidRPr="00767373">
              <w:rPr>
                <w:rFonts w:ascii="Century Gothic" w:hAnsi="Century Gothic"/>
                <w:sz w:val="22"/>
                <w:szCs w:val="22"/>
                <w:lang w:val="es-CO"/>
              </w:rPr>
              <w:t xml:space="preserve"> </w:t>
            </w:r>
            <w:r w:rsidR="00961E5A">
              <w:rPr>
                <w:rFonts w:ascii="Century Gothic" w:hAnsi="Century Gothic"/>
                <w:sz w:val="22"/>
                <w:szCs w:val="22"/>
                <w:lang w:val="es-CO"/>
              </w:rPr>
              <w:t xml:space="preserve">así como que </w:t>
            </w:r>
            <w:r w:rsidRPr="00767373">
              <w:rPr>
                <w:rFonts w:ascii="Century Gothic" w:hAnsi="Century Gothic"/>
                <w:sz w:val="22"/>
                <w:szCs w:val="22"/>
                <w:lang w:val="es-CO"/>
              </w:rPr>
              <w:t>la prueba PCR para COVID-19 resultó negativa. Sin embargo, su condición se agravó rápidamente debido a una deshidratación severa y un fallo renal, motivo por el cual fue hospitalizado, requiriendo ingreso a la UCI y manejo especializado, además de analgésicos para el control del dolor. Tras una mejoría parcial, fue dado de alta.</w:t>
            </w:r>
          </w:p>
          <w:p w14:paraId="427B02A1" w14:textId="77777777" w:rsidR="00767373" w:rsidRPr="00767373" w:rsidRDefault="00767373" w:rsidP="00767373">
            <w:pPr>
              <w:jc w:val="both"/>
              <w:rPr>
                <w:rFonts w:ascii="Century Gothic" w:hAnsi="Century Gothic"/>
                <w:sz w:val="22"/>
                <w:szCs w:val="22"/>
                <w:lang w:val="es-CO"/>
              </w:rPr>
            </w:pPr>
          </w:p>
          <w:p w14:paraId="12B144A5" w14:textId="77777777" w:rsidR="00767373" w:rsidRPr="00767373" w:rsidRDefault="00767373" w:rsidP="00767373">
            <w:pPr>
              <w:jc w:val="both"/>
              <w:rPr>
                <w:rFonts w:ascii="Century Gothic" w:hAnsi="Century Gothic"/>
                <w:sz w:val="22"/>
                <w:szCs w:val="22"/>
                <w:lang w:val="es-CO"/>
              </w:rPr>
            </w:pPr>
            <w:r w:rsidRPr="00767373">
              <w:rPr>
                <w:rFonts w:ascii="Century Gothic" w:hAnsi="Century Gothic"/>
                <w:sz w:val="22"/>
                <w:szCs w:val="22"/>
                <w:lang w:val="es-CO"/>
              </w:rPr>
              <w:t>El 7 de julio de 2021, regresó a urgencias ya que el dolor abdominal se intensificó. El 13 de julio, los exámenes confirmaron una bacteria intestinal, iniciándose tratamiento antibiótico. La evolución clínica continuó siendo compleja, por lo que el 16 de julio fue trasladado nuevamente a la UCI.</w:t>
            </w:r>
          </w:p>
          <w:p w14:paraId="763FA5D9" w14:textId="77777777" w:rsidR="00767373" w:rsidRPr="00767373" w:rsidRDefault="00767373" w:rsidP="00767373">
            <w:pPr>
              <w:jc w:val="both"/>
              <w:rPr>
                <w:rFonts w:ascii="Century Gothic" w:hAnsi="Century Gothic"/>
                <w:sz w:val="22"/>
                <w:szCs w:val="22"/>
                <w:lang w:val="es-CO"/>
              </w:rPr>
            </w:pPr>
          </w:p>
          <w:p w14:paraId="35A32191" w14:textId="2F212458" w:rsidR="00767373" w:rsidRPr="00767373" w:rsidRDefault="00767373" w:rsidP="00767373">
            <w:pPr>
              <w:jc w:val="both"/>
              <w:rPr>
                <w:rFonts w:ascii="Century Gothic" w:hAnsi="Century Gothic"/>
                <w:sz w:val="22"/>
                <w:szCs w:val="22"/>
                <w:lang w:val="es-CO"/>
              </w:rPr>
            </w:pPr>
            <w:r w:rsidRPr="00767373">
              <w:rPr>
                <w:rFonts w:ascii="Century Gothic" w:hAnsi="Century Gothic"/>
                <w:sz w:val="22"/>
                <w:szCs w:val="22"/>
                <w:lang w:val="es-CO"/>
              </w:rPr>
              <w:t>A pesar de su delicado estado, el 19 de julio</w:t>
            </w:r>
            <w:r w:rsidR="00961E5A">
              <w:rPr>
                <w:rFonts w:ascii="Century Gothic" w:hAnsi="Century Gothic"/>
                <w:sz w:val="22"/>
                <w:szCs w:val="22"/>
                <w:lang w:val="es-CO"/>
              </w:rPr>
              <w:t xml:space="preserve"> de 2021</w:t>
            </w:r>
            <w:r w:rsidRPr="00767373">
              <w:rPr>
                <w:rFonts w:ascii="Century Gothic" w:hAnsi="Century Gothic"/>
                <w:sz w:val="22"/>
                <w:szCs w:val="22"/>
                <w:lang w:val="es-CO"/>
              </w:rPr>
              <w:t xml:space="preserve"> fue llevado a hospitalización general sin que se cumplieran los criterios necesarios de egreso de la UCI, medida que resultó ser prematura y desafortunada. El 21 de julio </w:t>
            </w:r>
            <w:r w:rsidR="00961E5A">
              <w:rPr>
                <w:rFonts w:ascii="Century Gothic" w:hAnsi="Century Gothic"/>
                <w:sz w:val="22"/>
                <w:szCs w:val="22"/>
                <w:lang w:val="es-CO"/>
              </w:rPr>
              <w:t xml:space="preserve">de 2021 </w:t>
            </w:r>
            <w:r w:rsidRPr="00767373">
              <w:rPr>
                <w:rFonts w:ascii="Century Gothic" w:hAnsi="Century Gothic"/>
                <w:sz w:val="22"/>
                <w:szCs w:val="22"/>
                <w:lang w:val="es-CO"/>
              </w:rPr>
              <w:t>presentó una hemorragia digestiva y debió ser reingresado a la UCI.</w:t>
            </w:r>
          </w:p>
          <w:p w14:paraId="2A89BB54" w14:textId="77777777" w:rsidR="00767373" w:rsidRPr="00767373" w:rsidRDefault="00767373" w:rsidP="00767373">
            <w:pPr>
              <w:jc w:val="both"/>
              <w:rPr>
                <w:rFonts w:ascii="Century Gothic" w:hAnsi="Century Gothic"/>
                <w:sz w:val="22"/>
                <w:szCs w:val="22"/>
                <w:lang w:val="es-CO"/>
              </w:rPr>
            </w:pPr>
          </w:p>
          <w:p w14:paraId="4E4B9749" w14:textId="3681BD86" w:rsidR="00767373" w:rsidRPr="00767373" w:rsidRDefault="00767373" w:rsidP="00767373">
            <w:pPr>
              <w:jc w:val="both"/>
              <w:rPr>
                <w:rFonts w:ascii="Century Gothic" w:hAnsi="Century Gothic"/>
                <w:sz w:val="22"/>
                <w:szCs w:val="22"/>
                <w:lang w:val="es-CO"/>
              </w:rPr>
            </w:pPr>
            <w:r w:rsidRPr="00767373">
              <w:rPr>
                <w:rFonts w:ascii="Century Gothic" w:hAnsi="Century Gothic"/>
                <w:sz w:val="22"/>
                <w:szCs w:val="22"/>
                <w:lang w:val="es-CO"/>
              </w:rPr>
              <w:t>El 22 de julio </w:t>
            </w:r>
            <w:r w:rsidR="00961E5A">
              <w:rPr>
                <w:rFonts w:ascii="Century Gothic" w:hAnsi="Century Gothic"/>
                <w:sz w:val="22"/>
                <w:szCs w:val="22"/>
                <w:lang w:val="es-CO"/>
              </w:rPr>
              <w:t xml:space="preserve">de 2021 </w:t>
            </w:r>
            <w:r w:rsidRPr="00767373">
              <w:rPr>
                <w:rFonts w:ascii="Century Gothic" w:hAnsi="Century Gothic"/>
                <w:sz w:val="22"/>
                <w:szCs w:val="22"/>
                <w:lang w:val="es-CO"/>
              </w:rPr>
              <w:t>desarrolló síntomas respiratorios y, mediante una prueba rápida de antígeno, se confirmó que había adquirido COVID-19. Esta infección</w:t>
            </w:r>
            <w:r w:rsidR="00961E5A">
              <w:rPr>
                <w:rFonts w:ascii="Century Gothic" w:hAnsi="Century Gothic"/>
                <w:sz w:val="22"/>
                <w:szCs w:val="22"/>
                <w:lang w:val="es-CO"/>
              </w:rPr>
              <w:t>, según relata la demanda,</w:t>
            </w:r>
            <w:r w:rsidRPr="00767373">
              <w:rPr>
                <w:rFonts w:ascii="Century Gothic" w:hAnsi="Century Gothic"/>
                <w:sz w:val="22"/>
                <w:szCs w:val="22"/>
                <w:lang w:val="es-CO"/>
              </w:rPr>
              <w:t xml:space="preserve"> derivó en una neumonía viral severa, síndrome de dificultad respiratoria aguda (SDRA), fallo multiorgánico y, finalmente, su lamentable fallecimiento el 12 de agosto de 2021.</w:t>
            </w:r>
          </w:p>
          <w:p w14:paraId="1D865D99" w14:textId="77777777" w:rsidR="001D05EB" w:rsidRDefault="001D05EB" w:rsidP="00767373">
            <w:pPr>
              <w:jc w:val="both"/>
              <w:rPr>
                <w:rFonts w:ascii="Century Gothic" w:hAnsi="Century Gothic"/>
                <w:b/>
                <w:bCs/>
                <w:sz w:val="22"/>
                <w:szCs w:val="22"/>
                <w:lang w:val="es-CO"/>
              </w:rPr>
            </w:pPr>
          </w:p>
          <w:p w14:paraId="6A421B18" w14:textId="5AA24BDC" w:rsidR="00767373" w:rsidRPr="00767373" w:rsidRDefault="00961E5A" w:rsidP="00767373">
            <w:pPr>
              <w:jc w:val="both"/>
              <w:rPr>
                <w:rFonts w:ascii="Century Gothic" w:hAnsi="Century Gothic"/>
                <w:sz w:val="22"/>
                <w:szCs w:val="22"/>
                <w:lang w:val="es-CO"/>
              </w:rPr>
            </w:pPr>
            <w:r>
              <w:rPr>
                <w:rFonts w:ascii="Century Gothic" w:hAnsi="Century Gothic"/>
                <w:sz w:val="22"/>
                <w:szCs w:val="22"/>
                <w:lang w:val="es-CO"/>
              </w:rPr>
              <w:t>Por otro lado, aportan</w:t>
            </w:r>
            <w:r w:rsidR="00767373" w:rsidRPr="00767373">
              <w:rPr>
                <w:rFonts w:ascii="Century Gothic" w:hAnsi="Century Gothic"/>
                <w:sz w:val="22"/>
                <w:szCs w:val="22"/>
                <w:lang w:val="es-CO"/>
              </w:rPr>
              <w:t xml:space="preserve"> la Resolución No. 3287 de 2023</w:t>
            </w:r>
            <w:r>
              <w:rPr>
                <w:rFonts w:ascii="Century Gothic" w:hAnsi="Century Gothic"/>
                <w:sz w:val="22"/>
                <w:szCs w:val="22"/>
                <w:lang w:val="es-CO"/>
              </w:rPr>
              <w:t xml:space="preserve"> emitida </w:t>
            </w:r>
            <w:r w:rsidR="000E6CD3">
              <w:rPr>
                <w:rFonts w:ascii="Century Gothic" w:hAnsi="Century Gothic"/>
                <w:sz w:val="22"/>
                <w:szCs w:val="22"/>
                <w:lang w:val="es-CO"/>
              </w:rPr>
              <w:t xml:space="preserve">por </w:t>
            </w:r>
            <w:r w:rsidR="000E6CD3" w:rsidRPr="00767373">
              <w:rPr>
                <w:rFonts w:ascii="Century Gothic" w:hAnsi="Century Gothic"/>
                <w:sz w:val="22"/>
                <w:szCs w:val="22"/>
                <w:lang w:val="es-CO"/>
              </w:rPr>
              <w:t>la</w:t>
            </w:r>
            <w:r>
              <w:rPr>
                <w:rFonts w:ascii="Century Gothic" w:hAnsi="Century Gothic"/>
                <w:sz w:val="22"/>
                <w:szCs w:val="22"/>
                <w:lang w:val="es-CO"/>
              </w:rPr>
              <w:t xml:space="preserve"> </w:t>
            </w:r>
            <w:r w:rsidRPr="00767373">
              <w:rPr>
                <w:rFonts w:ascii="Century Gothic" w:hAnsi="Century Gothic"/>
                <w:sz w:val="22"/>
                <w:szCs w:val="22"/>
                <w:lang w:val="es-CO"/>
              </w:rPr>
              <w:t>Secretaría Distrital de Salud de Bogotá</w:t>
            </w:r>
            <w:r w:rsidR="00767373" w:rsidRPr="00767373">
              <w:rPr>
                <w:rFonts w:ascii="Century Gothic" w:hAnsi="Century Gothic"/>
                <w:sz w:val="22"/>
                <w:szCs w:val="22"/>
                <w:lang w:val="es-CO"/>
              </w:rPr>
              <w:t xml:space="preserve">, </w:t>
            </w:r>
            <w:r>
              <w:rPr>
                <w:rFonts w:ascii="Century Gothic" w:hAnsi="Century Gothic"/>
                <w:sz w:val="22"/>
                <w:szCs w:val="22"/>
                <w:lang w:val="es-CO"/>
              </w:rPr>
              <w:t xml:space="preserve">donde se </w:t>
            </w:r>
            <w:r w:rsidR="00767373" w:rsidRPr="00767373">
              <w:rPr>
                <w:rFonts w:ascii="Century Gothic" w:hAnsi="Century Gothic"/>
                <w:sz w:val="22"/>
                <w:szCs w:val="22"/>
                <w:lang w:val="es-CO"/>
              </w:rPr>
              <w:t>determinó que:</w:t>
            </w:r>
          </w:p>
          <w:p w14:paraId="051652CC" w14:textId="77777777" w:rsidR="00767373" w:rsidRPr="00767373" w:rsidRDefault="00767373" w:rsidP="00767373">
            <w:pPr>
              <w:numPr>
                <w:ilvl w:val="0"/>
                <w:numId w:val="5"/>
              </w:numPr>
              <w:jc w:val="both"/>
              <w:rPr>
                <w:rFonts w:ascii="Century Gothic" w:hAnsi="Century Gothic"/>
                <w:sz w:val="22"/>
                <w:szCs w:val="22"/>
                <w:lang w:val="es-CO"/>
              </w:rPr>
            </w:pPr>
            <w:r w:rsidRPr="00767373">
              <w:rPr>
                <w:rFonts w:ascii="Century Gothic" w:hAnsi="Century Gothic"/>
                <w:sz w:val="22"/>
                <w:szCs w:val="22"/>
                <w:lang w:val="es-CO"/>
              </w:rPr>
              <w:lastRenderedPageBreak/>
              <w:t>El paciente adquirió la infección por COVID-19 dentro de la institución hospitalaria.</w:t>
            </w:r>
          </w:p>
          <w:p w14:paraId="4472FEE0" w14:textId="77777777" w:rsidR="00767373" w:rsidRPr="00767373" w:rsidRDefault="00767373" w:rsidP="00767373">
            <w:pPr>
              <w:numPr>
                <w:ilvl w:val="0"/>
                <w:numId w:val="5"/>
              </w:numPr>
              <w:jc w:val="both"/>
              <w:rPr>
                <w:rFonts w:ascii="Century Gothic" w:hAnsi="Century Gothic"/>
                <w:sz w:val="22"/>
                <w:szCs w:val="22"/>
                <w:lang w:val="es-CO"/>
              </w:rPr>
            </w:pPr>
            <w:r w:rsidRPr="00767373">
              <w:rPr>
                <w:rFonts w:ascii="Century Gothic" w:hAnsi="Century Gothic"/>
                <w:sz w:val="22"/>
                <w:szCs w:val="22"/>
                <w:lang w:val="es-CO"/>
              </w:rPr>
              <w:t>Existieron fallas institucionales en la oportunidad y la seguridad de la atención.</w:t>
            </w:r>
          </w:p>
          <w:p w14:paraId="0AA8BC02" w14:textId="77777777" w:rsidR="00767373" w:rsidRDefault="00767373" w:rsidP="00767373">
            <w:pPr>
              <w:numPr>
                <w:ilvl w:val="0"/>
                <w:numId w:val="5"/>
              </w:numPr>
              <w:jc w:val="both"/>
              <w:rPr>
                <w:rFonts w:ascii="Century Gothic" w:hAnsi="Century Gothic"/>
                <w:sz w:val="22"/>
                <w:szCs w:val="22"/>
                <w:lang w:val="es-CO"/>
              </w:rPr>
            </w:pPr>
            <w:r w:rsidRPr="00767373">
              <w:rPr>
                <w:rFonts w:ascii="Century Gothic" w:hAnsi="Century Gothic"/>
                <w:sz w:val="22"/>
                <w:szCs w:val="22"/>
                <w:lang w:val="es-CO"/>
              </w:rPr>
              <w:t>Se identificaron demoras injustificadas en la atención inicial, decisiones médicas inadecuadas (como el egreso anticipado de UCI) y ausencia de medidas eficaces para prevenir los contagios intrahospitalarios.</w:t>
            </w:r>
          </w:p>
          <w:p w14:paraId="0EF70F79" w14:textId="77777777" w:rsidR="00571AA2" w:rsidRPr="00767373" w:rsidRDefault="00571AA2" w:rsidP="00961E5A">
            <w:pPr>
              <w:ind w:left="720"/>
              <w:jc w:val="both"/>
              <w:rPr>
                <w:rFonts w:ascii="Century Gothic" w:hAnsi="Century Gothic"/>
                <w:sz w:val="22"/>
                <w:szCs w:val="22"/>
                <w:lang w:val="es-CO"/>
              </w:rPr>
            </w:pPr>
          </w:p>
          <w:p w14:paraId="749D5684" w14:textId="530CEB1B" w:rsidR="00BC14B6" w:rsidRDefault="00767373" w:rsidP="00210131">
            <w:pPr>
              <w:jc w:val="both"/>
              <w:rPr>
                <w:rFonts w:ascii="Century Gothic" w:hAnsi="Century Gothic"/>
                <w:sz w:val="22"/>
                <w:szCs w:val="22"/>
                <w:lang w:val="es-CO"/>
              </w:rPr>
            </w:pPr>
            <w:r w:rsidRPr="00767373">
              <w:rPr>
                <w:rFonts w:ascii="Century Gothic" w:hAnsi="Century Gothic"/>
                <w:sz w:val="22"/>
                <w:szCs w:val="22"/>
                <w:lang w:val="es-CO"/>
              </w:rPr>
              <w:t>Como consecuencia de estos hallazgos, se impuso una sanción al centro médico</w:t>
            </w:r>
            <w:r w:rsidR="00961E5A">
              <w:rPr>
                <w:rFonts w:ascii="Century Gothic" w:hAnsi="Century Gothic"/>
                <w:sz w:val="22"/>
                <w:szCs w:val="22"/>
                <w:lang w:val="es-CO"/>
              </w:rPr>
              <w:t>.</w:t>
            </w:r>
          </w:p>
          <w:p w14:paraId="5DF0ED1C" w14:textId="2B6D1ADE" w:rsidR="00961E5A" w:rsidRPr="00961E5A" w:rsidRDefault="00961E5A" w:rsidP="00210131">
            <w:pPr>
              <w:jc w:val="both"/>
              <w:rPr>
                <w:rFonts w:ascii="Century Gothic" w:hAnsi="Century Gothic"/>
                <w:sz w:val="22"/>
                <w:szCs w:val="22"/>
                <w:lang w:val="es-CO"/>
              </w:rPr>
            </w:pPr>
          </w:p>
        </w:tc>
      </w:tr>
    </w:tbl>
    <w:p w14:paraId="709362EF" w14:textId="77777777" w:rsidR="00BC14B6" w:rsidRPr="008A065A" w:rsidRDefault="00BC14B6" w:rsidP="00BC14B6">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A065A" w:rsidRPr="008A065A" w14:paraId="0A944C4C" w14:textId="77777777" w:rsidTr="00210131">
        <w:tc>
          <w:tcPr>
            <w:tcW w:w="10207" w:type="dxa"/>
            <w:gridSpan w:val="2"/>
            <w:shd w:val="clear" w:color="auto" w:fill="B3E5A1" w:themeFill="accent6" w:themeFillTint="66"/>
            <w:vAlign w:val="center"/>
          </w:tcPr>
          <w:p w14:paraId="61476255" w14:textId="77777777" w:rsidR="00BC14B6" w:rsidRPr="008A065A" w:rsidRDefault="00BC14B6" w:rsidP="00210131">
            <w:pPr>
              <w:jc w:val="center"/>
              <w:rPr>
                <w:rFonts w:ascii="Century Gothic" w:hAnsi="Century Gothic"/>
                <w:sz w:val="22"/>
                <w:szCs w:val="22"/>
              </w:rPr>
            </w:pPr>
            <w:r w:rsidRPr="008A065A">
              <w:rPr>
                <w:rFonts w:ascii="Century Gothic" w:hAnsi="Century Gothic"/>
                <w:sz w:val="22"/>
                <w:szCs w:val="22"/>
              </w:rPr>
              <w:t>Pretensiones (haga un relato o enliste las pretensiones de la demanda/llamamiento en garantía)</w:t>
            </w:r>
          </w:p>
        </w:tc>
      </w:tr>
      <w:tr w:rsidR="008A065A" w:rsidRPr="008A065A" w14:paraId="787DF1E7" w14:textId="77777777" w:rsidTr="00210131">
        <w:tc>
          <w:tcPr>
            <w:tcW w:w="10207" w:type="dxa"/>
            <w:gridSpan w:val="2"/>
            <w:vAlign w:val="center"/>
          </w:tcPr>
          <w:p w14:paraId="763FA4EC" w14:textId="77777777" w:rsidR="00BC14B6" w:rsidRPr="008A065A" w:rsidRDefault="00BC14B6" w:rsidP="00210131">
            <w:pPr>
              <w:jc w:val="both"/>
              <w:rPr>
                <w:rFonts w:ascii="Century Gothic" w:hAnsi="Century Gothic"/>
                <w:sz w:val="22"/>
                <w:szCs w:val="22"/>
              </w:rPr>
            </w:pPr>
            <w:r w:rsidRPr="008A065A">
              <w:rPr>
                <w:rFonts w:ascii="Century Gothic" w:hAnsi="Century Gothic"/>
                <w:sz w:val="22"/>
                <w:szCs w:val="22"/>
              </w:rPr>
              <w:t xml:space="preserve">De la demanda: </w:t>
            </w:r>
          </w:p>
          <w:p w14:paraId="02A6DD1C" w14:textId="77777777" w:rsidR="00BC14B6" w:rsidRPr="008A065A" w:rsidRDefault="00BC14B6" w:rsidP="00210131">
            <w:pPr>
              <w:jc w:val="both"/>
              <w:rPr>
                <w:rFonts w:ascii="Century Gothic" w:hAnsi="Century Gothic"/>
                <w:sz w:val="22"/>
                <w:szCs w:val="22"/>
              </w:rPr>
            </w:pPr>
          </w:p>
          <w:p w14:paraId="567D39E3" w14:textId="77777777" w:rsidR="00BC14B6" w:rsidRPr="008A065A" w:rsidRDefault="00BC14B6" w:rsidP="00210131">
            <w:pPr>
              <w:jc w:val="both"/>
              <w:rPr>
                <w:rFonts w:ascii="Century Gothic" w:hAnsi="Century Gothic"/>
                <w:sz w:val="22"/>
                <w:szCs w:val="22"/>
              </w:rPr>
            </w:pPr>
          </w:p>
          <w:p w14:paraId="014C801F" w14:textId="313ECFB6" w:rsidR="00571AA2" w:rsidRDefault="00571AA2" w:rsidP="00571AA2">
            <w:pPr>
              <w:rPr>
                <w:rFonts w:ascii="Century Gothic" w:hAnsi="Century Gothic"/>
                <w:sz w:val="22"/>
                <w:szCs w:val="22"/>
                <w:lang w:val="es-CO"/>
              </w:rPr>
            </w:pPr>
            <w:r w:rsidRPr="00571AA2">
              <w:rPr>
                <w:rFonts w:ascii="Century Gothic" w:hAnsi="Century Gothic"/>
                <w:sz w:val="22"/>
                <w:szCs w:val="22"/>
                <w:lang w:val="es-CO"/>
              </w:rPr>
              <w:t>Se solicita que se declare responsable civilmente a LOSCOBOS MEDICAL CENTER S.A.S- LOSCOBOS y a Compensar </w:t>
            </w:r>
            <w:r w:rsidR="00961E5A">
              <w:rPr>
                <w:rFonts w:ascii="Century Gothic" w:hAnsi="Century Gothic"/>
                <w:sz w:val="22"/>
                <w:szCs w:val="22"/>
                <w:lang w:val="es-CO"/>
              </w:rPr>
              <w:t xml:space="preserve">con ocasión a </w:t>
            </w:r>
            <w:r w:rsidRPr="00571AA2">
              <w:rPr>
                <w:rFonts w:ascii="Century Gothic" w:hAnsi="Century Gothic"/>
                <w:sz w:val="22"/>
                <w:szCs w:val="22"/>
                <w:lang w:val="es-CO"/>
              </w:rPr>
              <w:t xml:space="preserve">la </w:t>
            </w:r>
            <w:r w:rsidR="00961E5A">
              <w:rPr>
                <w:rFonts w:ascii="Century Gothic" w:hAnsi="Century Gothic"/>
                <w:sz w:val="22"/>
                <w:szCs w:val="22"/>
                <w:lang w:val="es-CO"/>
              </w:rPr>
              <w:t xml:space="preserve">presunta </w:t>
            </w:r>
            <w:r w:rsidRPr="00571AA2">
              <w:rPr>
                <w:rFonts w:ascii="Century Gothic" w:hAnsi="Century Gothic"/>
                <w:sz w:val="22"/>
                <w:szCs w:val="22"/>
                <w:lang w:val="es-CO"/>
              </w:rPr>
              <w:t>negligencia médica que causó la</w:t>
            </w:r>
            <w:r w:rsidR="00C85698">
              <w:rPr>
                <w:rFonts w:ascii="Century Gothic" w:hAnsi="Century Gothic"/>
                <w:sz w:val="22"/>
                <w:szCs w:val="22"/>
                <w:lang w:val="es-CO"/>
              </w:rPr>
              <w:t xml:space="preserve"> </w:t>
            </w:r>
            <w:r w:rsidRPr="00571AA2">
              <w:rPr>
                <w:rFonts w:ascii="Century Gothic" w:hAnsi="Century Gothic"/>
                <w:sz w:val="22"/>
                <w:szCs w:val="22"/>
                <w:lang w:val="es-CO"/>
              </w:rPr>
              <w:t xml:space="preserve">muerte por COVID-19 del señor Ramón Hernando Pineda Silva. </w:t>
            </w:r>
          </w:p>
          <w:p w14:paraId="03A09621" w14:textId="77777777" w:rsidR="00571AA2" w:rsidRDefault="00571AA2" w:rsidP="00571AA2">
            <w:pPr>
              <w:rPr>
                <w:rFonts w:ascii="Century Gothic" w:hAnsi="Century Gothic"/>
                <w:sz w:val="22"/>
                <w:szCs w:val="22"/>
                <w:lang w:val="es-CO"/>
              </w:rPr>
            </w:pPr>
          </w:p>
          <w:p w14:paraId="603F6D75" w14:textId="5F81B1A7" w:rsidR="00571AA2" w:rsidRDefault="00571AA2" w:rsidP="00571AA2">
            <w:pPr>
              <w:rPr>
                <w:rFonts w:ascii="Century Gothic" w:hAnsi="Century Gothic"/>
                <w:sz w:val="22"/>
                <w:szCs w:val="22"/>
                <w:lang w:val="es-CO"/>
              </w:rPr>
            </w:pPr>
            <w:r w:rsidRPr="00571AA2">
              <w:rPr>
                <w:rFonts w:ascii="Century Gothic" w:hAnsi="Century Gothic"/>
                <w:sz w:val="22"/>
                <w:szCs w:val="22"/>
                <w:lang w:val="es-CO"/>
              </w:rPr>
              <w:t xml:space="preserve">Se </w:t>
            </w:r>
            <w:r>
              <w:rPr>
                <w:rFonts w:ascii="Century Gothic" w:hAnsi="Century Gothic"/>
                <w:sz w:val="22"/>
                <w:szCs w:val="22"/>
                <w:lang w:val="es-CO"/>
              </w:rPr>
              <w:t>solicita se conde al pago de los siguientes perjuicios:</w:t>
            </w:r>
          </w:p>
          <w:p w14:paraId="5D2C4D0F" w14:textId="77777777" w:rsidR="00571AA2" w:rsidRPr="00571AA2" w:rsidRDefault="00571AA2" w:rsidP="00571AA2">
            <w:pPr>
              <w:rPr>
                <w:rFonts w:ascii="Century Gothic" w:hAnsi="Century Gothic"/>
                <w:sz w:val="22"/>
                <w:szCs w:val="22"/>
                <w:lang w:val="es-CO"/>
              </w:rPr>
            </w:pPr>
          </w:p>
          <w:p w14:paraId="659A83C1" w14:textId="77777777" w:rsidR="00571AA2" w:rsidRDefault="00571AA2" w:rsidP="00571AA2">
            <w:pPr>
              <w:numPr>
                <w:ilvl w:val="0"/>
                <w:numId w:val="6"/>
              </w:numPr>
              <w:rPr>
                <w:rFonts w:ascii="Century Gothic" w:hAnsi="Century Gothic"/>
                <w:sz w:val="22"/>
                <w:szCs w:val="22"/>
                <w:lang w:val="es-CO"/>
              </w:rPr>
            </w:pPr>
            <w:r w:rsidRPr="00571AA2">
              <w:rPr>
                <w:rFonts w:ascii="Century Gothic" w:hAnsi="Century Gothic"/>
                <w:sz w:val="22"/>
                <w:szCs w:val="22"/>
                <w:lang w:val="es-CO"/>
              </w:rPr>
              <w:t>Daños patrimoniales </w:t>
            </w:r>
          </w:p>
          <w:p w14:paraId="5FB50DCF" w14:textId="67BDFB19" w:rsidR="00571AA2" w:rsidRDefault="00571AA2" w:rsidP="00571AA2">
            <w:pPr>
              <w:ind w:left="720"/>
              <w:rPr>
                <w:rFonts w:ascii="Century Gothic" w:hAnsi="Century Gothic"/>
                <w:sz w:val="22"/>
                <w:szCs w:val="22"/>
                <w:lang w:val="es-CO"/>
              </w:rPr>
            </w:pPr>
            <w:r w:rsidRPr="00571AA2">
              <w:rPr>
                <w:rFonts w:ascii="Century Gothic" w:hAnsi="Century Gothic"/>
                <w:sz w:val="22"/>
                <w:szCs w:val="22"/>
                <w:lang w:val="es-CO"/>
              </w:rPr>
              <w:t>lucro cesante futuro</w:t>
            </w:r>
            <w:r>
              <w:rPr>
                <w:rFonts w:ascii="Century Gothic" w:hAnsi="Century Gothic"/>
                <w:sz w:val="22"/>
                <w:szCs w:val="22"/>
                <w:lang w:val="es-CO"/>
              </w:rPr>
              <w:t>: $ 185.157.760</w:t>
            </w:r>
          </w:p>
          <w:p w14:paraId="129756D5" w14:textId="03964E1C" w:rsidR="00571AA2" w:rsidRDefault="00571AA2" w:rsidP="00571AA2">
            <w:pPr>
              <w:ind w:left="720"/>
              <w:rPr>
                <w:rFonts w:ascii="Century Gothic" w:hAnsi="Century Gothic"/>
                <w:sz w:val="22"/>
                <w:szCs w:val="22"/>
                <w:lang w:val="es-CO"/>
              </w:rPr>
            </w:pPr>
            <w:r>
              <w:rPr>
                <w:rFonts w:ascii="Century Gothic" w:hAnsi="Century Gothic"/>
                <w:sz w:val="22"/>
                <w:szCs w:val="22"/>
                <w:lang w:val="es-CO"/>
              </w:rPr>
              <w:t>lucro cesante</w:t>
            </w:r>
            <w:r w:rsidRPr="00571AA2">
              <w:rPr>
                <w:rFonts w:ascii="Century Gothic" w:hAnsi="Century Gothic"/>
                <w:sz w:val="22"/>
                <w:szCs w:val="22"/>
                <w:lang w:val="es-CO"/>
              </w:rPr>
              <w:t xml:space="preserve"> consolidado</w:t>
            </w:r>
            <w:r>
              <w:rPr>
                <w:rFonts w:ascii="Century Gothic" w:hAnsi="Century Gothic"/>
                <w:sz w:val="22"/>
                <w:szCs w:val="22"/>
                <w:lang w:val="es-CO"/>
              </w:rPr>
              <w:t>:</w:t>
            </w:r>
            <w:r w:rsidRPr="00571AA2">
              <w:rPr>
                <w:rFonts w:ascii="Century Gothic" w:hAnsi="Century Gothic"/>
                <w:sz w:val="22"/>
                <w:szCs w:val="22"/>
                <w:lang w:val="es-CO"/>
              </w:rPr>
              <w:t xml:space="preserve"> </w:t>
            </w:r>
            <w:r>
              <w:rPr>
                <w:rFonts w:ascii="Century Gothic" w:hAnsi="Century Gothic"/>
                <w:sz w:val="22"/>
                <w:szCs w:val="22"/>
                <w:lang w:val="es-CO"/>
              </w:rPr>
              <w:t>$ 557.801.797</w:t>
            </w:r>
          </w:p>
          <w:p w14:paraId="481E21C7" w14:textId="0F13ED23" w:rsidR="003F1285" w:rsidRDefault="003F1285" w:rsidP="00571AA2">
            <w:pPr>
              <w:ind w:left="720"/>
              <w:rPr>
                <w:rFonts w:ascii="Century Gothic" w:hAnsi="Century Gothic"/>
                <w:sz w:val="22"/>
                <w:szCs w:val="22"/>
                <w:lang w:val="es-CO"/>
              </w:rPr>
            </w:pPr>
            <w:r>
              <w:rPr>
                <w:rFonts w:ascii="Century Gothic" w:hAnsi="Century Gothic"/>
                <w:sz w:val="22"/>
                <w:szCs w:val="22"/>
                <w:lang w:val="es-CO"/>
              </w:rPr>
              <w:t>Total: 742.959.557</w:t>
            </w:r>
          </w:p>
          <w:p w14:paraId="2B91EC80" w14:textId="57E803D3" w:rsidR="00571AA2" w:rsidRDefault="00571AA2" w:rsidP="00571AA2">
            <w:pPr>
              <w:pStyle w:val="Prrafodelista"/>
              <w:numPr>
                <w:ilvl w:val="0"/>
                <w:numId w:val="9"/>
              </w:numPr>
              <w:rPr>
                <w:rFonts w:ascii="Century Gothic" w:hAnsi="Century Gothic"/>
                <w:sz w:val="22"/>
                <w:szCs w:val="22"/>
                <w:lang w:val="es-CO"/>
              </w:rPr>
            </w:pPr>
            <w:r w:rsidRPr="00571AA2">
              <w:rPr>
                <w:rFonts w:ascii="Century Gothic" w:hAnsi="Century Gothic"/>
                <w:sz w:val="22"/>
                <w:szCs w:val="22"/>
                <w:lang w:val="es-CO"/>
              </w:rPr>
              <w:t>Daños extrapatrimoniales:</w:t>
            </w:r>
          </w:p>
          <w:p w14:paraId="075B4D3B" w14:textId="22D82137" w:rsidR="00571AA2" w:rsidRDefault="00571AA2" w:rsidP="00571AA2">
            <w:pPr>
              <w:pStyle w:val="Prrafodelista"/>
              <w:rPr>
                <w:rFonts w:ascii="Century Gothic" w:hAnsi="Century Gothic"/>
                <w:sz w:val="22"/>
                <w:szCs w:val="22"/>
                <w:lang w:val="es-CO"/>
              </w:rPr>
            </w:pPr>
            <w:r>
              <w:rPr>
                <w:rFonts w:ascii="Century Gothic" w:hAnsi="Century Gothic"/>
                <w:sz w:val="22"/>
                <w:szCs w:val="22"/>
                <w:lang w:val="es-CO"/>
              </w:rPr>
              <w:t>Daño a la salud: 50 SMMLV</w:t>
            </w:r>
          </w:p>
          <w:p w14:paraId="02B18688" w14:textId="16C2D50D" w:rsidR="00571AA2" w:rsidRDefault="00571AA2" w:rsidP="00571AA2">
            <w:pPr>
              <w:pStyle w:val="Prrafodelista"/>
              <w:rPr>
                <w:rFonts w:ascii="Century Gothic" w:hAnsi="Century Gothic"/>
                <w:sz w:val="22"/>
                <w:szCs w:val="22"/>
                <w:lang w:val="es-CO"/>
              </w:rPr>
            </w:pPr>
            <w:r>
              <w:rPr>
                <w:rFonts w:ascii="Century Gothic" w:hAnsi="Century Gothic"/>
                <w:sz w:val="22"/>
                <w:szCs w:val="22"/>
                <w:lang w:val="es-CO"/>
              </w:rPr>
              <w:t xml:space="preserve">Daño a la vida en relación: </w:t>
            </w:r>
            <w:r w:rsidR="000700F4">
              <w:rPr>
                <w:rFonts w:ascii="Century Gothic" w:hAnsi="Century Gothic"/>
                <w:sz w:val="22"/>
                <w:szCs w:val="22"/>
                <w:lang w:val="es-CO"/>
              </w:rPr>
              <w:t>3</w:t>
            </w:r>
            <w:r>
              <w:rPr>
                <w:rFonts w:ascii="Century Gothic" w:hAnsi="Century Gothic"/>
                <w:sz w:val="22"/>
                <w:szCs w:val="22"/>
                <w:lang w:val="es-CO"/>
              </w:rPr>
              <w:t>00 SMMLV</w:t>
            </w:r>
            <w:r w:rsidR="000700F4">
              <w:rPr>
                <w:rFonts w:ascii="Century Gothic" w:hAnsi="Century Gothic"/>
                <w:sz w:val="22"/>
                <w:szCs w:val="22"/>
                <w:lang w:val="es-CO"/>
              </w:rPr>
              <w:t xml:space="preserve"> (100</w:t>
            </w:r>
            <w:r>
              <w:rPr>
                <w:rFonts w:ascii="Century Gothic" w:hAnsi="Century Gothic"/>
                <w:sz w:val="22"/>
                <w:szCs w:val="22"/>
                <w:lang w:val="es-CO"/>
              </w:rPr>
              <w:t xml:space="preserve"> para cada una </w:t>
            </w:r>
            <w:r w:rsidR="003F1285">
              <w:rPr>
                <w:rFonts w:ascii="Century Gothic" w:hAnsi="Century Gothic"/>
                <w:sz w:val="22"/>
                <w:szCs w:val="22"/>
                <w:lang w:val="es-CO"/>
              </w:rPr>
              <w:t>de las demandantes</w:t>
            </w:r>
            <w:r w:rsidR="000700F4">
              <w:rPr>
                <w:rFonts w:ascii="Century Gothic" w:hAnsi="Century Gothic"/>
                <w:sz w:val="22"/>
                <w:szCs w:val="22"/>
                <w:lang w:val="es-CO"/>
              </w:rPr>
              <w:t>)</w:t>
            </w:r>
          </w:p>
          <w:p w14:paraId="7CE513C5" w14:textId="718707D1" w:rsidR="00571AA2" w:rsidRDefault="003F1285" w:rsidP="00571AA2">
            <w:pPr>
              <w:pStyle w:val="Prrafodelista"/>
              <w:rPr>
                <w:rFonts w:ascii="Century Gothic" w:hAnsi="Century Gothic"/>
                <w:sz w:val="22"/>
                <w:szCs w:val="22"/>
                <w:lang w:val="es-CO"/>
              </w:rPr>
            </w:pPr>
            <w:r>
              <w:rPr>
                <w:rFonts w:ascii="Century Gothic" w:hAnsi="Century Gothic"/>
                <w:sz w:val="22"/>
                <w:szCs w:val="22"/>
                <w:lang w:val="es-CO"/>
              </w:rPr>
              <w:t>Daño moral: 120 SMMLV</w:t>
            </w:r>
          </w:p>
          <w:p w14:paraId="32F4BC7F" w14:textId="2D5F57AB" w:rsidR="00571AA2" w:rsidRDefault="003F1285" w:rsidP="003F1285">
            <w:pPr>
              <w:pStyle w:val="Prrafodelista"/>
              <w:rPr>
                <w:rFonts w:ascii="Century Gothic" w:hAnsi="Century Gothic"/>
                <w:sz w:val="22"/>
                <w:szCs w:val="22"/>
                <w:lang w:val="es-CO"/>
              </w:rPr>
            </w:pPr>
            <w:r>
              <w:rPr>
                <w:rFonts w:ascii="Century Gothic" w:hAnsi="Century Gothic"/>
                <w:sz w:val="22"/>
                <w:szCs w:val="22"/>
                <w:lang w:val="es-CO"/>
              </w:rPr>
              <w:t>Perdida de oportunidad: 90 SMMLV</w:t>
            </w:r>
          </w:p>
          <w:p w14:paraId="193AFE6C" w14:textId="03C9ADB3" w:rsidR="003F1285" w:rsidRPr="00571AA2" w:rsidRDefault="003F1285" w:rsidP="003F1285">
            <w:pPr>
              <w:pStyle w:val="Prrafodelista"/>
              <w:rPr>
                <w:rFonts w:ascii="Century Gothic" w:hAnsi="Century Gothic"/>
                <w:sz w:val="22"/>
                <w:szCs w:val="22"/>
                <w:lang w:val="es-CO"/>
              </w:rPr>
            </w:pPr>
            <w:r>
              <w:rPr>
                <w:rFonts w:ascii="Century Gothic" w:hAnsi="Century Gothic"/>
                <w:sz w:val="22"/>
                <w:szCs w:val="22"/>
                <w:lang w:val="es-CO"/>
              </w:rPr>
              <w:t>Total: 560 SMMLV</w:t>
            </w:r>
          </w:p>
          <w:p w14:paraId="71F03504" w14:textId="77777777" w:rsidR="00571AA2" w:rsidRPr="00571AA2" w:rsidRDefault="00571AA2" w:rsidP="00571AA2">
            <w:pPr>
              <w:numPr>
                <w:ilvl w:val="0"/>
                <w:numId w:val="8"/>
              </w:numPr>
              <w:rPr>
                <w:rFonts w:ascii="Century Gothic" w:hAnsi="Century Gothic"/>
                <w:sz w:val="22"/>
                <w:szCs w:val="22"/>
                <w:lang w:val="es-CO"/>
              </w:rPr>
            </w:pPr>
            <w:r w:rsidRPr="00571AA2">
              <w:rPr>
                <w:rFonts w:ascii="Century Gothic" w:hAnsi="Century Gothic"/>
                <w:sz w:val="22"/>
                <w:szCs w:val="22"/>
                <w:lang w:val="es-CO"/>
              </w:rPr>
              <w:t>Costas del proceso.</w:t>
            </w:r>
          </w:p>
          <w:p w14:paraId="693C619E" w14:textId="77777777" w:rsidR="00BC14B6" w:rsidRPr="008A065A" w:rsidRDefault="00BC14B6" w:rsidP="00210131">
            <w:pPr>
              <w:rPr>
                <w:rFonts w:ascii="Century Gothic" w:hAnsi="Century Gothic"/>
                <w:sz w:val="22"/>
                <w:szCs w:val="22"/>
              </w:rPr>
            </w:pPr>
          </w:p>
          <w:p w14:paraId="4C79D219" w14:textId="77777777" w:rsidR="00BC14B6" w:rsidRPr="008A065A" w:rsidRDefault="00BC14B6" w:rsidP="00210131">
            <w:pPr>
              <w:rPr>
                <w:rFonts w:ascii="Century Gothic" w:hAnsi="Century Gothic"/>
                <w:sz w:val="22"/>
                <w:szCs w:val="22"/>
              </w:rPr>
            </w:pPr>
          </w:p>
        </w:tc>
      </w:tr>
      <w:tr w:rsidR="008A065A" w:rsidRPr="008A065A" w14:paraId="36137281" w14:textId="77777777" w:rsidTr="00210131">
        <w:trPr>
          <w:trHeight w:val="510"/>
        </w:trPr>
        <w:tc>
          <w:tcPr>
            <w:tcW w:w="4537" w:type="dxa"/>
            <w:vAlign w:val="center"/>
          </w:tcPr>
          <w:p w14:paraId="12B62F8B"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 xml:space="preserve">Valor total de las pretensiones </w:t>
            </w:r>
          </w:p>
        </w:tc>
        <w:tc>
          <w:tcPr>
            <w:tcW w:w="5670" w:type="dxa"/>
            <w:vAlign w:val="center"/>
          </w:tcPr>
          <w:p w14:paraId="724AAE73" w14:textId="0AF1ECC3" w:rsidR="00BC14B6" w:rsidRPr="008A065A" w:rsidRDefault="00BC14B6" w:rsidP="00210131">
            <w:pPr>
              <w:rPr>
                <w:rFonts w:ascii="Century Gothic" w:hAnsi="Century Gothic"/>
                <w:sz w:val="22"/>
                <w:szCs w:val="22"/>
              </w:rPr>
            </w:pPr>
            <w:r w:rsidRPr="008A065A">
              <w:rPr>
                <w:rFonts w:ascii="Century Gothic" w:hAnsi="Century Gothic"/>
                <w:sz w:val="22"/>
                <w:szCs w:val="22"/>
              </w:rPr>
              <w:t>$</w:t>
            </w:r>
            <w:r w:rsidR="00E61DB4" w:rsidRPr="008A065A">
              <w:rPr>
                <w:rFonts w:ascii="Century Gothic" w:hAnsi="Century Gothic"/>
                <w:sz w:val="22"/>
                <w:szCs w:val="22"/>
              </w:rPr>
              <w:t>1.</w:t>
            </w:r>
            <w:r w:rsidR="000700F4">
              <w:rPr>
                <w:rFonts w:ascii="Century Gothic" w:hAnsi="Century Gothic"/>
                <w:sz w:val="22"/>
                <w:szCs w:val="22"/>
              </w:rPr>
              <w:t>540.119.557</w:t>
            </w:r>
          </w:p>
        </w:tc>
      </w:tr>
      <w:tr w:rsidR="008A065A" w:rsidRPr="008A065A" w14:paraId="3F1E92B4" w14:textId="77777777" w:rsidTr="00210131">
        <w:trPr>
          <w:trHeight w:val="510"/>
        </w:trPr>
        <w:tc>
          <w:tcPr>
            <w:tcW w:w="4537" w:type="dxa"/>
            <w:vAlign w:val="center"/>
          </w:tcPr>
          <w:p w14:paraId="231C9B1A"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Valor total de las pretensiones objetivadas</w:t>
            </w:r>
          </w:p>
        </w:tc>
        <w:tc>
          <w:tcPr>
            <w:tcW w:w="5670" w:type="dxa"/>
            <w:vAlign w:val="center"/>
          </w:tcPr>
          <w:p w14:paraId="1B76FEED" w14:textId="0B500C67" w:rsidR="00BC14B6" w:rsidRPr="008A065A" w:rsidRDefault="0078133D" w:rsidP="00210131">
            <w:pPr>
              <w:rPr>
                <w:rFonts w:ascii="Century Gothic" w:hAnsi="Century Gothic"/>
                <w:sz w:val="22"/>
                <w:szCs w:val="22"/>
              </w:rPr>
            </w:pPr>
            <w:r w:rsidRPr="0078133D">
              <w:rPr>
                <w:rFonts w:ascii="Century Gothic" w:hAnsi="Century Gothic"/>
                <w:sz w:val="22"/>
                <w:szCs w:val="22"/>
              </w:rPr>
              <w:t>$ 1.430.979.928</w:t>
            </w:r>
          </w:p>
        </w:tc>
      </w:tr>
    </w:tbl>
    <w:p w14:paraId="12EEDD9B" w14:textId="77777777" w:rsidR="00BC14B6" w:rsidRDefault="00BC14B6" w:rsidP="00BC14B6">
      <w:pPr>
        <w:rPr>
          <w:rFonts w:ascii="Century Gothic" w:hAnsi="Century Gothic"/>
          <w:sz w:val="22"/>
          <w:szCs w:val="22"/>
        </w:rPr>
      </w:pPr>
    </w:p>
    <w:p w14:paraId="374D7E43" w14:textId="77777777" w:rsidR="000E6CD3" w:rsidRDefault="000E6CD3" w:rsidP="00BC14B6">
      <w:pPr>
        <w:rPr>
          <w:rFonts w:ascii="Century Gothic" w:hAnsi="Century Gothic"/>
          <w:sz w:val="22"/>
          <w:szCs w:val="22"/>
        </w:rPr>
      </w:pPr>
    </w:p>
    <w:p w14:paraId="7CB2D186" w14:textId="77777777" w:rsidR="000E6CD3" w:rsidRDefault="000E6CD3" w:rsidP="00BC14B6">
      <w:pPr>
        <w:rPr>
          <w:rFonts w:ascii="Century Gothic" w:hAnsi="Century Gothic"/>
          <w:sz w:val="22"/>
          <w:szCs w:val="22"/>
        </w:rPr>
      </w:pPr>
    </w:p>
    <w:p w14:paraId="3C901965" w14:textId="77777777" w:rsidR="000E6CD3" w:rsidRDefault="000E6CD3" w:rsidP="00BC14B6">
      <w:pPr>
        <w:rPr>
          <w:rFonts w:ascii="Century Gothic" w:hAnsi="Century Gothic"/>
          <w:sz w:val="22"/>
          <w:szCs w:val="22"/>
        </w:rPr>
      </w:pPr>
    </w:p>
    <w:p w14:paraId="330FD749" w14:textId="77777777" w:rsidR="000E6CD3" w:rsidRDefault="000E6CD3" w:rsidP="00BC14B6">
      <w:pPr>
        <w:rPr>
          <w:rFonts w:ascii="Century Gothic" w:hAnsi="Century Gothic"/>
          <w:sz w:val="22"/>
          <w:szCs w:val="22"/>
        </w:rPr>
      </w:pPr>
    </w:p>
    <w:p w14:paraId="2B19E0CA" w14:textId="77777777" w:rsidR="000E6CD3" w:rsidRDefault="000E6CD3" w:rsidP="00BC14B6">
      <w:pPr>
        <w:rPr>
          <w:rFonts w:ascii="Century Gothic" w:hAnsi="Century Gothic"/>
          <w:sz w:val="22"/>
          <w:szCs w:val="22"/>
        </w:rPr>
      </w:pPr>
    </w:p>
    <w:p w14:paraId="6D4D8CF4" w14:textId="77777777" w:rsidR="000E6CD3" w:rsidRDefault="000E6CD3" w:rsidP="00BC14B6">
      <w:pPr>
        <w:rPr>
          <w:rFonts w:ascii="Century Gothic" w:hAnsi="Century Gothic"/>
          <w:sz w:val="22"/>
          <w:szCs w:val="22"/>
        </w:rPr>
      </w:pPr>
    </w:p>
    <w:p w14:paraId="5E4906BA" w14:textId="77777777" w:rsidR="000E6CD3" w:rsidRDefault="000E6CD3" w:rsidP="00BC14B6">
      <w:pPr>
        <w:rPr>
          <w:rFonts w:ascii="Century Gothic" w:hAnsi="Century Gothic"/>
          <w:sz w:val="22"/>
          <w:szCs w:val="22"/>
        </w:rPr>
      </w:pPr>
    </w:p>
    <w:p w14:paraId="73576851" w14:textId="77777777" w:rsidR="000E6CD3" w:rsidRDefault="000E6CD3" w:rsidP="00BC14B6">
      <w:pPr>
        <w:rPr>
          <w:rFonts w:ascii="Century Gothic" w:hAnsi="Century Gothic"/>
          <w:sz w:val="22"/>
          <w:szCs w:val="22"/>
        </w:rPr>
      </w:pPr>
    </w:p>
    <w:p w14:paraId="5C2F44B0" w14:textId="77777777" w:rsidR="000E6CD3" w:rsidRDefault="000E6CD3" w:rsidP="00BC14B6">
      <w:pPr>
        <w:rPr>
          <w:rFonts w:ascii="Century Gothic" w:hAnsi="Century Gothic"/>
          <w:sz w:val="22"/>
          <w:szCs w:val="22"/>
        </w:rPr>
      </w:pPr>
    </w:p>
    <w:p w14:paraId="4E672EFF" w14:textId="77777777" w:rsidR="000E6CD3" w:rsidRPr="008A065A" w:rsidRDefault="000E6CD3" w:rsidP="00BC14B6">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8A065A" w:rsidRPr="008A065A" w14:paraId="6A19E0A6" w14:textId="77777777" w:rsidTr="00210131">
        <w:trPr>
          <w:trHeight w:val="285"/>
        </w:trPr>
        <w:tc>
          <w:tcPr>
            <w:tcW w:w="10191" w:type="dxa"/>
            <w:shd w:val="clear" w:color="auto" w:fill="B3E5A1" w:themeFill="accent6" w:themeFillTint="66"/>
            <w:vAlign w:val="center"/>
          </w:tcPr>
          <w:p w14:paraId="70B85175" w14:textId="77777777" w:rsidR="00BC14B6" w:rsidRPr="008A065A" w:rsidRDefault="00BC14B6" w:rsidP="00210131">
            <w:pPr>
              <w:jc w:val="center"/>
              <w:rPr>
                <w:rFonts w:ascii="Century Gothic" w:hAnsi="Century Gothic"/>
                <w:sz w:val="22"/>
                <w:szCs w:val="22"/>
              </w:rPr>
            </w:pPr>
            <w:r w:rsidRPr="008A065A">
              <w:rPr>
                <w:rFonts w:ascii="Century Gothic" w:hAnsi="Century Gothic"/>
                <w:sz w:val="22"/>
                <w:szCs w:val="22"/>
              </w:rPr>
              <w:lastRenderedPageBreak/>
              <w:t>Liquidación de las pretensiones objetivadas</w:t>
            </w:r>
          </w:p>
        </w:tc>
      </w:tr>
      <w:tr w:rsidR="008A065A" w:rsidRPr="008A065A" w14:paraId="4F877D74" w14:textId="77777777" w:rsidTr="000E6CD3">
        <w:trPr>
          <w:trHeight w:val="2126"/>
        </w:trPr>
        <w:tc>
          <w:tcPr>
            <w:tcW w:w="10191" w:type="dxa"/>
            <w:vAlign w:val="center"/>
          </w:tcPr>
          <w:p w14:paraId="31B310D7" w14:textId="28CEA932" w:rsidR="005C236A" w:rsidRPr="00741235" w:rsidRDefault="005C236A" w:rsidP="005C236A">
            <w:pPr>
              <w:jc w:val="both"/>
              <w:rPr>
                <w:rFonts w:ascii="Century Gothic" w:hAnsi="Century Gothic" w:cstheme="minorHAnsi"/>
                <w:sz w:val="22"/>
                <w:szCs w:val="22"/>
              </w:rPr>
            </w:pPr>
            <w:r w:rsidRPr="00741235">
              <w:rPr>
                <w:rFonts w:ascii="Century Gothic" w:hAnsi="Century Gothic" w:cstheme="minorHAnsi"/>
                <w:sz w:val="22"/>
                <w:szCs w:val="22"/>
              </w:rPr>
              <w:t xml:space="preserve">Como liquidación objetiva de perjuicios se tasa en la suma de </w:t>
            </w:r>
            <w:r w:rsidR="0078133D" w:rsidRPr="0078133D">
              <w:rPr>
                <w:rFonts w:ascii="Century Gothic" w:hAnsi="Century Gothic" w:cstheme="minorHAnsi"/>
                <w:sz w:val="22"/>
                <w:szCs w:val="22"/>
              </w:rPr>
              <w:t>$ 1.430.979.928</w:t>
            </w:r>
            <w:r w:rsidR="0078133D">
              <w:rPr>
                <w:rFonts w:ascii="Century Gothic" w:hAnsi="Century Gothic" w:cstheme="minorHAnsi"/>
                <w:sz w:val="22"/>
                <w:szCs w:val="22"/>
              </w:rPr>
              <w:t xml:space="preserve"> </w:t>
            </w:r>
            <w:r w:rsidRPr="00741235">
              <w:rPr>
                <w:rFonts w:ascii="Century Gothic" w:hAnsi="Century Gothic" w:cstheme="minorHAnsi"/>
                <w:sz w:val="22"/>
                <w:szCs w:val="22"/>
              </w:rPr>
              <w:t>a la fecha de esta liquidación. Lo anterior, con base en los siguientes fundamentos:</w:t>
            </w:r>
          </w:p>
          <w:p w14:paraId="3D99D834" w14:textId="77777777" w:rsidR="005C236A" w:rsidRPr="00741235" w:rsidRDefault="005C236A" w:rsidP="005C236A">
            <w:pPr>
              <w:jc w:val="both"/>
              <w:rPr>
                <w:rFonts w:ascii="Century Gothic" w:hAnsi="Century Gothic" w:cstheme="minorHAnsi"/>
                <w:sz w:val="22"/>
                <w:szCs w:val="22"/>
              </w:rPr>
            </w:pPr>
          </w:p>
          <w:p w14:paraId="52082366" w14:textId="77777777" w:rsidR="005C236A" w:rsidRPr="00741235" w:rsidRDefault="005C236A" w:rsidP="005C236A">
            <w:pPr>
              <w:pStyle w:val="Prrafodelista"/>
              <w:ind w:left="1065"/>
              <w:jc w:val="both"/>
              <w:rPr>
                <w:rFonts w:ascii="Century Gothic" w:hAnsi="Century Gothic" w:cstheme="minorHAnsi"/>
                <w:sz w:val="22"/>
                <w:szCs w:val="22"/>
              </w:rPr>
            </w:pPr>
          </w:p>
          <w:p w14:paraId="1D42D819" w14:textId="77777777" w:rsidR="005C236A" w:rsidRPr="00741235" w:rsidRDefault="005C236A" w:rsidP="005C236A">
            <w:pPr>
              <w:pStyle w:val="Prrafodelista"/>
              <w:numPr>
                <w:ilvl w:val="0"/>
                <w:numId w:val="1"/>
              </w:numPr>
              <w:ind w:left="1416" w:hanging="1056"/>
              <w:jc w:val="both"/>
              <w:rPr>
                <w:rFonts w:ascii="Century Gothic" w:hAnsi="Century Gothic" w:cstheme="minorHAnsi"/>
                <w:sz w:val="22"/>
                <w:szCs w:val="22"/>
              </w:rPr>
            </w:pPr>
            <w:r w:rsidRPr="00741235">
              <w:rPr>
                <w:rFonts w:ascii="Century Gothic" w:hAnsi="Century Gothic" w:cstheme="minorHAnsi"/>
                <w:sz w:val="22"/>
                <w:szCs w:val="22"/>
              </w:rPr>
              <w:t>DAÑOS EXTRAPATRIMONIALES:</w:t>
            </w:r>
          </w:p>
          <w:p w14:paraId="2868FAF8" w14:textId="77777777" w:rsidR="005C236A" w:rsidRDefault="005C236A" w:rsidP="005C236A">
            <w:pPr>
              <w:pStyle w:val="Prrafodelista"/>
              <w:ind w:left="1416"/>
              <w:jc w:val="both"/>
              <w:rPr>
                <w:rFonts w:ascii="Century Gothic" w:hAnsi="Century Gothic" w:cstheme="minorHAnsi"/>
                <w:sz w:val="22"/>
                <w:szCs w:val="22"/>
              </w:rPr>
            </w:pPr>
          </w:p>
          <w:p w14:paraId="5E70C54C" w14:textId="77777777" w:rsidR="005C236A" w:rsidRPr="007C6FF0" w:rsidRDefault="005C236A" w:rsidP="005C236A">
            <w:pPr>
              <w:pStyle w:val="Prrafodelista"/>
              <w:numPr>
                <w:ilvl w:val="1"/>
                <w:numId w:val="1"/>
              </w:numPr>
              <w:jc w:val="both"/>
              <w:rPr>
                <w:rFonts w:ascii="Century Gothic" w:hAnsi="Century Gothic" w:cstheme="minorHAnsi"/>
                <w:sz w:val="22"/>
                <w:szCs w:val="22"/>
              </w:rPr>
            </w:pPr>
            <w:r w:rsidRPr="007C6FF0">
              <w:rPr>
                <w:rFonts w:ascii="Century Gothic" w:hAnsi="Century Gothic" w:cstheme="minorHAnsi"/>
                <w:sz w:val="22"/>
                <w:szCs w:val="22"/>
              </w:rPr>
              <w:t>DAÑO MORAL:  se tendrá en cuenta la suma de $ 854.100.000, teniendo en cuenta los topes indemnizatorios establecidos en la sentencia SC072-2025 del 27 de marzo de 2025, la cual establece el tope de 100 SMLMV para la persona afecta por lesiones personales graves y sus familiares en primer grado</w:t>
            </w:r>
          </w:p>
          <w:p w14:paraId="274DE035" w14:textId="77777777" w:rsidR="005C236A" w:rsidRPr="008A065A" w:rsidRDefault="005C236A" w:rsidP="005C236A">
            <w:pPr>
              <w:pStyle w:val="Prrafodelista"/>
              <w:ind w:left="1416"/>
              <w:jc w:val="both"/>
              <w:rPr>
                <w:rFonts w:ascii="Century Gothic" w:hAnsi="Century Gothic" w:cstheme="minorHAnsi"/>
                <w:sz w:val="22"/>
                <w:szCs w:val="22"/>
              </w:rPr>
            </w:pPr>
          </w:p>
          <w:p w14:paraId="719F24CC" w14:textId="77777777" w:rsidR="005C236A" w:rsidRPr="008A065A" w:rsidRDefault="005C236A" w:rsidP="005C236A">
            <w:pPr>
              <w:pStyle w:val="Prrafodelista"/>
              <w:numPr>
                <w:ilvl w:val="0"/>
                <w:numId w:val="4"/>
              </w:numPr>
              <w:jc w:val="both"/>
              <w:rPr>
                <w:rFonts w:ascii="Century Gothic" w:hAnsi="Century Gothic" w:cstheme="minorHAnsi"/>
                <w:sz w:val="22"/>
                <w:szCs w:val="22"/>
              </w:rPr>
            </w:pPr>
            <w:r>
              <w:rPr>
                <w:rFonts w:ascii="Century Gothic" w:hAnsi="Century Gothic" w:cstheme="minorHAnsi"/>
                <w:sz w:val="22"/>
                <w:szCs w:val="22"/>
              </w:rPr>
              <w:t>LUCIA CARRILLO DE PINEDA</w:t>
            </w:r>
            <w:r w:rsidRPr="008A065A">
              <w:rPr>
                <w:rFonts w:ascii="Century Gothic" w:hAnsi="Century Gothic" w:cstheme="minorHAnsi"/>
                <w:sz w:val="22"/>
                <w:szCs w:val="22"/>
              </w:rPr>
              <w:t xml:space="preserve"> (</w:t>
            </w:r>
            <w:r>
              <w:rPr>
                <w:rFonts w:ascii="Century Gothic" w:hAnsi="Century Gothic" w:cstheme="minorHAnsi"/>
                <w:sz w:val="22"/>
                <w:szCs w:val="22"/>
              </w:rPr>
              <w:t>Esposa del afectado</w:t>
            </w:r>
            <w:r w:rsidRPr="008A065A">
              <w:rPr>
                <w:rFonts w:ascii="Century Gothic" w:hAnsi="Century Gothic" w:cstheme="minorHAnsi"/>
                <w:sz w:val="22"/>
                <w:szCs w:val="22"/>
              </w:rPr>
              <w:t>) 100 SMLMV: 142.350.000</w:t>
            </w:r>
          </w:p>
          <w:p w14:paraId="01539442" w14:textId="77777777" w:rsidR="005C236A" w:rsidRDefault="005C236A" w:rsidP="005C236A">
            <w:pPr>
              <w:pStyle w:val="Prrafodelista"/>
              <w:numPr>
                <w:ilvl w:val="0"/>
                <w:numId w:val="4"/>
              </w:numPr>
              <w:jc w:val="both"/>
              <w:rPr>
                <w:rFonts w:ascii="Century Gothic" w:hAnsi="Century Gothic" w:cstheme="minorHAnsi"/>
                <w:sz w:val="22"/>
                <w:szCs w:val="22"/>
              </w:rPr>
            </w:pPr>
            <w:r>
              <w:rPr>
                <w:rFonts w:ascii="Century Gothic" w:hAnsi="Century Gothic" w:cstheme="minorHAnsi"/>
                <w:sz w:val="22"/>
                <w:szCs w:val="22"/>
              </w:rPr>
              <w:t xml:space="preserve">ANGELA MARIA PINEDA CARRILLO </w:t>
            </w:r>
            <w:r w:rsidRPr="008A065A">
              <w:rPr>
                <w:rFonts w:ascii="Century Gothic" w:hAnsi="Century Gothic" w:cstheme="minorHAnsi"/>
                <w:sz w:val="22"/>
                <w:szCs w:val="22"/>
              </w:rPr>
              <w:t xml:space="preserve">(en calidad de hija biológica </w:t>
            </w:r>
            <w:r>
              <w:rPr>
                <w:rFonts w:ascii="Century Gothic" w:hAnsi="Century Gothic" w:cstheme="minorHAnsi"/>
                <w:sz w:val="22"/>
                <w:szCs w:val="22"/>
              </w:rPr>
              <w:t>del fallecido 10</w:t>
            </w:r>
            <w:r w:rsidRPr="008A065A">
              <w:rPr>
                <w:rFonts w:ascii="Century Gothic" w:hAnsi="Century Gothic" w:cstheme="minorHAnsi"/>
                <w:sz w:val="22"/>
                <w:szCs w:val="22"/>
              </w:rPr>
              <w:t>0 SMLMV: 142.350.000</w:t>
            </w:r>
            <w:r>
              <w:rPr>
                <w:rFonts w:ascii="Century Gothic" w:hAnsi="Century Gothic" w:cstheme="minorHAnsi"/>
                <w:sz w:val="22"/>
                <w:szCs w:val="22"/>
              </w:rPr>
              <w:t>)</w:t>
            </w:r>
          </w:p>
          <w:p w14:paraId="7E6B5C0C" w14:textId="77777777" w:rsidR="005C236A" w:rsidRDefault="005C236A" w:rsidP="005C236A">
            <w:pPr>
              <w:pStyle w:val="Prrafodelista"/>
              <w:numPr>
                <w:ilvl w:val="0"/>
                <w:numId w:val="4"/>
              </w:numPr>
              <w:jc w:val="both"/>
              <w:rPr>
                <w:rFonts w:ascii="Century Gothic" w:hAnsi="Century Gothic" w:cstheme="minorHAnsi"/>
                <w:sz w:val="22"/>
                <w:szCs w:val="22"/>
              </w:rPr>
            </w:pPr>
            <w:r>
              <w:rPr>
                <w:rFonts w:ascii="Century Gothic" w:hAnsi="Century Gothic" w:cstheme="minorHAnsi"/>
                <w:sz w:val="22"/>
                <w:szCs w:val="22"/>
              </w:rPr>
              <w:t>SANDRA PINEDA CARRILLO</w:t>
            </w:r>
            <w:r w:rsidRPr="008A065A">
              <w:rPr>
                <w:rFonts w:ascii="Century Gothic" w:hAnsi="Century Gothic" w:cstheme="minorHAnsi"/>
                <w:sz w:val="22"/>
                <w:szCs w:val="22"/>
              </w:rPr>
              <w:t xml:space="preserve"> en calidad de hija biológica </w:t>
            </w:r>
            <w:r>
              <w:rPr>
                <w:rFonts w:ascii="Century Gothic" w:hAnsi="Century Gothic" w:cstheme="minorHAnsi"/>
                <w:sz w:val="22"/>
                <w:szCs w:val="22"/>
              </w:rPr>
              <w:t>del fallecido 10</w:t>
            </w:r>
            <w:r w:rsidRPr="008A065A">
              <w:rPr>
                <w:rFonts w:ascii="Century Gothic" w:hAnsi="Century Gothic" w:cstheme="minorHAnsi"/>
                <w:sz w:val="22"/>
                <w:szCs w:val="22"/>
              </w:rPr>
              <w:t>0 SMLMV: 142.350.000</w:t>
            </w:r>
            <w:r>
              <w:rPr>
                <w:rFonts w:ascii="Century Gothic" w:hAnsi="Century Gothic" w:cstheme="minorHAnsi"/>
                <w:sz w:val="22"/>
                <w:szCs w:val="22"/>
              </w:rPr>
              <w:t>)</w:t>
            </w:r>
          </w:p>
          <w:p w14:paraId="77B741C7" w14:textId="77777777" w:rsidR="005C236A" w:rsidRPr="008A065A" w:rsidRDefault="005C236A" w:rsidP="005C236A">
            <w:pPr>
              <w:jc w:val="both"/>
              <w:rPr>
                <w:rFonts w:ascii="Century Gothic" w:hAnsi="Century Gothic" w:cstheme="minorHAnsi"/>
                <w:sz w:val="22"/>
                <w:szCs w:val="22"/>
              </w:rPr>
            </w:pPr>
          </w:p>
          <w:p w14:paraId="4C63599E" w14:textId="77777777" w:rsidR="005C236A" w:rsidRPr="007C6FF0" w:rsidRDefault="005C236A" w:rsidP="005C236A">
            <w:pPr>
              <w:pStyle w:val="Prrafodelista"/>
              <w:numPr>
                <w:ilvl w:val="1"/>
                <w:numId w:val="1"/>
              </w:numPr>
              <w:jc w:val="both"/>
              <w:rPr>
                <w:rFonts w:ascii="Century Gothic" w:hAnsi="Century Gothic" w:cstheme="minorHAnsi"/>
                <w:sz w:val="22"/>
                <w:szCs w:val="22"/>
              </w:rPr>
            </w:pPr>
            <w:r w:rsidRPr="007C6FF0">
              <w:rPr>
                <w:rFonts w:ascii="Century Gothic" w:hAnsi="Century Gothic" w:cstheme="minorHAnsi"/>
                <w:sz w:val="22"/>
                <w:szCs w:val="22"/>
              </w:rPr>
              <w:t xml:space="preserve">DAÑO A LA VIDA EN REALCIÓN: Se tendrá en cuenta la suma de $ 256.230.000Con base en la sentencia SC072-2025 del 27 de marzo de 2025, la cual establece un porcentaje indicativo del 40% de 200 SMLMV, cuando se trata de fallecimiento de cónyuge o familiar: </w:t>
            </w:r>
          </w:p>
          <w:p w14:paraId="1A71D2A6" w14:textId="77777777" w:rsidR="005C236A" w:rsidRPr="007C6FF0" w:rsidRDefault="005C236A" w:rsidP="005C236A">
            <w:pPr>
              <w:jc w:val="both"/>
              <w:rPr>
                <w:rFonts w:ascii="Century Gothic" w:hAnsi="Century Gothic" w:cstheme="minorHAnsi"/>
                <w:sz w:val="22"/>
                <w:szCs w:val="22"/>
              </w:rPr>
            </w:pPr>
          </w:p>
          <w:p w14:paraId="1BAAF263" w14:textId="77777777" w:rsidR="005C236A" w:rsidRPr="000700F4" w:rsidRDefault="005C236A" w:rsidP="005C236A">
            <w:pPr>
              <w:pStyle w:val="Prrafodelista"/>
              <w:ind w:left="1065"/>
              <w:jc w:val="both"/>
              <w:rPr>
                <w:rFonts w:ascii="Century Gothic" w:hAnsi="Century Gothic" w:cstheme="minorHAnsi"/>
                <w:sz w:val="22"/>
                <w:szCs w:val="22"/>
              </w:rPr>
            </w:pPr>
          </w:p>
          <w:p w14:paraId="08218FC4" w14:textId="77777777" w:rsidR="005C236A" w:rsidRPr="008923BB" w:rsidRDefault="005C236A" w:rsidP="005C236A">
            <w:pPr>
              <w:pStyle w:val="Prrafodelista"/>
              <w:numPr>
                <w:ilvl w:val="0"/>
                <w:numId w:val="4"/>
              </w:numPr>
              <w:jc w:val="both"/>
              <w:rPr>
                <w:rFonts w:ascii="Century Gothic" w:hAnsi="Century Gothic" w:cstheme="minorHAnsi"/>
                <w:sz w:val="22"/>
                <w:szCs w:val="22"/>
              </w:rPr>
            </w:pPr>
            <w:r>
              <w:rPr>
                <w:rFonts w:ascii="Century Gothic" w:hAnsi="Century Gothic" w:cstheme="minorHAnsi"/>
                <w:sz w:val="22"/>
                <w:szCs w:val="22"/>
              </w:rPr>
              <w:t>LUCIA CARRILLO DE PINEDA</w:t>
            </w:r>
            <w:r w:rsidRPr="008A065A">
              <w:rPr>
                <w:rFonts w:ascii="Century Gothic" w:hAnsi="Century Gothic" w:cstheme="minorHAnsi"/>
                <w:sz w:val="22"/>
                <w:szCs w:val="22"/>
              </w:rPr>
              <w:t xml:space="preserve"> (</w:t>
            </w:r>
            <w:r>
              <w:rPr>
                <w:rFonts w:ascii="Century Gothic" w:hAnsi="Century Gothic" w:cstheme="minorHAnsi"/>
                <w:sz w:val="22"/>
                <w:szCs w:val="22"/>
              </w:rPr>
              <w:t>Esposa del afectado</w:t>
            </w:r>
            <w:r w:rsidRPr="008A065A">
              <w:rPr>
                <w:rFonts w:ascii="Century Gothic" w:hAnsi="Century Gothic" w:cstheme="minorHAnsi"/>
                <w:sz w:val="22"/>
                <w:szCs w:val="22"/>
              </w:rPr>
              <w:t xml:space="preserve">) </w:t>
            </w:r>
            <w:r>
              <w:rPr>
                <w:rFonts w:ascii="Century Gothic" w:hAnsi="Century Gothic" w:cstheme="minorHAnsi"/>
                <w:sz w:val="22"/>
                <w:szCs w:val="22"/>
              </w:rPr>
              <w:t xml:space="preserve">80 </w:t>
            </w:r>
            <w:r w:rsidRPr="008A065A">
              <w:rPr>
                <w:rFonts w:ascii="Century Gothic" w:hAnsi="Century Gothic" w:cstheme="minorHAnsi"/>
                <w:sz w:val="22"/>
                <w:szCs w:val="22"/>
              </w:rPr>
              <w:t>SMLMV:</w:t>
            </w:r>
            <w:r>
              <w:rPr>
                <w:rFonts w:ascii="Century Gothic" w:hAnsi="Century Gothic" w:cstheme="minorHAnsi"/>
                <w:sz w:val="22"/>
                <w:szCs w:val="22"/>
              </w:rPr>
              <w:t xml:space="preserve"> </w:t>
            </w:r>
            <w:r w:rsidRPr="008923BB">
              <w:rPr>
                <w:rFonts w:ascii="Century Gothic" w:hAnsi="Century Gothic" w:cstheme="minorHAnsi"/>
                <w:sz w:val="22"/>
                <w:szCs w:val="22"/>
              </w:rPr>
              <w:t>$ 113.880.000,00</w:t>
            </w:r>
          </w:p>
          <w:p w14:paraId="0A9516D7" w14:textId="77777777" w:rsidR="005C236A" w:rsidRPr="008923BB" w:rsidRDefault="005C236A" w:rsidP="005C236A">
            <w:pPr>
              <w:pStyle w:val="Prrafodelista"/>
              <w:numPr>
                <w:ilvl w:val="0"/>
                <w:numId w:val="4"/>
              </w:numPr>
              <w:jc w:val="both"/>
              <w:rPr>
                <w:rFonts w:ascii="Century Gothic" w:hAnsi="Century Gothic" w:cstheme="minorHAnsi"/>
                <w:sz w:val="22"/>
                <w:szCs w:val="22"/>
              </w:rPr>
            </w:pPr>
            <w:r>
              <w:rPr>
                <w:rFonts w:ascii="Century Gothic" w:hAnsi="Century Gothic" w:cstheme="minorHAnsi"/>
                <w:sz w:val="22"/>
                <w:szCs w:val="22"/>
              </w:rPr>
              <w:t xml:space="preserve">ANGELA MARIA PINEDA CARRILLO </w:t>
            </w:r>
            <w:r w:rsidRPr="008A065A">
              <w:rPr>
                <w:rFonts w:ascii="Century Gothic" w:hAnsi="Century Gothic" w:cstheme="minorHAnsi"/>
                <w:sz w:val="22"/>
                <w:szCs w:val="22"/>
              </w:rPr>
              <w:t xml:space="preserve">(en calidad de hija biológica </w:t>
            </w:r>
            <w:r>
              <w:rPr>
                <w:rFonts w:ascii="Century Gothic" w:hAnsi="Century Gothic" w:cstheme="minorHAnsi"/>
                <w:sz w:val="22"/>
                <w:szCs w:val="22"/>
              </w:rPr>
              <w:t xml:space="preserve">del fallecido 80 </w:t>
            </w:r>
            <w:r w:rsidRPr="008A065A">
              <w:rPr>
                <w:rFonts w:ascii="Century Gothic" w:hAnsi="Century Gothic" w:cstheme="minorHAnsi"/>
                <w:sz w:val="22"/>
                <w:szCs w:val="22"/>
              </w:rPr>
              <w:t>SMLMV:</w:t>
            </w:r>
            <w:r>
              <w:rPr>
                <w:rFonts w:ascii="Century Gothic" w:hAnsi="Century Gothic" w:cstheme="minorHAnsi"/>
                <w:sz w:val="22"/>
                <w:szCs w:val="22"/>
              </w:rPr>
              <w:t xml:space="preserve"> </w:t>
            </w:r>
            <w:r w:rsidRPr="008923BB">
              <w:rPr>
                <w:rFonts w:ascii="Century Gothic" w:hAnsi="Century Gothic" w:cstheme="minorHAnsi"/>
                <w:sz w:val="22"/>
                <w:szCs w:val="22"/>
              </w:rPr>
              <w:t>$ 113.880.000,00</w:t>
            </w:r>
          </w:p>
          <w:p w14:paraId="1499F845" w14:textId="77777777" w:rsidR="005C236A" w:rsidRDefault="005C236A" w:rsidP="005C236A">
            <w:pPr>
              <w:pStyle w:val="Prrafodelista"/>
              <w:numPr>
                <w:ilvl w:val="0"/>
                <w:numId w:val="4"/>
              </w:numPr>
              <w:jc w:val="both"/>
              <w:rPr>
                <w:rFonts w:ascii="Century Gothic" w:hAnsi="Century Gothic" w:cstheme="minorHAnsi"/>
                <w:sz w:val="22"/>
                <w:szCs w:val="22"/>
              </w:rPr>
            </w:pPr>
            <w:r>
              <w:rPr>
                <w:rFonts w:ascii="Century Gothic" w:hAnsi="Century Gothic" w:cstheme="minorHAnsi"/>
                <w:sz w:val="22"/>
                <w:szCs w:val="22"/>
              </w:rPr>
              <w:t>SANDRA PINEDA CARRILLO</w:t>
            </w:r>
            <w:r w:rsidRPr="008A065A">
              <w:rPr>
                <w:rFonts w:ascii="Century Gothic" w:hAnsi="Century Gothic" w:cstheme="minorHAnsi"/>
                <w:sz w:val="22"/>
                <w:szCs w:val="22"/>
              </w:rPr>
              <w:t xml:space="preserve"> en calidad de hija biológica </w:t>
            </w:r>
            <w:r>
              <w:rPr>
                <w:rFonts w:ascii="Century Gothic" w:hAnsi="Century Gothic" w:cstheme="minorHAnsi"/>
                <w:sz w:val="22"/>
                <w:szCs w:val="22"/>
              </w:rPr>
              <w:t xml:space="preserve">del fallecido 80 </w:t>
            </w:r>
            <w:r w:rsidRPr="008A065A">
              <w:rPr>
                <w:rFonts w:ascii="Century Gothic" w:hAnsi="Century Gothic" w:cstheme="minorHAnsi"/>
                <w:sz w:val="22"/>
                <w:szCs w:val="22"/>
              </w:rPr>
              <w:t>SMLMV:</w:t>
            </w:r>
            <w:r>
              <w:rPr>
                <w:rFonts w:ascii="Century Gothic" w:hAnsi="Century Gothic" w:cstheme="minorHAnsi"/>
                <w:sz w:val="22"/>
                <w:szCs w:val="22"/>
              </w:rPr>
              <w:t xml:space="preserve"> </w:t>
            </w:r>
            <w:r w:rsidRPr="008923BB">
              <w:rPr>
                <w:rFonts w:ascii="Century Gothic" w:hAnsi="Century Gothic" w:cstheme="minorHAnsi"/>
                <w:sz w:val="22"/>
                <w:szCs w:val="22"/>
              </w:rPr>
              <w:t>$ 113.880.000,00</w:t>
            </w:r>
          </w:p>
          <w:p w14:paraId="71D63173" w14:textId="77777777" w:rsidR="005C236A" w:rsidRDefault="005C236A" w:rsidP="005C236A">
            <w:pPr>
              <w:pStyle w:val="Prrafodelista"/>
              <w:ind w:left="1850"/>
              <w:jc w:val="both"/>
              <w:rPr>
                <w:rFonts w:ascii="Century Gothic" w:hAnsi="Century Gothic" w:cstheme="minorHAnsi"/>
                <w:sz w:val="22"/>
                <w:szCs w:val="22"/>
              </w:rPr>
            </w:pPr>
          </w:p>
          <w:p w14:paraId="4134066F" w14:textId="77777777" w:rsidR="005C236A" w:rsidRPr="007C6FF0" w:rsidRDefault="005C236A" w:rsidP="005C236A">
            <w:pPr>
              <w:pStyle w:val="Prrafodelista"/>
              <w:numPr>
                <w:ilvl w:val="1"/>
                <w:numId w:val="1"/>
              </w:numPr>
              <w:jc w:val="both"/>
              <w:rPr>
                <w:rFonts w:ascii="Century Gothic" w:hAnsi="Century Gothic" w:cstheme="minorHAnsi"/>
                <w:sz w:val="22"/>
                <w:szCs w:val="22"/>
              </w:rPr>
            </w:pPr>
            <w:r w:rsidRPr="007C6FF0">
              <w:rPr>
                <w:rFonts w:ascii="Century Gothic" w:hAnsi="Century Gothic" w:cstheme="minorHAnsi"/>
                <w:sz w:val="22"/>
                <w:szCs w:val="22"/>
              </w:rPr>
              <w:t>DAÑO A LA SALUD: No se reconocerá por cuanto el señor RAMÓN HERNANDO PINEDA SILVA falleció, por lo tanto, no hay afectación que repararle.</w:t>
            </w:r>
          </w:p>
          <w:p w14:paraId="03E79B55" w14:textId="77777777" w:rsidR="005C236A" w:rsidRDefault="005C236A" w:rsidP="005C236A">
            <w:pPr>
              <w:pStyle w:val="Prrafodelista"/>
              <w:ind w:left="1065"/>
              <w:jc w:val="both"/>
              <w:rPr>
                <w:rFonts w:ascii="Century Gothic" w:hAnsi="Century Gothic" w:cstheme="minorHAnsi"/>
                <w:sz w:val="22"/>
                <w:szCs w:val="22"/>
              </w:rPr>
            </w:pPr>
          </w:p>
          <w:p w14:paraId="673EB889" w14:textId="77777777" w:rsidR="005C236A" w:rsidRDefault="005C236A" w:rsidP="005C236A">
            <w:pPr>
              <w:pStyle w:val="Prrafodelista"/>
              <w:numPr>
                <w:ilvl w:val="1"/>
                <w:numId w:val="1"/>
              </w:numPr>
              <w:jc w:val="both"/>
              <w:rPr>
                <w:rFonts w:ascii="Century Gothic" w:hAnsi="Century Gothic" w:cstheme="minorHAnsi"/>
                <w:sz w:val="22"/>
                <w:szCs w:val="22"/>
              </w:rPr>
            </w:pPr>
            <w:r w:rsidRPr="007C6FF0">
              <w:rPr>
                <w:rFonts w:ascii="Century Gothic" w:hAnsi="Century Gothic" w:cstheme="minorHAnsi"/>
                <w:sz w:val="22"/>
                <w:szCs w:val="22"/>
              </w:rPr>
              <w:t xml:space="preserve">PERDIDA DE OPORTUNIDAD: </w:t>
            </w:r>
            <w:r>
              <w:rPr>
                <w:rFonts w:ascii="Century Gothic" w:hAnsi="Century Gothic" w:cstheme="minorHAnsi"/>
                <w:sz w:val="22"/>
                <w:szCs w:val="22"/>
              </w:rPr>
              <w:t xml:space="preserve"> </w:t>
            </w:r>
            <w:r w:rsidRPr="007C6FF0">
              <w:rPr>
                <w:rFonts w:ascii="Century Gothic" w:hAnsi="Century Gothic" w:cstheme="minorHAnsi"/>
                <w:sz w:val="22"/>
                <w:szCs w:val="22"/>
              </w:rPr>
              <w:t>No se reconoce ningún valor por este concepto. Lo anterior, pues ni siquiera se menciona cuál es la oportunidad perdida, cuestión que por lógica deviene en la imposibilidad de poder calificar la entidad del beneficio o detrimento sufrido y, en consecuencia, hace imposible tal reconocimiento</w:t>
            </w:r>
            <w:r>
              <w:rPr>
                <w:rFonts w:ascii="Century Gothic" w:hAnsi="Century Gothic" w:cstheme="minorHAnsi"/>
                <w:sz w:val="22"/>
                <w:szCs w:val="22"/>
              </w:rPr>
              <w:t>.</w:t>
            </w:r>
          </w:p>
          <w:p w14:paraId="6C3A437F" w14:textId="77777777" w:rsidR="005C236A" w:rsidRPr="007C6FF0" w:rsidRDefault="005C236A" w:rsidP="005C236A">
            <w:pPr>
              <w:jc w:val="both"/>
              <w:rPr>
                <w:rFonts w:ascii="Century Gothic" w:hAnsi="Century Gothic" w:cstheme="minorHAnsi"/>
                <w:sz w:val="22"/>
                <w:szCs w:val="22"/>
              </w:rPr>
            </w:pPr>
          </w:p>
          <w:p w14:paraId="123C5647" w14:textId="77777777" w:rsidR="005C236A" w:rsidRPr="00741235" w:rsidRDefault="005C236A" w:rsidP="005C236A">
            <w:pPr>
              <w:pStyle w:val="Prrafodelista"/>
              <w:numPr>
                <w:ilvl w:val="0"/>
                <w:numId w:val="1"/>
              </w:numPr>
              <w:jc w:val="both"/>
              <w:rPr>
                <w:rFonts w:ascii="Century Gothic" w:hAnsi="Century Gothic" w:cstheme="minorHAnsi"/>
                <w:sz w:val="22"/>
                <w:szCs w:val="22"/>
              </w:rPr>
            </w:pPr>
            <w:r w:rsidRPr="00741235">
              <w:rPr>
                <w:rFonts w:ascii="Century Gothic" w:hAnsi="Century Gothic" w:cstheme="minorHAnsi"/>
                <w:sz w:val="22"/>
                <w:szCs w:val="22"/>
              </w:rPr>
              <w:t>DAÑO PATRIMONIALES:</w:t>
            </w:r>
          </w:p>
          <w:p w14:paraId="2FC68E14" w14:textId="77777777" w:rsidR="005C236A" w:rsidRDefault="005C236A" w:rsidP="005C236A">
            <w:pPr>
              <w:ind w:left="360"/>
              <w:jc w:val="both"/>
              <w:rPr>
                <w:rFonts w:ascii="Century Gothic" w:hAnsi="Century Gothic" w:cstheme="minorHAnsi"/>
                <w:sz w:val="22"/>
                <w:szCs w:val="22"/>
              </w:rPr>
            </w:pPr>
          </w:p>
          <w:p w14:paraId="43FED819" w14:textId="64207E2F" w:rsidR="005C236A" w:rsidRDefault="005C236A" w:rsidP="0078133D">
            <w:pPr>
              <w:pStyle w:val="Prrafodelista"/>
              <w:numPr>
                <w:ilvl w:val="1"/>
                <w:numId w:val="1"/>
              </w:numPr>
              <w:jc w:val="both"/>
              <w:rPr>
                <w:rFonts w:ascii="Century Gothic" w:hAnsi="Century Gothic" w:cstheme="minorHAnsi"/>
                <w:sz w:val="22"/>
                <w:szCs w:val="22"/>
              </w:rPr>
            </w:pPr>
            <w:r>
              <w:rPr>
                <w:rFonts w:ascii="Century Gothic" w:hAnsi="Century Gothic" w:cstheme="minorHAnsi"/>
                <w:sz w:val="22"/>
                <w:szCs w:val="22"/>
              </w:rPr>
              <w:t>LUCRO CESANTE</w:t>
            </w:r>
            <w:r w:rsidR="0078133D">
              <w:rPr>
                <w:rFonts w:ascii="Century Gothic" w:hAnsi="Century Gothic" w:cstheme="minorHAnsi"/>
                <w:sz w:val="22"/>
                <w:szCs w:val="22"/>
              </w:rPr>
              <w:t>:</w:t>
            </w:r>
          </w:p>
          <w:p w14:paraId="04A1E3F7" w14:textId="77777777" w:rsidR="0078133D" w:rsidRDefault="0078133D" w:rsidP="0078133D">
            <w:pPr>
              <w:pStyle w:val="Prrafodelista"/>
              <w:ind w:left="1080"/>
              <w:jc w:val="both"/>
              <w:rPr>
                <w:rFonts w:ascii="Century Gothic" w:hAnsi="Century Gothic" w:cstheme="minorHAnsi"/>
                <w:sz w:val="22"/>
                <w:szCs w:val="22"/>
              </w:rPr>
            </w:pPr>
          </w:p>
          <w:p w14:paraId="22B50C21" w14:textId="6CAF8069" w:rsidR="005C236A" w:rsidRDefault="0078133D" w:rsidP="00C85698">
            <w:pPr>
              <w:pStyle w:val="Prrafodelista"/>
              <w:ind w:left="1080"/>
              <w:jc w:val="both"/>
              <w:rPr>
                <w:rFonts w:ascii="Century Gothic" w:hAnsi="Century Gothic" w:cstheme="minorHAnsi"/>
                <w:sz w:val="22"/>
                <w:szCs w:val="22"/>
              </w:rPr>
            </w:pPr>
            <w:r w:rsidRPr="0078133D">
              <w:rPr>
                <w:rFonts w:ascii="Century Gothic" w:hAnsi="Century Gothic" w:cstheme="minorHAnsi"/>
                <w:sz w:val="22"/>
                <w:szCs w:val="22"/>
              </w:rPr>
              <w:t xml:space="preserve">Se tendrá en cuenta la suma de: $662.289.928 por concepto de lucro cesante consolidado y futuro. Al respecto, resulta necesario indicar que en el expediente obra prueba de que la víctima devengaba un salario mensual de $ 3.591.487,00, valor que fue actualizado conforme al Índice de Precios al Consumidor (IPC). En ese sentido, para aplicar la fórmula prevista por el alto tribunal se tendrá como ingreso </w:t>
            </w:r>
            <w:r w:rsidRPr="0078133D">
              <w:rPr>
                <w:rFonts w:ascii="Century Gothic" w:hAnsi="Century Gothic" w:cstheme="minorHAnsi"/>
                <w:sz w:val="22"/>
                <w:szCs w:val="22"/>
              </w:rPr>
              <w:lastRenderedPageBreak/>
              <w:t xml:space="preserve">la suma de $ </w:t>
            </w:r>
            <w:r w:rsidR="00C85698" w:rsidRPr="00C85698">
              <w:rPr>
                <w:rFonts w:ascii="Century Gothic" w:hAnsi="Century Gothic" w:cstheme="minorHAnsi"/>
                <w:sz w:val="22"/>
                <w:szCs w:val="22"/>
              </w:rPr>
              <w:t>$ 4.924.288</w:t>
            </w:r>
            <w:r w:rsidRPr="0078133D">
              <w:rPr>
                <w:rFonts w:ascii="Century Gothic" w:hAnsi="Century Gothic" w:cstheme="minorHAnsi"/>
                <w:sz w:val="22"/>
                <w:szCs w:val="22"/>
              </w:rPr>
              <w:t>. En virtud de lo expuesto y siguiendo los lineamientos de la Corte, la suma a reconocer sería de $ 139.955.271,88 por lucro cesante consolidado y $ 522.334.656,8157 por lucro cesante futuro para un total de $</w:t>
            </w:r>
            <w:r w:rsidR="00C85698" w:rsidRPr="00C85698">
              <w:rPr>
                <w:rFonts w:ascii="Century Gothic" w:hAnsi="Century Gothic" w:cstheme="minorHAnsi"/>
                <w:sz w:val="22"/>
                <w:szCs w:val="22"/>
              </w:rPr>
              <w:t xml:space="preserve"> 662.289.928,6916</w:t>
            </w:r>
          </w:p>
          <w:p w14:paraId="6D056C09" w14:textId="77777777" w:rsidR="00C85698" w:rsidRPr="00C61AE9" w:rsidRDefault="00C85698" w:rsidP="00C85698">
            <w:pPr>
              <w:pStyle w:val="Prrafodelista"/>
              <w:ind w:left="1080"/>
              <w:jc w:val="both"/>
              <w:rPr>
                <w:rFonts w:ascii="Century Gothic" w:hAnsi="Century Gothic" w:cstheme="minorHAnsi"/>
                <w:sz w:val="22"/>
                <w:szCs w:val="22"/>
              </w:rPr>
            </w:pPr>
          </w:p>
          <w:p w14:paraId="169F07B0" w14:textId="65F6CC6A" w:rsidR="005C236A" w:rsidRPr="00270FA2" w:rsidRDefault="005C236A" w:rsidP="005C236A">
            <w:pPr>
              <w:pStyle w:val="Prrafodelista"/>
              <w:numPr>
                <w:ilvl w:val="0"/>
                <w:numId w:val="1"/>
              </w:numPr>
              <w:jc w:val="both"/>
              <w:rPr>
                <w:rFonts w:ascii="Century Gothic" w:hAnsi="Century Gothic" w:cstheme="minorHAnsi"/>
                <w:sz w:val="22"/>
                <w:szCs w:val="22"/>
              </w:rPr>
            </w:pPr>
            <w:r w:rsidRPr="008A065A">
              <w:rPr>
                <w:rFonts w:ascii="Century Gothic" w:hAnsi="Century Gothic" w:cstheme="minorHAnsi"/>
                <w:sz w:val="22"/>
                <w:szCs w:val="22"/>
              </w:rPr>
              <w:t>DEDUCIBLE: Al valor de la liquidación ($</w:t>
            </w:r>
            <w:r w:rsidR="00C85698">
              <w:rPr>
                <w:rFonts w:ascii="Century Gothic" w:hAnsi="Century Gothic" w:cstheme="minorHAnsi"/>
                <w:sz w:val="22"/>
                <w:szCs w:val="22"/>
              </w:rPr>
              <w:t xml:space="preserve"> </w:t>
            </w:r>
            <w:r w:rsidR="00C85698" w:rsidRPr="00C85698">
              <w:rPr>
                <w:rFonts w:ascii="Century Gothic" w:hAnsi="Century Gothic" w:cstheme="minorHAnsi"/>
                <w:sz w:val="22"/>
                <w:szCs w:val="22"/>
              </w:rPr>
              <w:t>1.430.979.928,0000</w:t>
            </w:r>
            <w:r w:rsidR="00C85698">
              <w:rPr>
                <w:rFonts w:ascii="Century Gothic" w:hAnsi="Century Gothic" w:cstheme="minorHAnsi"/>
                <w:sz w:val="22"/>
                <w:szCs w:val="22"/>
              </w:rPr>
              <w:t xml:space="preserve">) </w:t>
            </w:r>
            <w:r w:rsidRPr="008A065A">
              <w:rPr>
                <w:rFonts w:ascii="Century Gothic" w:hAnsi="Century Gothic" w:cstheme="minorHAnsi"/>
                <w:sz w:val="22"/>
                <w:szCs w:val="22"/>
              </w:rPr>
              <w:t>se le descuenta el valor mínimo del deducible (</w:t>
            </w:r>
            <w:r w:rsidR="00C85698" w:rsidRPr="00C85698">
              <w:rPr>
                <w:rFonts w:ascii="Century Gothic" w:hAnsi="Century Gothic" w:cstheme="minorHAnsi"/>
                <w:sz w:val="22"/>
                <w:szCs w:val="22"/>
              </w:rPr>
              <w:t>$ 178.872.491,00</w:t>
            </w:r>
            <w:r w:rsidRPr="00270FA2">
              <w:rPr>
                <w:rFonts w:ascii="Century Gothic" w:hAnsi="Century Gothic" w:cstheme="minorHAnsi"/>
                <w:sz w:val="22"/>
                <w:szCs w:val="22"/>
              </w:rPr>
              <w:t>) para un total de: $</w:t>
            </w:r>
            <w:r w:rsidR="00C85698">
              <w:t xml:space="preserve"> </w:t>
            </w:r>
            <w:r w:rsidR="00C85698" w:rsidRPr="00C85698">
              <w:rPr>
                <w:rFonts w:ascii="Century Gothic" w:hAnsi="Century Gothic" w:cstheme="minorHAnsi"/>
                <w:sz w:val="22"/>
                <w:szCs w:val="22"/>
              </w:rPr>
              <w:t>1.252.107.437,00</w:t>
            </w:r>
          </w:p>
          <w:p w14:paraId="3B9B4A8B" w14:textId="77777777" w:rsidR="00BC14B6" w:rsidRPr="008A065A" w:rsidRDefault="00BC14B6" w:rsidP="005C236A">
            <w:pPr>
              <w:jc w:val="both"/>
              <w:rPr>
                <w:rFonts w:ascii="Century Gothic" w:hAnsi="Century Gothic"/>
                <w:sz w:val="22"/>
                <w:szCs w:val="22"/>
              </w:rPr>
            </w:pPr>
          </w:p>
        </w:tc>
      </w:tr>
    </w:tbl>
    <w:p w14:paraId="1BE4A582" w14:textId="77777777" w:rsidR="00BC14B6" w:rsidRPr="008A065A" w:rsidRDefault="00BC14B6" w:rsidP="00BC14B6">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A065A" w:rsidRPr="008A065A" w14:paraId="0C594A30" w14:textId="77777777" w:rsidTr="00210131">
        <w:trPr>
          <w:trHeight w:val="321"/>
        </w:trPr>
        <w:tc>
          <w:tcPr>
            <w:tcW w:w="10207" w:type="dxa"/>
            <w:shd w:val="clear" w:color="auto" w:fill="B3E5A1" w:themeFill="accent6" w:themeFillTint="66"/>
            <w:vAlign w:val="center"/>
          </w:tcPr>
          <w:p w14:paraId="2DAE21F4" w14:textId="77777777" w:rsidR="00BC14B6" w:rsidRPr="008A065A" w:rsidRDefault="00BC14B6" w:rsidP="00210131">
            <w:pPr>
              <w:jc w:val="center"/>
              <w:rPr>
                <w:rFonts w:ascii="Century Gothic" w:hAnsi="Century Gothic"/>
                <w:sz w:val="22"/>
                <w:szCs w:val="22"/>
              </w:rPr>
            </w:pPr>
            <w:r w:rsidRPr="008A065A">
              <w:rPr>
                <w:rFonts w:ascii="Century Gothic" w:hAnsi="Century Gothic"/>
                <w:sz w:val="22"/>
                <w:szCs w:val="22"/>
              </w:rPr>
              <w:t>Excepciones</w:t>
            </w:r>
          </w:p>
        </w:tc>
      </w:tr>
      <w:tr w:rsidR="008A065A" w:rsidRPr="008A065A" w14:paraId="423D7604" w14:textId="77777777" w:rsidTr="000E6CD3">
        <w:trPr>
          <w:trHeight w:val="1842"/>
        </w:trPr>
        <w:tc>
          <w:tcPr>
            <w:tcW w:w="10207" w:type="dxa"/>
            <w:vAlign w:val="center"/>
          </w:tcPr>
          <w:p w14:paraId="461C6F20" w14:textId="77777777" w:rsidR="000E6CD3" w:rsidRDefault="000E6CD3" w:rsidP="00210131">
            <w:pPr>
              <w:rPr>
                <w:rFonts w:ascii="Century Gothic" w:hAnsi="Century Gothic"/>
                <w:sz w:val="22"/>
                <w:szCs w:val="22"/>
              </w:rPr>
            </w:pPr>
          </w:p>
          <w:p w14:paraId="37A5E033" w14:textId="549DD5B5" w:rsidR="00BC14B6" w:rsidRPr="008A065A" w:rsidRDefault="007A2D3E" w:rsidP="00210131">
            <w:pPr>
              <w:rPr>
                <w:rFonts w:ascii="Century Gothic" w:hAnsi="Century Gothic"/>
                <w:sz w:val="22"/>
                <w:szCs w:val="22"/>
              </w:rPr>
            </w:pPr>
            <w:r w:rsidRPr="008A065A">
              <w:rPr>
                <w:rFonts w:ascii="Century Gothic" w:hAnsi="Century Gothic"/>
                <w:sz w:val="22"/>
                <w:szCs w:val="22"/>
              </w:rPr>
              <w:t>Frente a la demanda:</w:t>
            </w:r>
          </w:p>
          <w:p w14:paraId="0EA9F2C4" w14:textId="20F8087B" w:rsidR="00BC14B6" w:rsidRPr="00C40A53" w:rsidRDefault="00B53D33" w:rsidP="00C40A53">
            <w:pPr>
              <w:pStyle w:val="Prrafodelista"/>
              <w:numPr>
                <w:ilvl w:val="0"/>
                <w:numId w:val="2"/>
              </w:numPr>
              <w:spacing w:after="200"/>
              <w:ind w:right="178"/>
              <w:rPr>
                <w:rFonts w:ascii="Century Gothic" w:hAnsi="Century Gothic" w:cstheme="minorHAnsi"/>
                <w:sz w:val="22"/>
                <w:szCs w:val="22"/>
              </w:rPr>
            </w:pPr>
            <w:r w:rsidRPr="00C40A53">
              <w:rPr>
                <w:rFonts w:ascii="Century Gothic" w:hAnsi="Century Gothic" w:cstheme="minorHAnsi"/>
                <w:sz w:val="22"/>
                <w:szCs w:val="22"/>
              </w:rPr>
              <w:t>Excepciones planteadas por quien formuló el llamamiento en garantía a mi representada</w:t>
            </w:r>
          </w:p>
          <w:p w14:paraId="77C4426B" w14:textId="77777777" w:rsidR="00CC0CF3" w:rsidRPr="00C40A53" w:rsidRDefault="00CC0CF3" w:rsidP="00C40A53">
            <w:pPr>
              <w:pStyle w:val="Prrafodelista"/>
              <w:numPr>
                <w:ilvl w:val="0"/>
                <w:numId w:val="2"/>
              </w:numPr>
              <w:rPr>
                <w:rFonts w:ascii="Century Gothic" w:hAnsi="Century Gothic" w:cstheme="minorHAnsi"/>
                <w:sz w:val="22"/>
                <w:szCs w:val="22"/>
              </w:rPr>
            </w:pPr>
            <w:r w:rsidRPr="00C40A53">
              <w:rPr>
                <w:rFonts w:ascii="Century Gothic" w:hAnsi="Century Gothic" w:cstheme="minorHAnsi"/>
                <w:sz w:val="22"/>
                <w:szCs w:val="22"/>
              </w:rPr>
              <w:t>CUMPLIMIENTO DE LAS OBLIGACIONES CONTRACTUALES EN CABEZA DE LA CAJA DE COMPENSACIÓN FAMILIAR COMPENSAR EN SU PROGRAMA DE ENTIDAD PROMOTORA DE SALUD – COMPENSAR EPS.</w:t>
            </w:r>
          </w:p>
          <w:p w14:paraId="330A1D7E" w14:textId="77777777" w:rsidR="00CC0CF3" w:rsidRPr="00C40A53" w:rsidRDefault="00CC0CF3" w:rsidP="00C40A53">
            <w:pPr>
              <w:pStyle w:val="Prrafodelista"/>
              <w:numPr>
                <w:ilvl w:val="0"/>
                <w:numId w:val="2"/>
              </w:numPr>
              <w:rPr>
                <w:rFonts w:ascii="Century Gothic" w:hAnsi="Century Gothic" w:cstheme="minorHAnsi"/>
                <w:sz w:val="22"/>
                <w:szCs w:val="22"/>
              </w:rPr>
            </w:pPr>
            <w:r w:rsidRPr="00C40A53">
              <w:rPr>
                <w:rFonts w:ascii="Century Gothic" w:hAnsi="Century Gothic" w:cstheme="minorHAnsi"/>
                <w:sz w:val="22"/>
                <w:szCs w:val="22"/>
              </w:rPr>
              <w:t xml:space="preserve">INEXISTENCIA DE FALLA MÉDICA Y DE RESPONSABILIDAD, DEBIDO A LA PRESTACIÓN DILIGENTE, OPORTUNA, ADECUADA, CUIDADOSA Y CARENTE DE CULPA REALIZADO POR EL EXTREMO PASIVO. </w:t>
            </w:r>
          </w:p>
          <w:p w14:paraId="120B19E9" w14:textId="77777777" w:rsidR="00CC0CF3" w:rsidRPr="00C40A53" w:rsidRDefault="00CC0CF3" w:rsidP="00C40A53">
            <w:pPr>
              <w:pStyle w:val="Prrafodelista"/>
              <w:numPr>
                <w:ilvl w:val="0"/>
                <w:numId w:val="2"/>
              </w:numPr>
              <w:rPr>
                <w:rFonts w:ascii="Century Gothic" w:hAnsi="Century Gothic" w:cstheme="minorHAnsi"/>
                <w:sz w:val="22"/>
                <w:szCs w:val="22"/>
              </w:rPr>
            </w:pPr>
            <w:r w:rsidRPr="00C40A53">
              <w:rPr>
                <w:rFonts w:ascii="Century Gothic" w:hAnsi="Century Gothic" w:cstheme="minorHAnsi"/>
                <w:sz w:val="22"/>
                <w:szCs w:val="22"/>
              </w:rPr>
              <w:t>INEXISTENTE RELACIÓN DE CAUSALIDAD ENTRE EL DAÑO O PERJUICIO ALEGADO POR LA PARTE ACTORA Y LA ACTUACIÓN DE LA EPS COMPENSAR</w:t>
            </w:r>
          </w:p>
          <w:p w14:paraId="5765C875" w14:textId="77777777" w:rsidR="00CC0CF3" w:rsidRPr="00C40A53" w:rsidRDefault="00CC0CF3" w:rsidP="00C40A53">
            <w:pPr>
              <w:pStyle w:val="Prrafodelista"/>
              <w:numPr>
                <w:ilvl w:val="0"/>
                <w:numId w:val="2"/>
              </w:numPr>
              <w:rPr>
                <w:rFonts w:ascii="Century Gothic" w:hAnsi="Century Gothic" w:cstheme="minorHAnsi"/>
                <w:sz w:val="22"/>
                <w:szCs w:val="22"/>
              </w:rPr>
            </w:pPr>
            <w:r w:rsidRPr="00C40A53">
              <w:rPr>
                <w:rFonts w:ascii="Century Gothic" w:hAnsi="Century Gothic" w:cstheme="minorHAnsi"/>
                <w:sz w:val="22"/>
                <w:szCs w:val="22"/>
              </w:rPr>
              <w:t>INCUMPLIMIENTO DE LAS CARGAS QUE TRATA EL ARTICULO 167 DEL CÓDIGO GENERAL DEL PROCESO. NO SE ACREDITA QUE LA CAUSA EFECTIVA DEL FALLECIMIENTO HAYA OBEDECIDO A UN DECESO POR COVID-19, NI QUE EL MISMO HAYA SIDO ADQUIRIDO DE FORMA INTRAHOSPITALARIA.</w:t>
            </w:r>
          </w:p>
          <w:p w14:paraId="331F2AA8" w14:textId="77777777" w:rsidR="00CC0CF3" w:rsidRPr="00C40A53" w:rsidRDefault="00CC0CF3" w:rsidP="00C40A53">
            <w:pPr>
              <w:pStyle w:val="Prrafodelista"/>
              <w:numPr>
                <w:ilvl w:val="0"/>
                <w:numId w:val="2"/>
              </w:numPr>
              <w:rPr>
                <w:rFonts w:ascii="Century Gothic" w:hAnsi="Century Gothic" w:cstheme="minorHAnsi"/>
                <w:sz w:val="22"/>
                <w:szCs w:val="22"/>
              </w:rPr>
            </w:pPr>
            <w:r w:rsidRPr="00C40A53">
              <w:rPr>
                <w:rFonts w:ascii="Century Gothic" w:hAnsi="Century Gothic" w:cstheme="minorHAnsi"/>
                <w:sz w:val="22"/>
                <w:szCs w:val="22"/>
              </w:rPr>
              <w:t>LOS PERJUICIOS MORALES SOLICITADOS DESCONOCEN LOS LÍMITES JURISPRUDENCIALES ESTABLECIDOS POR EL MÁXIMO ÓRGANO DE LA JURISDICCIÓN ORDINARIA.</w:t>
            </w:r>
          </w:p>
          <w:p w14:paraId="2531F2ED" w14:textId="101F1716" w:rsidR="00CC0CF3" w:rsidRPr="00C40A53" w:rsidRDefault="00CC0CF3" w:rsidP="00C40A53">
            <w:pPr>
              <w:pStyle w:val="Prrafodelista"/>
              <w:numPr>
                <w:ilvl w:val="0"/>
                <w:numId w:val="2"/>
              </w:numPr>
              <w:spacing w:after="200"/>
              <w:ind w:right="178"/>
              <w:rPr>
                <w:rFonts w:ascii="Century Gothic" w:hAnsi="Century Gothic" w:cstheme="minorHAnsi"/>
                <w:sz w:val="22"/>
                <w:szCs w:val="22"/>
              </w:rPr>
            </w:pPr>
            <w:r w:rsidRPr="00C40A53">
              <w:rPr>
                <w:rFonts w:ascii="Century Gothic" w:hAnsi="Century Gothic" w:cstheme="minorHAnsi"/>
                <w:sz w:val="22"/>
                <w:szCs w:val="22"/>
              </w:rPr>
              <w:t>IMPROCEDENCIA DEL RECONOCIMIENTO Y FALTA DE PRUEBA DEL LUCRO CESANTE</w:t>
            </w:r>
          </w:p>
          <w:p w14:paraId="0798E573" w14:textId="77777777" w:rsidR="00CC0CF3" w:rsidRPr="00C40A53" w:rsidRDefault="00CC0CF3" w:rsidP="00C40A53">
            <w:pPr>
              <w:pStyle w:val="Prrafodelista"/>
              <w:numPr>
                <w:ilvl w:val="0"/>
                <w:numId w:val="2"/>
              </w:numPr>
              <w:rPr>
                <w:rFonts w:ascii="Century Gothic" w:hAnsi="Century Gothic" w:cstheme="minorHAnsi"/>
                <w:sz w:val="22"/>
                <w:szCs w:val="22"/>
              </w:rPr>
            </w:pPr>
            <w:r w:rsidRPr="00C40A53">
              <w:rPr>
                <w:rFonts w:ascii="Century Gothic" w:hAnsi="Century Gothic" w:cstheme="minorHAnsi"/>
                <w:sz w:val="22"/>
                <w:szCs w:val="22"/>
              </w:rPr>
              <w:t>IMPROCEDENCIA DEL RECONOCIMIENTO Y TASACIÓN EXORBITANTE DEL DAÑO A LA VIDA EN RELACIÓN</w:t>
            </w:r>
          </w:p>
          <w:p w14:paraId="0E1386D8" w14:textId="77777777" w:rsidR="00CC0CF3" w:rsidRPr="00C40A53" w:rsidRDefault="00CC0CF3" w:rsidP="00C40A53">
            <w:pPr>
              <w:pStyle w:val="Prrafodelista"/>
              <w:numPr>
                <w:ilvl w:val="0"/>
                <w:numId w:val="2"/>
              </w:numPr>
              <w:rPr>
                <w:rFonts w:ascii="Century Gothic" w:hAnsi="Century Gothic" w:cstheme="minorHAnsi"/>
                <w:sz w:val="22"/>
                <w:szCs w:val="22"/>
              </w:rPr>
            </w:pPr>
            <w:r w:rsidRPr="00C40A53">
              <w:rPr>
                <w:rFonts w:ascii="Century Gothic" w:hAnsi="Century Gothic" w:cstheme="minorHAnsi"/>
                <w:sz w:val="22"/>
                <w:szCs w:val="22"/>
              </w:rPr>
              <w:t>IMPROCEDENCIA DEL RECONOCIMIENTO DEL DAÑO A LA SALUD.</w:t>
            </w:r>
          </w:p>
          <w:p w14:paraId="1B17D502" w14:textId="77777777" w:rsidR="00CC0CF3" w:rsidRPr="00C40A53" w:rsidRDefault="00CC0CF3" w:rsidP="00C40A53">
            <w:pPr>
              <w:pStyle w:val="Prrafodelista"/>
              <w:numPr>
                <w:ilvl w:val="0"/>
                <w:numId w:val="2"/>
              </w:numPr>
              <w:rPr>
                <w:rFonts w:ascii="Century Gothic" w:hAnsi="Century Gothic" w:cstheme="minorHAnsi"/>
                <w:sz w:val="22"/>
                <w:szCs w:val="22"/>
              </w:rPr>
            </w:pPr>
            <w:r w:rsidRPr="00C40A53">
              <w:rPr>
                <w:rFonts w:ascii="Century Gothic" w:hAnsi="Century Gothic" w:cstheme="minorHAnsi"/>
                <w:sz w:val="22"/>
                <w:szCs w:val="22"/>
              </w:rPr>
              <w:t>IMPROCEDENCIA DE RECONOCIMIENTO DE LA TIPOLOGÍA DENOMINADA “PÉRDIDA DE OPORTUNIDAD”</w:t>
            </w:r>
          </w:p>
          <w:p w14:paraId="53C7BC87" w14:textId="77777777" w:rsidR="00CC0CF3" w:rsidRDefault="00CC0CF3" w:rsidP="00C40A53">
            <w:pPr>
              <w:pStyle w:val="Prrafodelista"/>
              <w:numPr>
                <w:ilvl w:val="0"/>
                <w:numId w:val="2"/>
              </w:numPr>
              <w:rPr>
                <w:rFonts w:ascii="Century Gothic" w:hAnsi="Century Gothic" w:cstheme="minorHAnsi"/>
                <w:sz w:val="22"/>
                <w:szCs w:val="22"/>
              </w:rPr>
            </w:pPr>
            <w:r w:rsidRPr="00C40A53">
              <w:rPr>
                <w:rFonts w:ascii="Century Gothic" w:hAnsi="Century Gothic" w:cstheme="minorHAnsi"/>
                <w:sz w:val="22"/>
                <w:szCs w:val="22"/>
              </w:rPr>
              <w:t xml:space="preserve">GENÉRICA O INNOMINADA </w:t>
            </w:r>
          </w:p>
          <w:p w14:paraId="7A7DFF7F" w14:textId="77777777" w:rsidR="00C40A53" w:rsidRPr="00C40A53" w:rsidRDefault="00C40A53" w:rsidP="00C40A53">
            <w:pPr>
              <w:pStyle w:val="Prrafodelista"/>
              <w:ind w:left="644"/>
              <w:rPr>
                <w:rFonts w:ascii="Century Gothic" w:hAnsi="Century Gothic" w:cstheme="minorHAnsi"/>
                <w:sz w:val="22"/>
                <w:szCs w:val="22"/>
              </w:rPr>
            </w:pPr>
          </w:p>
          <w:p w14:paraId="5F09F139" w14:textId="77777777" w:rsidR="00CC0CF3" w:rsidRPr="00C40A53" w:rsidRDefault="007A2D3E" w:rsidP="00CC0CF3">
            <w:pPr>
              <w:spacing w:after="200"/>
              <w:ind w:right="178"/>
              <w:rPr>
                <w:rFonts w:ascii="Century Gothic" w:hAnsi="Century Gothic" w:cstheme="minorHAnsi"/>
                <w:sz w:val="22"/>
                <w:szCs w:val="22"/>
              </w:rPr>
            </w:pPr>
            <w:r w:rsidRPr="00C40A53">
              <w:rPr>
                <w:rFonts w:ascii="Century Gothic" w:hAnsi="Century Gothic" w:cstheme="minorHAnsi"/>
                <w:sz w:val="22"/>
                <w:szCs w:val="22"/>
              </w:rPr>
              <w:t>Frente al llamado en garantía:</w:t>
            </w:r>
          </w:p>
          <w:p w14:paraId="4E2353FB" w14:textId="77777777" w:rsidR="00CC0CF3" w:rsidRPr="00C40A53" w:rsidRDefault="00CC0CF3" w:rsidP="00C40A53">
            <w:pPr>
              <w:pStyle w:val="Prrafodelista"/>
              <w:numPr>
                <w:ilvl w:val="3"/>
                <w:numId w:val="2"/>
              </w:numPr>
              <w:spacing w:after="200"/>
              <w:ind w:left="880" w:right="178" w:hanging="425"/>
              <w:rPr>
                <w:rFonts w:ascii="Century Gothic" w:hAnsi="Century Gothic" w:cstheme="minorHAnsi"/>
                <w:sz w:val="22"/>
                <w:szCs w:val="22"/>
              </w:rPr>
            </w:pPr>
            <w:r w:rsidRPr="00C40A53">
              <w:rPr>
                <w:rFonts w:ascii="Century Gothic" w:hAnsi="Century Gothic" w:cstheme="minorHAnsi"/>
                <w:sz w:val="22"/>
                <w:szCs w:val="22"/>
              </w:rPr>
              <w:t>NO EXISTE OBLIGACIÓN INDEMNIZATORIA A CARGO DE LA EQUIDAD SEGUROS OC, TODA VEZ QUE NO SE HA REALIZADO EL RIESGO ASEGURADO.</w:t>
            </w:r>
          </w:p>
          <w:p w14:paraId="542EF8CA" w14:textId="77777777" w:rsidR="00CC0CF3" w:rsidRPr="00C40A53" w:rsidRDefault="00CC0CF3" w:rsidP="00C40A53">
            <w:pPr>
              <w:pStyle w:val="Prrafodelista"/>
              <w:numPr>
                <w:ilvl w:val="3"/>
                <w:numId w:val="2"/>
              </w:numPr>
              <w:spacing w:after="200"/>
              <w:ind w:left="880" w:right="178" w:hanging="425"/>
              <w:rPr>
                <w:rFonts w:ascii="Century Gothic" w:hAnsi="Century Gothic" w:cstheme="minorHAnsi"/>
                <w:sz w:val="22"/>
                <w:szCs w:val="22"/>
              </w:rPr>
            </w:pPr>
            <w:r w:rsidRPr="00C40A53">
              <w:rPr>
                <w:rFonts w:ascii="Century Gothic" w:hAnsi="Century Gothic" w:cstheme="minorHAnsi"/>
                <w:sz w:val="22"/>
                <w:szCs w:val="22"/>
              </w:rPr>
              <w:t>RIESGOS EXPRESAMENTE EXCLUIDOS EN LA PÓLIZA DE RESPONSABILIDAD CIVIL PROFESIONAL CLÍNICAS Y HOSPITALES NO. AA198548</w:t>
            </w:r>
          </w:p>
          <w:p w14:paraId="0F3A7AC4" w14:textId="77777777" w:rsidR="00CC0CF3" w:rsidRPr="00C40A53" w:rsidRDefault="00CC0CF3" w:rsidP="00C40A53">
            <w:pPr>
              <w:pStyle w:val="Prrafodelista"/>
              <w:numPr>
                <w:ilvl w:val="3"/>
                <w:numId w:val="2"/>
              </w:numPr>
              <w:spacing w:after="200"/>
              <w:ind w:left="880" w:right="178" w:hanging="425"/>
              <w:rPr>
                <w:rFonts w:ascii="Century Gothic" w:hAnsi="Century Gothic" w:cstheme="minorHAnsi"/>
                <w:sz w:val="22"/>
                <w:szCs w:val="22"/>
              </w:rPr>
            </w:pPr>
            <w:r w:rsidRPr="00C40A53">
              <w:rPr>
                <w:rFonts w:ascii="Century Gothic" w:hAnsi="Century Gothic" w:cstheme="minorHAnsi"/>
                <w:sz w:val="22"/>
                <w:szCs w:val="22"/>
              </w:rPr>
              <w:t>CARÁCTER MERAMENTE INDEMNIZATORIO QUE REVISTEN LOS CONTRATOS DE SEGUROS.</w:t>
            </w:r>
          </w:p>
          <w:p w14:paraId="3E035C31" w14:textId="77777777" w:rsidR="00CC0CF3" w:rsidRPr="00C40A53" w:rsidRDefault="00CC0CF3" w:rsidP="00C40A53">
            <w:pPr>
              <w:pStyle w:val="Prrafodelista"/>
              <w:numPr>
                <w:ilvl w:val="3"/>
                <w:numId w:val="2"/>
              </w:numPr>
              <w:spacing w:after="200"/>
              <w:ind w:left="880" w:right="178" w:hanging="425"/>
              <w:rPr>
                <w:rFonts w:ascii="Century Gothic" w:hAnsi="Century Gothic" w:cstheme="minorHAnsi"/>
                <w:sz w:val="22"/>
                <w:szCs w:val="22"/>
              </w:rPr>
            </w:pPr>
            <w:r w:rsidRPr="00C40A53">
              <w:rPr>
                <w:rFonts w:ascii="Century Gothic" w:hAnsi="Century Gothic" w:cstheme="minorHAnsi"/>
                <w:sz w:val="22"/>
                <w:szCs w:val="22"/>
              </w:rPr>
              <w:t>EN CUALQUIER CASO, DE NINGUNA FORMA SE PODRÁ EXCEDER EL LÍMITE DEL VALOR ASEGURADO POR EVENTO</w:t>
            </w:r>
          </w:p>
          <w:p w14:paraId="3C88127E" w14:textId="77777777" w:rsidR="00C40A53" w:rsidRPr="00C40A53" w:rsidRDefault="00CC0CF3" w:rsidP="00C40A53">
            <w:pPr>
              <w:pStyle w:val="Prrafodelista"/>
              <w:numPr>
                <w:ilvl w:val="3"/>
                <w:numId w:val="2"/>
              </w:numPr>
              <w:spacing w:after="200"/>
              <w:ind w:left="880" w:right="178" w:hanging="425"/>
              <w:rPr>
                <w:rFonts w:ascii="Century Gothic" w:hAnsi="Century Gothic" w:cstheme="minorHAnsi"/>
                <w:sz w:val="22"/>
                <w:szCs w:val="22"/>
              </w:rPr>
            </w:pPr>
            <w:r w:rsidRPr="00C40A53">
              <w:rPr>
                <w:rFonts w:ascii="Century Gothic" w:hAnsi="Century Gothic" w:cstheme="minorHAnsi"/>
                <w:sz w:val="22"/>
                <w:szCs w:val="22"/>
              </w:rPr>
              <w:t>LÍMITES MÁXIMOS DE RESPONSABILIDAD DEL ASEGURADOR EN LO ATINENTE AL DEDUCIBLE PACTADO 12.5% DE LA PERDIDA MINIMO $95.700.000.</w:t>
            </w:r>
          </w:p>
          <w:p w14:paraId="6976645B" w14:textId="77777777" w:rsidR="00C40A53" w:rsidRPr="00C40A53" w:rsidRDefault="00C40A53" w:rsidP="00C40A53">
            <w:pPr>
              <w:pStyle w:val="Prrafodelista"/>
              <w:numPr>
                <w:ilvl w:val="3"/>
                <w:numId w:val="2"/>
              </w:numPr>
              <w:spacing w:after="200"/>
              <w:ind w:left="880" w:right="178" w:hanging="425"/>
              <w:rPr>
                <w:rFonts w:ascii="Century Gothic" w:hAnsi="Century Gothic" w:cstheme="minorHAnsi"/>
                <w:sz w:val="22"/>
                <w:szCs w:val="22"/>
              </w:rPr>
            </w:pPr>
            <w:r w:rsidRPr="00C40A53">
              <w:rPr>
                <w:rFonts w:ascii="Century Gothic" w:hAnsi="Century Gothic" w:cstheme="minorHAnsi"/>
                <w:sz w:val="22"/>
                <w:szCs w:val="22"/>
              </w:rPr>
              <w:lastRenderedPageBreak/>
              <w:t>SUJECIÓN A LAS CONDICIONES PARTICULARES Y GENERALES DEL CONTRATO DE SEGURO, EN LA QUE SE IDENTIFICA LA PÓLIZA AA198548., EL CLAUSULADO Y LOS AMPAROS</w:t>
            </w:r>
          </w:p>
          <w:p w14:paraId="585E4CA3" w14:textId="77777777" w:rsidR="00C40A53" w:rsidRPr="00C40A53" w:rsidRDefault="00C40A53" w:rsidP="00C40A53">
            <w:pPr>
              <w:pStyle w:val="Prrafodelista"/>
              <w:numPr>
                <w:ilvl w:val="3"/>
                <w:numId w:val="2"/>
              </w:numPr>
              <w:spacing w:after="200"/>
              <w:ind w:left="880" w:right="178" w:hanging="425"/>
              <w:rPr>
                <w:rFonts w:ascii="Century Gothic" w:hAnsi="Century Gothic" w:cstheme="minorHAnsi"/>
                <w:sz w:val="22"/>
                <w:szCs w:val="22"/>
              </w:rPr>
            </w:pPr>
            <w:r w:rsidRPr="00C40A53">
              <w:rPr>
                <w:rFonts w:ascii="Century Gothic" w:hAnsi="Century Gothic" w:cstheme="minorHAnsi"/>
                <w:sz w:val="22"/>
                <w:szCs w:val="22"/>
              </w:rPr>
              <w:t>DISPONIBILIDAD DEL VALOR ASEGURADO.</w:t>
            </w:r>
          </w:p>
          <w:p w14:paraId="580429D7" w14:textId="5DF34300" w:rsidR="00C40A53" w:rsidRPr="00C40A53" w:rsidRDefault="00C40A53" w:rsidP="00C40A53">
            <w:pPr>
              <w:pStyle w:val="Prrafodelista"/>
              <w:numPr>
                <w:ilvl w:val="3"/>
                <w:numId w:val="2"/>
              </w:numPr>
              <w:spacing w:after="200"/>
              <w:ind w:left="880" w:right="178" w:hanging="425"/>
              <w:rPr>
                <w:rFonts w:ascii="Century Gothic" w:hAnsi="Century Gothic" w:cstheme="minorHAnsi"/>
                <w:sz w:val="22"/>
                <w:szCs w:val="22"/>
              </w:rPr>
            </w:pPr>
            <w:r w:rsidRPr="00C40A53">
              <w:rPr>
                <w:rFonts w:ascii="Century Gothic" w:hAnsi="Century Gothic" w:cstheme="minorHAnsi"/>
                <w:sz w:val="22"/>
                <w:szCs w:val="22"/>
              </w:rPr>
              <w:t>GENÉRICA O INNOMINADA</w:t>
            </w:r>
          </w:p>
          <w:p w14:paraId="1A657B72" w14:textId="268AF93B" w:rsidR="00C40A53" w:rsidRPr="00C40A53" w:rsidRDefault="00C40A53" w:rsidP="00C40A53">
            <w:pPr>
              <w:pStyle w:val="Prrafodelista"/>
              <w:spacing w:after="200"/>
              <w:ind w:left="2804" w:right="178"/>
              <w:rPr>
                <w:rFonts w:ascii="Century Gothic" w:hAnsi="Century Gothic"/>
                <w:sz w:val="22"/>
                <w:szCs w:val="22"/>
              </w:rPr>
            </w:pPr>
          </w:p>
        </w:tc>
      </w:tr>
    </w:tbl>
    <w:p w14:paraId="4AE55ABC" w14:textId="77777777" w:rsidR="00BC14B6" w:rsidRPr="008A065A" w:rsidRDefault="00BC14B6" w:rsidP="00BC14B6">
      <w:pPr>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A065A" w:rsidRPr="008A065A" w14:paraId="234ADA6C" w14:textId="77777777" w:rsidTr="00210131">
        <w:trPr>
          <w:trHeight w:val="454"/>
        </w:trPr>
        <w:tc>
          <w:tcPr>
            <w:tcW w:w="3266" w:type="dxa"/>
            <w:vAlign w:val="center"/>
            <w:hideMark/>
          </w:tcPr>
          <w:p w14:paraId="5BD6AB9F" w14:textId="77777777" w:rsidR="00BC14B6" w:rsidRPr="008A065A" w:rsidRDefault="00BC14B6" w:rsidP="00210131">
            <w:pPr>
              <w:jc w:val="both"/>
              <w:textAlignment w:val="baseline"/>
              <w:rPr>
                <w:rFonts w:ascii="Century Gothic" w:hAnsi="Century Gothic" w:cs="Segoe UI"/>
                <w:sz w:val="22"/>
                <w:szCs w:val="22"/>
                <w:lang w:eastAsia="es-CO"/>
              </w:rPr>
            </w:pPr>
            <w:r w:rsidRPr="008A065A">
              <w:rPr>
                <w:rFonts w:ascii="Century Gothic" w:hAnsi="Century Gothic"/>
                <w:sz w:val="22"/>
                <w:szCs w:val="22"/>
                <w:shd w:val="clear" w:color="auto" w:fill="FFFFFF"/>
                <w:lang w:eastAsia="es-CO"/>
              </w:rPr>
              <w:t>Siniestro</w:t>
            </w:r>
          </w:p>
        </w:tc>
        <w:tc>
          <w:tcPr>
            <w:tcW w:w="6941" w:type="dxa"/>
            <w:vAlign w:val="center"/>
            <w:hideMark/>
          </w:tcPr>
          <w:p w14:paraId="188AE39E" w14:textId="16914033" w:rsidR="00BC14B6" w:rsidRPr="008A065A" w:rsidRDefault="00C40A53" w:rsidP="003E43F1">
            <w:pPr>
              <w:jc w:val="both"/>
              <w:rPr>
                <w:rFonts w:ascii="Century Gothic" w:hAnsi="Century Gothic" w:cs="Segoe UI"/>
                <w:sz w:val="22"/>
                <w:szCs w:val="22"/>
                <w:lang w:eastAsia="es-CO"/>
              </w:rPr>
            </w:pPr>
            <w:r>
              <w:rPr>
                <w:rFonts w:ascii="Century Gothic" w:hAnsi="Century Gothic" w:cs="Segoe UI"/>
                <w:sz w:val="22"/>
                <w:szCs w:val="22"/>
                <w:lang w:eastAsia="es-CO"/>
              </w:rPr>
              <w:t>10310432</w:t>
            </w:r>
          </w:p>
        </w:tc>
      </w:tr>
      <w:tr w:rsidR="008A065A" w:rsidRPr="008A065A" w14:paraId="5D0D19DE" w14:textId="77777777" w:rsidTr="00210131">
        <w:trPr>
          <w:trHeight w:val="454"/>
        </w:trPr>
        <w:tc>
          <w:tcPr>
            <w:tcW w:w="3266" w:type="dxa"/>
            <w:vAlign w:val="center"/>
          </w:tcPr>
          <w:p w14:paraId="09AA39A7" w14:textId="77777777" w:rsidR="00BC14B6" w:rsidRPr="008A065A" w:rsidRDefault="00BC14B6" w:rsidP="00210131">
            <w:pPr>
              <w:jc w:val="both"/>
              <w:textAlignment w:val="baseline"/>
              <w:rPr>
                <w:rFonts w:ascii="Century Gothic" w:hAnsi="Century Gothic"/>
                <w:sz w:val="22"/>
                <w:szCs w:val="22"/>
                <w:shd w:val="clear" w:color="auto" w:fill="FFFFFF"/>
                <w:lang w:val="es-ES" w:eastAsia="es-CO"/>
              </w:rPr>
            </w:pPr>
            <w:r w:rsidRPr="008A065A">
              <w:rPr>
                <w:rFonts w:ascii="Century Gothic" w:hAnsi="Century Gothic"/>
                <w:sz w:val="22"/>
                <w:szCs w:val="22"/>
                <w:shd w:val="clear" w:color="auto" w:fill="FFFFFF"/>
                <w:lang w:val="es-ES" w:eastAsia="es-CO"/>
              </w:rPr>
              <w:t xml:space="preserve">Caso </w:t>
            </w:r>
            <w:proofErr w:type="spellStart"/>
            <w:r w:rsidRPr="008A065A">
              <w:rPr>
                <w:rFonts w:ascii="Century Gothic" w:hAnsi="Century Gothic"/>
                <w:sz w:val="22"/>
                <w:szCs w:val="22"/>
                <w:shd w:val="clear" w:color="auto" w:fill="FFFFFF"/>
                <w:lang w:val="es-ES" w:eastAsia="es-CO"/>
              </w:rPr>
              <w:t>Onbase</w:t>
            </w:r>
            <w:proofErr w:type="spellEnd"/>
          </w:p>
        </w:tc>
        <w:tc>
          <w:tcPr>
            <w:tcW w:w="6941" w:type="dxa"/>
            <w:vAlign w:val="center"/>
          </w:tcPr>
          <w:p w14:paraId="62727C08" w14:textId="1FC1489D" w:rsidR="00BC14B6" w:rsidRPr="008A065A" w:rsidRDefault="00C40A53" w:rsidP="00210131">
            <w:pPr>
              <w:jc w:val="both"/>
              <w:rPr>
                <w:rFonts w:ascii="Century Gothic" w:hAnsi="Century Gothic" w:cs="Segoe UI"/>
                <w:sz w:val="22"/>
                <w:szCs w:val="22"/>
                <w:lang w:eastAsia="es-CO"/>
              </w:rPr>
            </w:pPr>
            <w:r>
              <w:rPr>
                <w:rFonts w:ascii="Century Gothic" w:hAnsi="Century Gothic" w:cs="Segoe UI"/>
                <w:sz w:val="22"/>
                <w:szCs w:val="22"/>
                <w:lang w:eastAsia="es-CO"/>
              </w:rPr>
              <w:t>215860</w:t>
            </w:r>
          </w:p>
        </w:tc>
      </w:tr>
      <w:tr w:rsidR="008A065A" w:rsidRPr="008A065A" w14:paraId="6DA9A25F" w14:textId="77777777" w:rsidTr="00210131">
        <w:trPr>
          <w:trHeight w:val="454"/>
        </w:trPr>
        <w:tc>
          <w:tcPr>
            <w:tcW w:w="3266" w:type="dxa"/>
            <w:vAlign w:val="center"/>
            <w:hideMark/>
          </w:tcPr>
          <w:p w14:paraId="5AA6471E" w14:textId="77777777" w:rsidR="00BC14B6" w:rsidRPr="008A065A" w:rsidRDefault="00BC14B6" w:rsidP="00210131">
            <w:pPr>
              <w:jc w:val="both"/>
              <w:textAlignment w:val="baseline"/>
              <w:rPr>
                <w:rFonts w:ascii="Century Gothic" w:hAnsi="Century Gothic" w:cs="Segoe UI"/>
                <w:sz w:val="22"/>
                <w:szCs w:val="22"/>
                <w:lang w:eastAsia="es-CO"/>
              </w:rPr>
            </w:pPr>
            <w:r w:rsidRPr="008A065A">
              <w:rPr>
                <w:rFonts w:ascii="Century Gothic" w:hAnsi="Century Gothic"/>
                <w:sz w:val="22"/>
                <w:szCs w:val="22"/>
                <w:shd w:val="clear" w:color="auto" w:fill="FFFFFF"/>
                <w:lang w:eastAsia="es-CO"/>
              </w:rPr>
              <w:t>Póliza</w:t>
            </w:r>
          </w:p>
        </w:tc>
        <w:tc>
          <w:tcPr>
            <w:tcW w:w="6941" w:type="dxa"/>
            <w:vAlign w:val="center"/>
          </w:tcPr>
          <w:p w14:paraId="1C4B9EEE" w14:textId="77777777" w:rsidR="000E6CD3" w:rsidRPr="000E6CD3" w:rsidRDefault="000E6CD3" w:rsidP="000E6CD3">
            <w:pPr>
              <w:jc w:val="both"/>
              <w:rPr>
                <w:rFonts w:ascii="Century Gothic" w:hAnsi="Century Gothic" w:cs="Segoe UI"/>
                <w:sz w:val="22"/>
                <w:szCs w:val="22"/>
                <w:lang w:val="es-CO" w:eastAsia="es-CO"/>
              </w:rPr>
            </w:pPr>
            <w:r w:rsidRPr="000E6CD3">
              <w:rPr>
                <w:rFonts w:ascii="Century Gothic" w:hAnsi="Century Gothic" w:cs="Segoe UI"/>
                <w:sz w:val="22"/>
                <w:szCs w:val="22"/>
                <w:lang w:val="es-CO" w:eastAsia="es-CO"/>
              </w:rPr>
              <w:tab/>
            </w:r>
          </w:p>
          <w:p w14:paraId="38033233" w14:textId="1C1CD6BF" w:rsidR="00BC14B6" w:rsidRPr="008A065A" w:rsidRDefault="000E6CD3" w:rsidP="000E6CD3">
            <w:pPr>
              <w:jc w:val="both"/>
              <w:rPr>
                <w:rFonts w:ascii="Century Gothic" w:hAnsi="Century Gothic" w:cs="Segoe UI"/>
                <w:sz w:val="22"/>
                <w:szCs w:val="22"/>
                <w:lang w:val="es-CO" w:eastAsia="es-CO"/>
              </w:rPr>
            </w:pPr>
            <w:r w:rsidRPr="000E6CD3">
              <w:rPr>
                <w:rFonts w:ascii="Century Gothic" w:hAnsi="Century Gothic" w:cs="Segoe UI"/>
                <w:sz w:val="22"/>
                <w:szCs w:val="22"/>
                <w:lang w:val="es-CO" w:eastAsia="es-CO"/>
              </w:rPr>
              <w:t>AA198548</w:t>
            </w:r>
          </w:p>
        </w:tc>
      </w:tr>
      <w:tr w:rsidR="008A065A" w:rsidRPr="008A065A" w14:paraId="2BADA4F5" w14:textId="77777777" w:rsidTr="00210131">
        <w:trPr>
          <w:trHeight w:val="454"/>
        </w:trPr>
        <w:tc>
          <w:tcPr>
            <w:tcW w:w="3266" w:type="dxa"/>
            <w:vAlign w:val="center"/>
            <w:hideMark/>
          </w:tcPr>
          <w:p w14:paraId="1FC6FA2B" w14:textId="77777777" w:rsidR="00BC14B6" w:rsidRPr="008A065A" w:rsidRDefault="00BC14B6" w:rsidP="00210131">
            <w:pPr>
              <w:jc w:val="both"/>
              <w:textAlignment w:val="baseline"/>
              <w:rPr>
                <w:rFonts w:ascii="Century Gothic" w:hAnsi="Century Gothic" w:cs="Segoe UI"/>
                <w:sz w:val="22"/>
                <w:szCs w:val="22"/>
                <w:lang w:eastAsia="es-CO"/>
              </w:rPr>
            </w:pPr>
            <w:r w:rsidRPr="008A065A">
              <w:rPr>
                <w:rFonts w:ascii="Century Gothic" w:hAnsi="Century Gothic"/>
                <w:sz w:val="22"/>
                <w:szCs w:val="22"/>
                <w:shd w:val="clear" w:color="auto" w:fill="FFFFFF"/>
                <w:lang w:eastAsia="es-CO"/>
              </w:rPr>
              <w:t>Certificado</w:t>
            </w:r>
          </w:p>
        </w:tc>
        <w:tc>
          <w:tcPr>
            <w:tcW w:w="6941" w:type="dxa"/>
            <w:vAlign w:val="center"/>
          </w:tcPr>
          <w:p w14:paraId="2F780D94" w14:textId="768CE99F" w:rsidR="00BC14B6" w:rsidRPr="008A065A" w:rsidRDefault="0033441D" w:rsidP="00210131">
            <w:pPr>
              <w:jc w:val="both"/>
              <w:rPr>
                <w:rFonts w:ascii="Century Gothic" w:hAnsi="Century Gothic" w:cs="Segoe UI"/>
                <w:sz w:val="22"/>
                <w:szCs w:val="22"/>
                <w:lang w:eastAsia="es-CO"/>
              </w:rPr>
            </w:pPr>
            <w:r>
              <w:rPr>
                <w:rFonts w:ascii="Century Gothic" w:hAnsi="Century Gothic" w:cs="Segoe UI"/>
                <w:sz w:val="22"/>
                <w:szCs w:val="22"/>
                <w:lang w:eastAsia="es-CO"/>
              </w:rPr>
              <w:t>AB114444</w:t>
            </w:r>
          </w:p>
        </w:tc>
      </w:tr>
      <w:tr w:rsidR="008A065A" w:rsidRPr="008A065A" w14:paraId="31CC7BCF" w14:textId="77777777" w:rsidTr="00210131">
        <w:trPr>
          <w:trHeight w:val="454"/>
        </w:trPr>
        <w:tc>
          <w:tcPr>
            <w:tcW w:w="3266" w:type="dxa"/>
            <w:vAlign w:val="center"/>
            <w:hideMark/>
          </w:tcPr>
          <w:p w14:paraId="3F9E1BB4" w14:textId="77777777" w:rsidR="00BC14B6" w:rsidRPr="008A065A" w:rsidRDefault="00BC14B6" w:rsidP="00210131">
            <w:pPr>
              <w:jc w:val="both"/>
              <w:textAlignment w:val="baseline"/>
              <w:rPr>
                <w:rFonts w:ascii="Century Gothic" w:hAnsi="Century Gothic" w:cs="Segoe UI"/>
                <w:sz w:val="22"/>
                <w:szCs w:val="22"/>
                <w:lang w:eastAsia="es-CO"/>
              </w:rPr>
            </w:pPr>
            <w:r w:rsidRPr="008A065A">
              <w:rPr>
                <w:rFonts w:ascii="Century Gothic" w:hAnsi="Century Gothic"/>
                <w:sz w:val="22"/>
                <w:szCs w:val="22"/>
                <w:shd w:val="clear" w:color="auto" w:fill="FFFFFF"/>
                <w:lang w:eastAsia="es-CO"/>
              </w:rPr>
              <w:t>Orden</w:t>
            </w:r>
          </w:p>
        </w:tc>
        <w:tc>
          <w:tcPr>
            <w:tcW w:w="6941" w:type="dxa"/>
            <w:vAlign w:val="center"/>
          </w:tcPr>
          <w:p w14:paraId="2F9993EB" w14:textId="4BB23BD6" w:rsidR="00BC14B6" w:rsidRPr="008A065A" w:rsidRDefault="00BC14B6" w:rsidP="00210131">
            <w:pPr>
              <w:jc w:val="both"/>
              <w:rPr>
                <w:rFonts w:ascii="Century Gothic" w:hAnsi="Century Gothic" w:cs="Segoe UI"/>
                <w:sz w:val="22"/>
                <w:szCs w:val="22"/>
                <w:lang w:eastAsia="es-CO"/>
              </w:rPr>
            </w:pPr>
            <w:r w:rsidRPr="008A065A">
              <w:rPr>
                <w:rFonts w:ascii="Century Gothic" w:hAnsi="Century Gothic" w:cs="Segoe UI"/>
                <w:sz w:val="22"/>
                <w:szCs w:val="22"/>
                <w:lang w:eastAsia="es-CO"/>
              </w:rPr>
              <w:t>1</w:t>
            </w:r>
          </w:p>
        </w:tc>
      </w:tr>
      <w:tr w:rsidR="008A065A" w:rsidRPr="008A065A" w14:paraId="47E6CE63" w14:textId="77777777" w:rsidTr="00210131">
        <w:trPr>
          <w:trHeight w:val="454"/>
        </w:trPr>
        <w:tc>
          <w:tcPr>
            <w:tcW w:w="3266" w:type="dxa"/>
            <w:vAlign w:val="center"/>
          </w:tcPr>
          <w:p w14:paraId="0CB67B16" w14:textId="77777777" w:rsidR="00BC14B6" w:rsidRPr="008A065A" w:rsidRDefault="00BC14B6" w:rsidP="00210131">
            <w:pPr>
              <w:jc w:val="both"/>
              <w:textAlignment w:val="baseline"/>
              <w:rPr>
                <w:rFonts w:ascii="Century Gothic" w:hAnsi="Century Gothic"/>
                <w:sz w:val="22"/>
                <w:szCs w:val="22"/>
                <w:shd w:val="clear" w:color="auto" w:fill="FFFFFF"/>
                <w:lang w:eastAsia="es-CO"/>
              </w:rPr>
            </w:pPr>
            <w:r w:rsidRPr="008A065A">
              <w:rPr>
                <w:rFonts w:ascii="Century Gothic" w:hAnsi="Century Gothic"/>
                <w:sz w:val="22"/>
                <w:szCs w:val="22"/>
                <w:shd w:val="clear" w:color="auto" w:fill="FFFFFF"/>
                <w:lang w:eastAsia="es-CO"/>
              </w:rPr>
              <w:t>Sucursal</w:t>
            </w:r>
          </w:p>
        </w:tc>
        <w:tc>
          <w:tcPr>
            <w:tcW w:w="6941" w:type="dxa"/>
            <w:vAlign w:val="center"/>
          </w:tcPr>
          <w:p w14:paraId="4F9CA806" w14:textId="039C2ED7" w:rsidR="00BC14B6" w:rsidRPr="008A065A" w:rsidRDefault="00A02F97" w:rsidP="00210131">
            <w:pPr>
              <w:jc w:val="both"/>
              <w:rPr>
                <w:rFonts w:ascii="Century Gothic" w:hAnsi="Century Gothic" w:cs="Segoe UI"/>
                <w:sz w:val="22"/>
                <w:szCs w:val="22"/>
                <w:lang w:eastAsia="es-CO"/>
              </w:rPr>
            </w:pPr>
            <w:r w:rsidRPr="008A065A">
              <w:rPr>
                <w:rFonts w:ascii="Century Gothic" w:hAnsi="Century Gothic" w:cs="Segoe UI"/>
                <w:sz w:val="22"/>
                <w:szCs w:val="22"/>
                <w:lang w:eastAsia="es-CO"/>
              </w:rPr>
              <w:t>1</w:t>
            </w:r>
          </w:p>
        </w:tc>
      </w:tr>
      <w:tr w:rsidR="008A065A" w:rsidRPr="008A065A" w14:paraId="3A68AD15" w14:textId="77777777" w:rsidTr="00210131">
        <w:trPr>
          <w:trHeight w:val="454"/>
        </w:trPr>
        <w:tc>
          <w:tcPr>
            <w:tcW w:w="3266" w:type="dxa"/>
            <w:vAlign w:val="center"/>
            <w:hideMark/>
          </w:tcPr>
          <w:p w14:paraId="7C888E7E" w14:textId="77777777" w:rsidR="00BC14B6" w:rsidRPr="008A065A" w:rsidRDefault="00BC14B6" w:rsidP="00210131">
            <w:pPr>
              <w:jc w:val="both"/>
              <w:textAlignment w:val="baseline"/>
              <w:rPr>
                <w:rFonts w:ascii="Century Gothic" w:hAnsi="Century Gothic" w:cs="Segoe UI"/>
                <w:sz w:val="22"/>
                <w:szCs w:val="22"/>
                <w:lang w:eastAsia="es-CO"/>
              </w:rPr>
            </w:pPr>
            <w:r w:rsidRPr="008A065A">
              <w:rPr>
                <w:rFonts w:ascii="Century Gothic" w:hAnsi="Century Gothic"/>
                <w:sz w:val="22"/>
                <w:szCs w:val="22"/>
                <w:shd w:val="clear" w:color="auto" w:fill="FFFFFF"/>
                <w:lang w:eastAsia="es-CO"/>
              </w:rPr>
              <w:t>Placa del vehículo</w:t>
            </w:r>
          </w:p>
        </w:tc>
        <w:tc>
          <w:tcPr>
            <w:tcW w:w="6941" w:type="dxa"/>
            <w:vAlign w:val="center"/>
          </w:tcPr>
          <w:p w14:paraId="1DCF7282" w14:textId="3E2EE807" w:rsidR="00BC14B6" w:rsidRPr="008A065A" w:rsidRDefault="006F538E" w:rsidP="00210131">
            <w:pPr>
              <w:jc w:val="both"/>
              <w:rPr>
                <w:rFonts w:ascii="Century Gothic" w:hAnsi="Century Gothic" w:cs="Segoe UI"/>
                <w:sz w:val="22"/>
                <w:szCs w:val="22"/>
                <w:lang w:eastAsia="es-CO"/>
              </w:rPr>
            </w:pPr>
            <w:r w:rsidRPr="008A065A">
              <w:rPr>
                <w:rFonts w:ascii="Century Gothic" w:hAnsi="Century Gothic" w:cs="Segoe UI"/>
                <w:sz w:val="22"/>
                <w:szCs w:val="22"/>
                <w:lang w:eastAsia="es-CO"/>
              </w:rPr>
              <w:t>N/A</w:t>
            </w:r>
          </w:p>
        </w:tc>
      </w:tr>
      <w:tr w:rsidR="008A065A" w:rsidRPr="008A065A" w14:paraId="7EF60E44" w14:textId="77777777" w:rsidTr="00210131">
        <w:trPr>
          <w:trHeight w:val="454"/>
        </w:trPr>
        <w:tc>
          <w:tcPr>
            <w:tcW w:w="3266" w:type="dxa"/>
            <w:vAlign w:val="center"/>
          </w:tcPr>
          <w:p w14:paraId="5CC4DFE2" w14:textId="77777777" w:rsidR="00BC14B6" w:rsidRPr="008A065A" w:rsidRDefault="00BC14B6" w:rsidP="00210131">
            <w:pPr>
              <w:jc w:val="both"/>
              <w:textAlignment w:val="baseline"/>
              <w:rPr>
                <w:rFonts w:ascii="Century Gothic" w:hAnsi="Century Gothic"/>
                <w:sz w:val="22"/>
                <w:szCs w:val="22"/>
                <w:shd w:val="clear" w:color="auto" w:fill="FFFFFF"/>
                <w:lang w:eastAsia="es-CO"/>
              </w:rPr>
            </w:pPr>
            <w:r w:rsidRPr="008A065A">
              <w:rPr>
                <w:rFonts w:ascii="Century Gothic" w:hAnsi="Century Gothic"/>
                <w:sz w:val="22"/>
                <w:szCs w:val="22"/>
                <w:shd w:val="clear" w:color="auto" w:fill="FFFFFF"/>
                <w:lang w:eastAsia="es-CO"/>
              </w:rPr>
              <w:t>Fecha del siniestro</w:t>
            </w:r>
          </w:p>
        </w:tc>
        <w:tc>
          <w:tcPr>
            <w:tcW w:w="6941" w:type="dxa"/>
            <w:vAlign w:val="center"/>
          </w:tcPr>
          <w:p w14:paraId="07CDD877" w14:textId="776FE728" w:rsidR="00BC14B6" w:rsidRPr="008A065A" w:rsidRDefault="00C40A53" w:rsidP="00210131">
            <w:pPr>
              <w:jc w:val="both"/>
              <w:rPr>
                <w:rFonts w:ascii="Century Gothic" w:hAnsi="Century Gothic" w:cs="Segoe UI"/>
                <w:sz w:val="22"/>
                <w:szCs w:val="22"/>
                <w:lang w:eastAsia="es-CO"/>
              </w:rPr>
            </w:pPr>
            <w:r>
              <w:rPr>
                <w:rFonts w:ascii="Century Gothic" w:hAnsi="Century Gothic" w:cs="Segoe UI"/>
                <w:sz w:val="22"/>
                <w:szCs w:val="22"/>
                <w:lang w:eastAsia="es-CO"/>
              </w:rPr>
              <w:t>2</w:t>
            </w:r>
            <w:r w:rsidR="00B53D33" w:rsidRPr="008A065A">
              <w:rPr>
                <w:rFonts w:ascii="Century Gothic" w:hAnsi="Century Gothic" w:cs="Segoe UI"/>
                <w:sz w:val="22"/>
                <w:szCs w:val="22"/>
                <w:lang w:eastAsia="es-CO"/>
              </w:rPr>
              <w:t>1</w:t>
            </w:r>
            <w:r w:rsidR="00BC14B6" w:rsidRPr="008A065A">
              <w:rPr>
                <w:rFonts w:ascii="Century Gothic" w:hAnsi="Century Gothic" w:cs="Segoe UI"/>
                <w:sz w:val="22"/>
                <w:szCs w:val="22"/>
                <w:lang w:eastAsia="es-CO"/>
              </w:rPr>
              <w:t>/</w:t>
            </w:r>
            <w:r>
              <w:rPr>
                <w:rFonts w:ascii="Century Gothic" w:hAnsi="Century Gothic" w:cs="Segoe UI"/>
                <w:sz w:val="22"/>
                <w:szCs w:val="22"/>
                <w:lang w:eastAsia="es-CO"/>
              </w:rPr>
              <w:t>10/</w:t>
            </w:r>
            <w:r w:rsidR="00BC14B6" w:rsidRPr="008A065A">
              <w:rPr>
                <w:rFonts w:ascii="Century Gothic" w:hAnsi="Century Gothic" w:cs="Segoe UI"/>
                <w:sz w:val="22"/>
                <w:szCs w:val="22"/>
                <w:lang w:eastAsia="es-CO"/>
              </w:rPr>
              <w:t>20</w:t>
            </w:r>
            <w:r w:rsidR="00B53D33" w:rsidRPr="008A065A">
              <w:rPr>
                <w:rFonts w:ascii="Century Gothic" w:hAnsi="Century Gothic" w:cs="Segoe UI"/>
                <w:sz w:val="22"/>
                <w:szCs w:val="22"/>
                <w:lang w:eastAsia="es-CO"/>
              </w:rPr>
              <w:t>2</w:t>
            </w:r>
            <w:r>
              <w:rPr>
                <w:rFonts w:ascii="Century Gothic" w:hAnsi="Century Gothic" w:cs="Segoe UI"/>
                <w:sz w:val="22"/>
                <w:szCs w:val="22"/>
                <w:lang w:eastAsia="es-CO"/>
              </w:rPr>
              <w:t>4</w:t>
            </w:r>
          </w:p>
        </w:tc>
      </w:tr>
      <w:tr w:rsidR="008A065A" w:rsidRPr="008A065A" w14:paraId="67AF3BB4" w14:textId="77777777" w:rsidTr="00210131">
        <w:trPr>
          <w:trHeight w:val="454"/>
        </w:trPr>
        <w:tc>
          <w:tcPr>
            <w:tcW w:w="3266" w:type="dxa"/>
            <w:vAlign w:val="center"/>
          </w:tcPr>
          <w:p w14:paraId="408E3A05" w14:textId="77777777" w:rsidR="00BC14B6" w:rsidRPr="008A065A" w:rsidRDefault="00BC14B6" w:rsidP="00210131">
            <w:pPr>
              <w:jc w:val="both"/>
              <w:textAlignment w:val="baseline"/>
              <w:rPr>
                <w:rFonts w:ascii="Century Gothic" w:hAnsi="Century Gothic"/>
                <w:sz w:val="22"/>
                <w:szCs w:val="22"/>
                <w:shd w:val="clear" w:color="auto" w:fill="FFFFFF"/>
                <w:lang w:eastAsia="es-CO"/>
              </w:rPr>
            </w:pPr>
            <w:r w:rsidRPr="008A065A">
              <w:rPr>
                <w:rFonts w:ascii="Century Gothic" w:hAnsi="Century Gothic"/>
                <w:sz w:val="22"/>
                <w:szCs w:val="22"/>
                <w:shd w:val="clear" w:color="auto" w:fill="FFFFFF"/>
                <w:lang w:eastAsia="es-CO"/>
              </w:rPr>
              <w:t>Fecha del aviso</w:t>
            </w:r>
          </w:p>
        </w:tc>
        <w:tc>
          <w:tcPr>
            <w:tcW w:w="6941" w:type="dxa"/>
            <w:vAlign w:val="center"/>
          </w:tcPr>
          <w:p w14:paraId="2B549A46" w14:textId="3A0CF260" w:rsidR="00BC14B6" w:rsidRPr="008A065A" w:rsidRDefault="0033441D" w:rsidP="00210131">
            <w:pPr>
              <w:jc w:val="both"/>
              <w:rPr>
                <w:rFonts w:ascii="Century Gothic" w:hAnsi="Century Gothic" w:cs="Segoe UI"/>
                <w:sz w:val="22"/>
                <w:szCs w:val="22"/>
                <w:lang w:eastAsia="es-CO"/>
              </w:rPr>
            </w:pPr>
            <w:r>
              <w:rPr>
                <w:rFonts w:ascii="Century Gothic" w:hAnsi="Century Gothic" w:cs="Segoe UI"/>
                <w:sz w:val="22"/>
                <w:szCs w:val="22"/>
                <w:lang w:eastAsia="es-CO"/>
              </w:rPr>
              <w:t>4</w:t>
            </w:r>
            <w:r w:rsidR="00C40A53">
              <w:rPr>
                <w:rFonts w:ascii="Century Gothic" w:hAnsi="Century Gothic" w:cs="Segoe UI"/>
                <w:sz w:val="22"/>
                <w:szCs w:val="22"/>
                <w:lang w:eastAsia="es-CO"/>
              </w:rPr>
              <w:t>/1</w:t>
            </w:r>
            <w:r>
              <w:rPr>
                <w:rFonts w:ascii="Century Gothic" w:hAnsi="Century Gothic" w:cs="Segoe UI"/>
                <w:sz w:val="22"/>
                <w:szCs w:val="22"/>
                <w:lang w:eastAsia="es-CO"/>
              </w:rPr>
              <w:t>1</w:t>
            </w:r>
            <w:r w:rsidR="00C40A53">
              <w:rPr>
                <w:rFonts w:ascii="Century Gothic" w:hAnsi="Century Gothic" w:cs="Segoe UI"/>
                <w:sz w:val="22"/>
                <w:szCs w:val="22"/>
                <w:lang w:eastAsia="es-CO"/>
              </w:rPr>
              <w:t>/2024</w:t>
            </w:r>
          </w:p>
        </w:tc>
      </w:tr>
      <w:tr w:rsidR="008A065A" w:rsidRPr="008A065A" w14:paraId="18C1DD40" w14:textId="77777777" w:rsidTr="00210131">
        <w:trPr>
          <w:trHeight w:val="454"/>
        </w:trPr>
        <w:tc>
          <w:tcPr>
            <w:tcW w:w="3266" w:type="dxa"/>
            <w:vAlign w:val="center"/>
          </w:tcPr>
          <w:p w14:paraId="48926525" w14:textId="77777777" w:rsidR="00BC14B6" w:rsidRPr="008A065A" w:rsidRDefault="00BC14B6" w:rsidP="00210131">
            <w:pPr>
              <w:jc w:val="both"/>
              <w:textAlignment w:val="baseline"/>
              <w:rPr>
                <w:rFonts w:ascii="Century Gothic" w:hAnsi="Century Gothic"/>
                <w:sz w:val="22"/>
                <w:szCs w:val="22"/>
                <w:shd w:val="clear" w:color="auto" w:fill="FFFFFF"/>
                <w:lang w:eastAsia="es-CO"/>
              </w:rPr>
            </w:pPr>
            <w:r w:rsidRPr="008A065A">
              <w:rPr>
                <w:rFonts w:ascii="Century Gothic" w:hAnsi="Century Gothic"/>
                <w:sz w:val="22"/>
                <w:szCs w:val="22"/>
                <w:shd w:val="clear" w:color="auto" w:fill="FFFFFF"/>
                <w:lang w:eastAsia="es-CO"/>
              </w:rPr>
              <w:t>Colocación de reaseguro</w:t>
            </w:r>
          </w:p>
        </w:tc>
        <w:tc>
          <w:tcPr>
            <w:tcW w:w="6941" w:type="dxa"/>
            <w:vAlign w:val="center"/>
          </w:tcPr>
          <w:p w14:paraId="333F26D7" w14:textId="38BC9684" w:rsidR="00BC14B6" w:rsidRPr="008A065A" w:rsidRDefault="006D388A" w:rsidP="00210131">
            <w:pPr>
              <w:jc w:val="both"/>
              <w:rPr>
                <w:rFonts w:ascii="Century Gothic" w:hAnsi="Century Gothic" w:cs="Segoe UI"/>
                <w:sz w:val="22"/>
                <w:szCs w:val="22"/>
                <w:lang w:eastAsia="es-CO"/>
              </w:rPr>
            </w:pPr>
            <w:r w:rsidRPr="008A065A">
              <w:rPr>
                <w:rFonts w:ascii="Century Gothic" w:hAnsi="Century Gothic" w:cs="Segoe UI"/>
                <w:sz w:val="22"/>
                <w:szCs w:val="22"/>
                <w:lang w:eastAsia="es-CO"/>
              </w:rPr>
              <w:t>FACULTATIVO</w:t>
            </w:r>
          </w:p>
        </w:tc>
      </w:tr>
      <w:tr w:rsidR="008A065A" w:rsidRPr="008A065A" w14:paraId="3EA66407" w14:textId="77777777" w:rsidTr="00210131">
        <w:trPr>
          <w:trHeight w:val="454"/>
        </w:trPr>
        <w:tc>
          <w:tcPr>
            <w:tcW w:w="3266" w:type="dxa"/>
            <w:vAlign w:val="center"/>
          </w:tcPr>
          <w:p w14:paraId="60519D3D" w14:textId="77777777" w:rsidR="00BC14B6" w:rsidRPr="008A065A" w:rsidRDefault="00BC14B6" w:rsidP="00210131">
            <w:pPr>
              <w:jc w:val="both"/>
              <w:textAlignment w:val="baseline"/>
              <w:rPr>
                <w:rFonts w:ascii="Century Gothic" w:hAnsi="Century Gothic"/>
                <w:sz w:val="22"/>
                <w:szCs w:val="22"/>
                <w:shd w:val="clear" w:color="auto" w:fill="FFFFFF"/>
                <w:lang w:eastAsia="es-CO"/>
              </w:rPr>
            </w:pPr>
            <w:r w:rsidRPr="008A065A">
              <w:rPr>
                <w:rFonts w:ascii="Century Gothic" w:hAnsi="Century Gothic"/>
                <w:sz w:val="22"/>
                <w:szCs w:val="22"/>
                <w:shd w:val="clear" w:color="auto" w:fill="FFFFFF"/>
                <w:lang w:eastAsia="es-CO"/>
              </w:rPr>
              <w:t>Tomador</w:t>
            </w:r>
          </w:p>
        </w:tc>
        <w:tc>
          <w:tcPr>
            <w:tcW w:w="6941" w:type="dxa"/>
            <w:vAlign w:val="center"/>
          </w:tcPr>
          <w:p w14:paraId="360A27D2" w14:textId="46EDD9F6" w:rsidR="00BC14B6" w:rsidRPr="00C40A53" w:rsidRDefault="00C40A53" w:rsidP="00210131">
            <w:pPr>
              <w:jc w:val="both"/>
              <w:rPr>
                <w:rFonts w:ascii="Century Gothic" w:hAnsi="Century Gothic" w:cs="Segoe UI"/>
                <w:sz w:val="22"/>
                <w:szCs w:val="22"/>
                <w:lang w:val="es-CO" w:eastAsia="es-CO"/>
              </w:rPr>
            </w:pPr>
            <w:r w:rsidRPr="00C40A53">
              <w:rPr>
                <w:rFonts w:ascii="Century Gothic" w:hAnsi="Century Gothic" w:cs="Segoe UI"/>
                <w:sz w:val="22"/>
                <w:szCs w:val="22"/>
                <w:lang w:val="es-CO" w:eastAsia="es-CO"/>
              </w:rPr>
              <w:t>CAJA DE COMPENSACION FAMILIAR COMPENSAR</w:t>
            </w:r>
          </w:p>
        </w:tc>
      </w:tr>
      <w:tr w:rsidR="008A065A" w:rsidRPr="008A065A" w14:paraId="7E858150" w14:textId="77777777" w:rsidTr="00210131">
        <w:trPr>
          <w:trHeight w:val="454"/>
        </w:trPr>
        <w:tc>
          <w:tcPr>
            <w:tcW w:w="3266" w:type="dxa"/>
            <w:vAlign w:val="center"/>
          </w:tcPr>
          <w:p w14:paraId="105837FD" w14:textId="77777777" w:rsidR="00BC14B6" w:rsidRPr="008A065A" w:rsidRDefault="00BC14B6" w:rsidP="00210131">
            <w:pPr>
              <w:jc w:val="both"/>
              <w:textAlignment w:val="baseline"/>
              <w:rPr>
                <w:rFonts w:ascii="Century Gothic" w:hAnsi="Century Gothic" w:cs="Segoe UI"/>
                <w:sz w:val="22"/>
                <w:szCs w:val="22"/>
                <w:lang w:eastAsia="es-CO"/>
              </w:rPr>
            </w:pPr>
            <w:r w:rsidRPr="008A065A">
              <w:rPr>
                <w:rFonts w:ascii="Century Gothic" w:hAnsi="Century Gothic"/>
                <w:sz w:val="22"/>
                <w:szCs w:val="22"/>
                <w:shd w:val="clear" w:color="auto" w:fill="FFFFFF"/>
                <w:lang w:eastAsia="es-CO"/>
              </w:rPr>
              <w:t>Asegurado</w:t>
            </w:r>
          </w:p>
        </w:tc>
        <w:tc>
          <w:tcPr>
            <w:tcW w:w="6941" w:type="dxa"/>
            <w:vAlign w:val="center"/>
          </w:tcPr>
          <w:p w14:paraId="2368976A" w14:textId="5F14B83E" w:rsidR="00BC14B6" w:rsidRPr="00C40A53" w:rsidRDefault="00C40A53" w:rsidP="00210131">
            <w:pPr>
              <w:jc w:val="both"/>
              <w:rPr>
                <w:rFonts w:ascii="Century Gothic" w:hAnsi="Century Gothic" w:cs="Segoe UI"/>
                <w:sz w:val="22"/>
                <w:szCs w:val="22"/>
                <w:lang w:val="es-CO" w:eastAsia="es-CO"/>
              </w:rPr>
            </w:pPr>
            <w:r w:rsidRPr="00C40A53">
              <w:rPr>
                <w:rFonts w:ascii="Century Gothic" w:hAnsi="Century Gothic" w:cs="Segoe UI"/>
                <w:sz w:val="22"/>
                <w:szCs w:val="22"/>
                <w:lang w:val="es-CO" w:eastAsia="es-CO"/>
              </w:rPr>
              <w:t>CAJA DE COMPENSACION FAMILIAR COMPENSAR</w:t>
            </w:r>
          </w:p>
        </w:tc>
      </w:tr>
      <w:tr w:rsidR="008A065A" w:rsidRPr="008A065A" w14:paraId="4DBD9CB9" w14:textId="77777777" w:rsidTr="00210131">
        <w:trPr>
          <w:trHeight w:val="454"/>
        </w:trPr>
        <w:tc>
          <w:tcPr>
            <w:tcW w:w="3266" w:type="dxa"/>
            <w:vAlign w:val="center"/>
            <w:hideMark/>
          </w:tcPr>
          <w:p w14:paraId="62BEE906" w14:textId="77777777" w:rsidR="00BC14B6" w:rsidRPr="008A065A" w:rsidRDefault="00BC14B6" w:rsidP="00210131">
            <w:pPr>
              <w:jc w:val="both"/>
              <w:textAlignment w:val="baseline"/>
              <w:rPr>
                <w:rFonts w:ascii="Century Gothic" w:hAnsi="Century Gothic" w:cs="Segoe UI"/>
                <w:sz w:val="22"/>
                <w:szCs w:val="22"/>
                <w:lang w:eastAsia="es-CO"/>
              </w:rPr>
            </w:pPr>
            <w:r w:rsidRPr="008A065A">
              <w:rPr>
                <w:rFonts w:ascii="Century Gothic" w:hAnsi="Century Gothic"/>
                <w:sz w:val="22"/>
                <w:szCs w:val="22"/>
                <w:shd w:val="clear" w:color="auto" w:fill="FFFFFF"/>
                <w:lang w:eastAsia="es-CO"/>
              </w:rPr>
              <w:t>Ramo</w:t>
            </w:r>
          </w:p>
        </w:tc>
        <w:tc>
          <w:tcPr>
            <w:tcW w:w="6941" w:type="dxa"/>
            <w:vAlign w:val="center"/>
          </w:tcPr>
          <w:p w14:paraId="50FE7AE6" w14:textId="5F981F1E" w:rsidR="00BC14B6" w:rsidRPr="000E6CD3" w:rsidRDefault="000E6CD3" w:rsidP="00210131">
            <w:pPr>
              <w:jc w:val="both"/>
              <w:rPr>
                <w:rFonts w:ascii="Century Gothic" w:hAnsi="Century Gothic" w:cs="Segoe UI"/>
                <w:sz w:val="22"/>
                <w:szCs w:val="22"/>
                <w:lang w:val="es-CO" w:eastAsia="es-CO"/>
              </w:rPr>
            </w:pPr>
            <w:r w:rsidRPr="000E6CD3">
              <w:rPr>
                <w:rFonts w:ascii="Century Gothic" w:hAnsi="Century Gothic" w:cs="Segoe UI"/>
                <w:sz w:val="22"/>
                <w:szCs w:val="22"/>
                <w:lang w:val="es-CO" w:eastAsia="es-CO"/>
              </w:rPr>
              <w:t>RC PROFESIONALES CLINICAS, HOSPITALES E INSTITUCIONES PRIVADAS</w:t>
            </w:r>
          </w:p>
        </w:tc>
      </w:tr>
      <w:tr w:rsidR="008A065A" w:rsidRPr="008A065A" w14:paraId="453F7287" w14:textId="77777777" w:rsidTr="00210131">
        <w:trPr>
          <w:trHeight w:val="454"/>
        </w:trPr>
        <w:tc>
          <w:tcPr>
            <w:tcW w:w="3266" w:type="dxa"/>
            <w:vAlign w:val="center"/>
            <w:hideMark/>
          </w:tcPr>
          <w:p w14:paraId="7E3256DF" w14:textId="77777777" w:rsidR="00BC14B6" w:rsidRPr="008A065A" w:rsidRDefault="00BC14B6" w:rsidP="00210131">
            <w:pPr>
              <w:jc w:val="both"/>
              <w:textAlignment w:val="baseline"/>
              <w:rPr>
                <w:rFonts w:ascii="Century Gothic" w:hAnsi="Century Gothic" w:cs="Segoe UI"/>
                <w:sz w:val="22"/>
                <w:szCs w:val="22"/>
                <w:lang w:eastAsia="es-CO"/>
              </w:rPr>
            </w:pPr>
            <w:r w:rsidRPr="008A065A">
              <w:rPr>
                <w:rFonts w:ascii="Century Gothic" w:hAnsi="Century Gothic"/>
                <w:sz w:val="22"/>
                <w:szCs w:val="22"/>
                <w:shd w:val="clear" w:color="auto" w:fill="FFFFFF"/>
                <w:lang w:eastAsia="es-CO"/>
              </w:rPr>
              <w:t>Cobertura</w:t>
            </w:r>
          </w:p>
        </w:tc>
        <w:tc>
          <w:tcPr>
            <w:tcW w:w="6941" w:type="dxa"/>
            <w:vAlign w:val="center"/>
          </w:tcPr>
          <w:p w14:paraId="6C3B97E7" w14:textId="4EDB8459" w:rsidR="00BC14B6" w:rsidRPr="000E6CD3" w:rsidRDefault="000E6CD3" w:rsidP="000E6CD3">
            <w:pPr>
              <w:pStyle w:val="NormalWeb"/>
              <w:jc w:val="both"/>
              <w:rPr>
                <w:rFonts w:ascii="Aptos" w:hAnsi="Aptos" w:cs="Segoe UI"/>
                <w:color w:val="000000"/>
              </w:rPr>
            </w:pPr>
            <w:r>
              <w:rPr>
                <w:rFonts w:ascii="Century Gothic" w:hAnsi="Century Gothic" w:cs="Segoe UI"/>
                <w:color w:val="000000"/>
                <w:sz w:val="20"/>
                <w:szCs w:val="20"/>
                <w:bdr w:val="none" w:sz="0" w:space="0" w:color="auto" w:frame="1"/>
              </w:rPr>
              <w:br/>
            </w:r>
            <w:r w:rsidRPr="000E6CD3">
              <w:rPr>
                <w:rFonts w:ascii="Century Gothic" w:eastAsiaTheme="minorHAnsi" w:hAnsi="Century Gothic" w:cs="Segoe UI"/>
                <w:sz w:val="22"/>
                <w:szCs w:val="22"/>
              </w:rPr>
              <w:t>R.C. PROFESIONAL MÉDICA</w:t>
            </w:r>
          </w:p>
        </w:tc>
      </w:tr>
      <w:tr w:rsidR="008A065A" w:rsidRPr="008A065A" w14:paraId="5BA2A940" w14:textId="77777777" w:rsidTr="00210131">
        <w:trPr>
          <w:trHeight w:val="454"/>
        </w:trPr>
        <w:tc>
          <w:tcPr>
            <w:tcW w:w="3266" w:type="dxa"/>
            <w:vAlign w:val="center"/>
            <w:hideMark/>
          </w:tcPr>
          <w:p w14:paraId="2E197764" w14:textId="77777777" w:rsidR="00BC14B6" w:rsidRPr="008A065A" w:rsidRDefault="00BC14B6" w:rsidP="00210131">
            <w:pPr>
              <w:jc w:val="both"/>
              <w:textAlignment w:val="baseline"/>
              <w:rPr>
                <w:rFonts w:ascii="Century Gothic" w:hAnsi="Century Gothic" w:cs="Segoe UI"/>
                <w:sz w:val="22"/>
                <w:szCs w:val="22"/>
                <w:lang w:eastAsia="es-CO"/>
              </w:rPr>
            </w:pPr>
            <w:r w:rsidRPr="008A065A">
              <w:rPr>
                <w:rFonts w:ascii="Century Gothic" w:hAnsi="Century Gothic"/>
                <w:sz w:val="22"/>
                <w:szCs w:val="22"/>
                <w:shd w:val="clear" w:color="auto" w:fill="FFFFFF"/>
                <w:lang w:eastAsia="es-CO"/>
              </w:rPr>
              <w:t>Valor asegurado</w:t>
            </w:r>
          </w:p>
        </w:tc>
        <w:tc>
          <w:tcPr>
            <w:tcW w:w="6941" w:type="dxa"/>
            <w:vAlign w:val="center"/>
          </w:tcPr>
          <w:p w14:paraId="220602B5" w14:textId="519F8B78" w:rsidR="00BC14B6" w:rsidRPr="008A065A" w:rsidRDefault="00BC14B6" w:rsidP="00210131">
            <w:pPr>
              <w:jc w:val="both"/>
              <w:rPr>
                <w:rFonts w:ascii="Century Gothic" w:hAnsi="Century Gothic" w:cs="Segoe UI"/>
                <w:sz w:val="22"/>
                <w:szCs w:val="22"/>
                <w:lang w:eastAsia="es-CO"/>
              </w:rPr>
            </w:pPr>
            <w:r w:rsidRPr="008A065A">
              <w:rPr>
                <w:rFonts w:ascii="Century Gothic" w:hAnsi="Century Gothic" w:cs="Segoe UI"/>
                <w:sz w:val="22"/>
                <w:szCs w:val="22"/>
                <w:lang w:eastAsia="es-CO"/>
              </w:rPr>
              <w:t>$</w:t>
            </w:r>
            <w:r w:rsidR="00B53D33" w:rsidRPr="008A065A">
              <w:rPr>
                <w:rFonts w:ascii="Century Gothic" w:hAnsi="Century Gothic" w:cs="Segoe UI"/>
                <w:sz w:val="22"/>
                <w:szCs w:val="22"/>
                <w:lang w:eastAsia="es-CO"/>
              </w:rPr>
              <w:t xml:space="preserve"> </w:t>
            </w:r>
            <w:r w:rsidR="00C40A53">
              <w:rPr>
                <w:rFonts w:ascii="Century Gothic" w:hAnsi="Century Gothic" w:cs="Segoe UI"/>
                <w:sz w:val="22"/>
                <w:szCs w:val="22"/>
                <w:lang w:eastAsia="es-CO"/>
              </w:rPr>
              <w:t>2.000.000.000</w:t>
            </w:r>
          </w:p>
        </w:tc>
      </w:tr>
      <w:tr w:rsidR="008A065A" w:rsidRPr="008A065A" w14:paraId="1BCE4197" w14:textId="77777777" w:rsidTr="00210131">
        <w:trPr>
          <w:trHeight w:val="454"/>
        </w:trPr>
        <w:tc>
          <w:tcPr>
            <w:tcW w:w="3266" w:type="dxa"/>
            <w:vAlign w:val="center"/>
          </w:tcPr>
          <w:p w14:paraId="0A43F1BE" w14:textId="77777777" w:rsidR="00BC14B6" w:rsidRPr="008A065A" w:rsidRDefault="00BC14B6" w:rsidP="00210131">
            <w:pPr>
              <w:jc w:val="both"/>
              <w:textAlignment w:val="baseline"/>
              <w:rPr>
                <w:rFonts w:ascii="Century Gothic" w:hAnsi="Century Gothic"/>
                <w:sz w:val="22"/>
                <w:szCs w:val="22"/>
                <w:shd w:val="clear" w:color="auto" w:fill="FFFFFF"/>
                <w:lang w:eastAsia="es-CO"/>
              </w:rPr>
            </w:pPr>
            <w:r w:rsidRPr="008A065A">
              <w:rPr>
                <w:rFonts w:ascii="Century Gothic" w:hAnsi="Century Gothic"/>
                <w:sz w:val="22"/>
                <w:szCs w:val="22"/>
                <w:shd w:val="clear" w:color="auto" w:fill="FFFFFF"/>
                <w:lang w:eastAsia="es-CO"/>
              </w:rPr>
              <w:t>Audiencia prejudicial</w:t>
            </w:r>
          </w:p>
        </w:tc>
        <w:tc>
          <w:tcPr>
            <w:tcW w:w="6941" w:type="dxa"/>
            <w:vAlign w:val="center"/>
          </w:tcPr>
          <w:p w14:paraId="6B9DB24E" w14:textId="63E3E7A5" w:rsidR="00BC14B6" w:rsidRPr="008A065A" w:rsidRDefault="00C40A53" w:rsidP="00210131">
            <w:pPr>
              <w:jc w:val="both"/>
              <w:rPr>
                <w:rFonts w:ascii="Century Gothic" w:hAnsi="Century Gothic" w:cs="Segoe UI"/>
                <w:sz w:val="22"/>
                <w:szCs w:val="22"/>
                <w:lang w:eastAsia="es-CO"/>
              </w:rPr>
            </w:pPr>
            <w:r>
              <w:rPr>
                <w:rFonts w:ascii="Century Gothic" w:hAnsi="Century Gothic" w:cs="Segoe UI"/>
                <w:sz w:val="22"/>
                <w:szCs w:val="22"/>
                <w:lang w:eastAsia="es-CO"/>
              </w:rPr>
              <w:t xml:space="preserve"> NO</w:t>
            </w:r>
          </w:p>
        </w:tc>
      </w:tr>
      <w:tr w:rsidR="008A065A" w:rsidRPr="008A065A" w14:paraId="41F7508E" w14:textId="77777777" w:rsidTr="00210131">
        <w:trPr>
          <w:trHeight w:val="454"/>
        </w:trPr>
        <w:tc>
          <w:tcPr>
            <w:tcW w:w="3266" w:type="dxa"/>
            <w:vAlign w:val="center"/>
            <w:hideMark/>
          </w:tcPr>
          <w:p w14:paraId="52B6FD05" w14:textId="77777777" w:rsidR="00BC14B6" w:rsidRPr="008A065A" w:rsidRDefault="00BC14B6" w:rsidP="00210131">
            <w:pPr>
              <w:jc w:val="both"/>
              <w:textAlignment w:val="baseline"/>
              <w:rPr>
                <w:rFonts w:ascii="Century Gothic" w:hAnsi="Century Gothic" w:cs="Segoe UI"/>
                <w:sz w:val="22"/>
                <w:szCs w:val="22"/>
                <w:lang w:eastAsia="es-CO"/>
              </w:rPr>
            </w:pPr>
            <w:r w:rsidRPr="008A065A">
              <w:rPr>
                <w:rFonts w:ascii="Century Gothic" w:hAnsi="Century Gothic"/>
                <w:sz w:val="22"/>
                <w:szCs w:val="22"/>
                <w:shd w:val="clear" w:color="auto" w:fill="FFFFFF"/>
                <w:lang w:eastAsia="es-CO"/>
              </w:rPr>
              <w:t>Ofrecimiento previo</w:t>
            </w:r>
          </w:p>
        </w:tc>
        <w:tc>
          <w:tcPr>
            <w:tcW w:w="6941" w:type="dxa"/>
            <w:vAlign w:val="center"/>
          </w:tcPr>
          <w:p w14:paraId="51158760" w14:textId="56C45ADD" w:rsidR="00BC14B6" w:rsidRPr="008A065A" w:rsidRDefault="00BC14B6" w:rsidP="00210131">
            <w:pPr>
              <w:jc w:val="both"/>
              <w:rPr>
                <w:rFonts w:ascii="Century Gothic" w:hAnsi="Century Gothic" w:cs="Segoe UI"/>
                <w:sz w:val="22"/>
                <w:szCs w:val="22"/>
                <w:lang w:eastAsia="es-CO"/>
              </w:rPr>
            </w:pPr>
            <w:r w:rsidRPr="008A065A">
              <w:rPr>
                <w:rFonts w:ascii="Century Gothic" w:hAnsi="Century Gothic" w:cs="Segoe UI"/>
                <w:sz w:val="22"/>
                <w:szCs w:val="22"/>
                <w:lang w:eastAsia="es-CO"/>
              </w:rPr>
              <w:t xml:space="preserve"> </w:t>
            </w:r>
            <w:r w:rsidR="000E6CD3">
              <w:rPr>
                <w:rFonts w:ascii="Century Gothic" w:hAnsi="Century Gothic" w:cs="Segoe UI"/>
                <w:sz w:val="22"/>
                <w:szCs w:val="22"/>
                <w:lang w:eastAsia="es-CO"/>
              </w:rPr>
              <w:t>$0</w:t>
            </w:r>
          </w:p>
        </w:tc>
      </w:tr>
    </w:tbl>
    <w:p w14:paraId="47DA39E4" w14:textId="77777777" w:rsidR="00BC14B6" w:rsidRPr="008A065A" w:rsidRDefault="00BC14B6" w:rsidP="00BC14B6">
      <w:pPr>
        <w:rPr>
          <w:rFonts w:ascii="Century Gothic" w:hAnsi="Century Gothic"/>
          <w:sz w:val="22"/>
          <w:szCs w:val="22"/>
        </w:rPr>
      </w:pPr>
    </w:p>
    <w:p w14:paraId="19EBC5A9" w14:textId="77777777" w:rsidR="00BC14B6" w:rsidRPr="008A065A" w:rsidRDefault="00BC14B6" w:rsidP="00BC14B6">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8A065A" w:rsidRPr="008A065A" w14:paraId="1C789463" w14:textId="77777777" w:rsidTr="00210131">
        <w:tc>
          <w:tcPr>
            <w:tcW w:w="3687" w:type="dxa"/>
          </w:tcPr>
          <w:p w14:paraId="050A921B"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Calificación de la contingencia</w:t>
            </w:r>
          </w:p>
        </w:tc>
        <w:tc>
          <w:tcPr>
            <w:tcW w:w="6520" w:type="dxa"/>
          </w:tcPr>
          <w:p w14:paraId="0193C1A5" w14:textId="1D31F5EE" w:rsidR="00BC14B6" w:rsidRPr="008A065A" w:rsidRDefault="005C236A" w:rsidP="00210131">
            <w:pPr>
              <w:rPr>
                <w:rFonts w:ascii="Century Gothic" w:hAnsi="Century Gothic"/>
                <w:sz w:val="22"/>
                <w:szCs w:val="22"/>
              </w:rPr>
            </w:pPr>
            <w:r>
              <w:rPr>
                <w:rFonts w:ascii="Century Gothic" w:hAnsi="Century Gothic"/>
                <w:sz w:val="22"/>
                <w:szCs w:val="22"/>
              </w:rPr>
              <w:t>PROBABLE</w:t>
            </w:r>
          </w:p>
        </w:tc>
      </w:tr>
      <w:tr w:rsidR="008A065A" w:rsidRPr="008A065A" w14:paraId="633B6EC4" w14:textId="77777777" w:rsidTr="00210131">
        <w:tc>
          <w:tcPr>
            <w:tcW w:w="3687" w:type="dxa"/>
          </w:tcPr>
          <w:p w14:paraId="58E14B58" w14:textId="77777777" w:rsidR="00BC14B6" w:rsidRPr="008A065A" w:rsidRDefault="00BC14B6" w:rsidP="00210131">
            <w:pPr>
              <w:rPr>
                <w:rFonts w:ascii="Century Gothic" w:hAnsi="Century Gothic"/>
                <w:sz w:val="22"/>
                <w:szCs w:val="22"/>
              </w:rPr>
            </w:pPr>
            <w:r w:rsidRPr="008A065A">
              <w:rPr>
                <w:rFonts w:ascii="Century Gothic" w:hAnsi="Century Gothic"/>
                <w:sz w:val="22"/>
                <w:szCs w:val="22"/>
              </w:rPr>
              <w:t xml:space="preserve">Reserva sugerida: </w:t>
            </w:r>
          </w:p>
        </w:tc>
        <w:tc>
          <w:tcPr>
            <w:tcW w:w="6520" w:type="dxa"/>
          </w:tcPr>
          <w:p w14:paraId="561448D8" w14:textId="48017D52" w:rsidR="00BC14B6" w:rsidRPr="00C40A53" w:rsidRDefault="00C40A53" w:rsidP="00210131">
            <w:pPr>
              <w:rPr>
                <w:rFonts w:ascii="Aptos Narrow" w:hAnsi="Aptos Narrow"/>
                <w:color w:val="000000"/>
                <w:sz w:val="22"/>
                <w:szCs w:val="22"/>
                <w:lang w:val="es-CO"/>
              </w:rPr>
            </w:pPr>
            <w:r w:rsidRPr="000E6CD3">
              <w:rPr>
                <w:rFonts w:ascii="Century Gothic" w:hAnsi="Century Gothic"/>
                <w:bCs/>
                <w:sz w:val="22"/>
                <w:szCs w:val="22"/>
                <w:lang w:val="es-CO"/>
              </w:rPr>
              <w:t>$</w:t>
            </w:r>
            <w:r w:rsidR="00C85698" w:rsidRPr="000E6CD3">
              <w:rPr>
                <w:rFonts w:ascii="Century Gothic" w:hAnsi="Century Gothic"/>
                <w:bCs/>
                <w:sz w:val="22"/>
                <w:szCs w:val="22"/>
                <w:lang w:val="es-CO"/>
              </w:rPr>
              <w:t xml:space="preserve"> </w:t>
            </w:r>
            <w:r w:rsidR="000E6CD3" w:rsidRPr="000E6CD3">
              <w:rPr>
                <w:rFonts w:ascii="Century Gothic" w:hAnsi="Century Gothic"/>
                <w:bCs/>
                <w:sz w:val="22"/>
                <w:szCs w:val="22"/>
                <w:lang w:val="es-CO"/>
              </w:rPr>
              <w:t>1.144.783.942</w:t>
            </w:r>
            <w:r w:rsidR="005C236A" w:rsidRPr="00270FA2">
              <w:rPr>
                <w:rFonts w:ascii="Century Gothic" w:hAnsi="Century Gothic"/>
                <w:bCs/>
                <w:sz w:val="22"/>
                <w:szCs w:val="22"/>
                <w:lang w:val="es-CO"/>
              </w:rPr>
              <w:t xml:space="preserve"> (</w:t>
            </w:r>
            <w:r w:rsidR="000E6CD3">
              <w:rPr>
                <w:rFonts w:ascii="Century Gothic" w:hAnsi="Century Gothic"/>
                <w:bCs/>
                <w:sz w:val="22"/>
                <w:szCs w:val="22"/>
                <w:lang w:val="es-CO"/>
              </w:rPr>
              <w:t>80</w:t>
            </w:r>
            <w:r w:rsidR="005C236A" w:rsidRPr="00270FA2">
              <w:rPr>
                <w:rFonts w:ascii="Century Gothic" w:hAnsi="Century Gothic"/>
                <w:bCs/>
                <w:sz w:val="22"/>
                <w:szCs w:val="22"/>
                <w:lang w:val="es-CO"/>
              </w:rPr>
              <w:t>% de la liquidación</w:t>
            </w:r>
            <w:r w:rsidR="005C236A" w:rsidRPr="008A065A">
              <w:rPr>
                <w:rFonts w:ascii="Century Gothic" w:hAnsi="Century Gothic"/>
                <w:sz w:val="22"/>
                <w:szCs w:val="22"/>
              </w:rPr>
              <w:t xml:space="preserve"> objetiva)</w:t>
            </w:r>
          </w:p>
        </w:tc>
      </w:tr>
      <w:tr w:rsidR="008A065A" w:rsidRPr="008A065A" w14:paraId="1E9452CD" w14:textId="77777777" w:rsidTr="00210131">
        <w:tc>
          <w:tcPr>
            <w:tcW w:w="10207" w:type="dxa"/>
            <w:gridSpan w:val="2"/>
            <w:shd w:val="clear" w:color="auto" w:fill="B3E5A1" w:themeFill="accent6" w:themeFillTint="66"/>
            <w:vAlign w:val="center"/>
          </w:tcPr>
          <w:p w14:paraId="7A154F68" w14:textId="77777777" w:rsidR="00BC14B6" w:rsidRPr="008A065A" w:rsidRDefault="00BC14B6" w:rsidP="00210131">
            <w:pPr>
              <w:jc w:val="center"/>
              <w:rPr>
                <w:rFonts w:ascii="Century Gothic" w:hAnsi="Century Gothic"/>
                <w:sz w:val="22"/>
                <w:szCs w:val="22"/>
              </w:rPr>
            </w:pPr>
            <w:r w:rsidRPr="008A065A">
              <w:rPr>
                <w:rFonts w:ascii="Century Gothic" w:hAnsi="Century Gothic"/>
                <w:sz w:val="22"/>
                <w:szCs w:val="22"/>
              </w:rPr>
              <w:t>Concepto del apoderado</w:t>
            </w:r>
          </w:p>
        </w:tc>
      </w:tr>
      <w:tr w:rsidR="008A065A" w:rsidRPr="008A065A" w14:paraId="04ADF9D1" w14:textId="77777777" w:rsidTr="000E6CD3">
        <w:trPr>
          <w:trHeight w:val="1559"/>
        </w:trPr>
        <w:tc>
          <w:tcPr>
            <w:tcW w:w="10207" w:type="dxa"/>
            <w:gridSpan w:val="2"/>
            <w:vAlign w:val="center"/>
          </w:tcPr>
          <w:p w14:paraId="3B394C6D" w14:textId="77777777" w:rsidR="00BC14B6" w:rsidRPr="008A065A" w:rsidRDefault="00BC14B6" w:rsidP="00210131">
            <w:pPr>
              <w:shd w:val="clear" w:color="auto" w:fill="FFFFFF"/>
              <w:jc w:val="both"/>
              <w:textAlignment w:val="baseline"/>
              <w:rPr>
                <w:rFonts w:ascii="Century Gothic" w:hAnsi="Century Gothic"/>
                <w:sz w:val="22"/>
                <w:szCs w:val="22"/>
              </w:rPr>
            </w:pPr>
          </w:p>
          <w:p w14:paraId="72B1E15E" w14:textId="09E4B041" w:rsidR="001B536A" w:rsidRDefault="001B536A" w:rsidP="001B536A">
            <w:pPr>
              <w:jc w:val="both"/>
              <w:rPr>
                <w:rFonts w:ascii="Century Gothic" w:hAnsi="Century Gothic"/>
                <w:bCs/>
                <w:sz w:val="22"/>
                <w:szCs w:val="22"/>
                <w:lang w:val="es-CO"/>
              </w:rPr>
            </w:pPr>
            <w:r w:rsidRPr="001B536A">
              <w:rPr>
                <w:rFonts w:ascii="Century Gothic" w:hAnsi="Century Gothic"/>
                <w:bCs/>
                <w:sz w:val="22"/>
                <w:szCs w:val="22"/>
                <w:lang w:val="es-CO"/>
              </w:rPr>
              <w:t xml:space="preserve">La contingencia se califica como PROBABLE, por cuanto la póliza </w:t>
            </w:r>
            <w:r w:rsidRPr="001B536A">
              <w:rPr>
                <w:rFonts w:ascii="Century Gothic" w:hAnsi="Century Gothic"/>
                <w:b/>
                <w:sz w:val="22"/>
                <w:szCs w:val="22"/>
                <w:lang w:val="es-CO"/>
              </w:rPr>
              <w:t>AA</w:t>
            </w:r>
            <w:r w:rsidR="00983AA3">
              <w:rPr>
                <w:rFonts w:ascii="Century Gothic" w:hAnsi="Century Gothic"/>
                <w:b/>
                <w:sz w:val="22"/>
                <w:szCs w:val="22"/>
                <w:lang w:val="es-CO"/>
              </w:rPr>
              <w:t xml:space="preserve">198548 </w:t>
            </w:r>
            <w:r w:rsidRPr="001B536A">
              <w:rPr>
                <w:rFonts w:ascii="Century Gothic" w:hAnsi="Century Gothic"/>
                <w:bCs/>
                <w:sz w:val="22"/>
                <w:szCs w:val="22"/>
                <w:lang w:val="es-CO"/>
              </w:rPr>
              <w:t xml:space="preserve">presta cobertura temporal y material. Así mismo, </w:t>
            </w:r>
            <w:bookmarkStart w:id="0" w:name="_Hlk142487042"/>
            <w:r w:rsidR="00755E4B">
              <w:rPr>
                <w:rFonts w:ascii="Century Gothic" w:hAnsi="Century Gothic"/>
                <w:bCs/>
                <w:sz w:val="22"/>
                <w:szCs w:val="22"/>
                <w:lang w:val="es-CO"/>
              </w:rPr>
              <w:t xml:space="preserve">si bien existen elementos que permiten concluir de forma preliminar la responsabilidad del asegurado </w:t>
            </w:r>
            <w:r w:rsidRPr="001B536A">
              <w:rPr>
                <w:rFonts w:ascii="Century Gothic" w:hAnsi="Century Gothic"/>
                <w:bCs/>
                <w:sz w:val="22"/>
                <w:szCs w:val="22"/>
                <w:lang w:val="es-CO"/>
              </w:rPr>
              <w:t xml:space="preserve">dependerá del debate probatorio determinar si existe relación causal entre la atención médica </w:t>
            </w:r>
            <w:r w:rsidR="00983AA3" w:rsidRPr="001B536A">
              <w:rPr>
                <w:rFonts w:ascii="Century Gothic" w:hAnsi="Century Gothic"/>
                <w:bCs/>
                <w:sz w:val="22"/>
                <w:szCs w:val="22"/>
                <w:lang w:val="es-CO"/>
              </w:rPr>
              <w:t xml:space="preserve">prestada </w:t>
            </w:r>
            <w:r w:rsidR="00983AA3">
              <w:rPr>
                <w:rFonts w:ascii="Century Gothic" w:hAnsi="Century Gothic"/>
                <w:bCs/>
                <w:sz w:val="22"/>
                <w:szCs w:val="22"/>
                <w:lang w:val="es-CO"/>
              </w:rPr>
              <w:t xml:space="preserve">en la IPS LOS COBOS MEDICAL CENTER S.A </w:t>
            </w:r>
            <w:r w:rsidRPr="001B536A">
              <w:rPr>
                <w:rFonts w:ascii="Century Gothic" w:hAnsi="Century Gothic"/>
                <w:bCs/>
                <w:sz w:val="22"/>
                <w:szCs w:val="22"/>
                <w:lang w:val="es-CO"/>
              </w:rPr>
              <w:t xml:space="preserve">y el fallecimiento del señor </w:t>
            </w:r>
            <w:r w:rsidR="00983AA3">
              <w:rPr>
                <w:rFonts w:ascii="Century Gothic" w:hAnsi="Century Gothic"/>
                <w:bCs/>
                <w:sz w:val="22"/>
                <w:szCs w:val="22"/>
                <w:lang w:val="es-CO"/>
              </w:rPr>
              <w:t>RAMÓN HERNANDO PINEDA SILVA</w:t>
            </w:r>
          </w:p>
          <w:p w14:paraId="4880234F" w14:textId="77777777" w:rsidR="001B536A" w:rsidRPr="001B536A" w:rsidRDefault="001B536A" w:rsidP="001B536A">
            <w:pPr>
              <w:jc w:val="both"/>
              <w:rPr>
                <w:rFonts w:ascii="Century Gothic" w:hAnsi="Century Gothic"/>
                <w:bCs/>
                <w:sz w:val="22"/>
                <w:szCs w:val="22"/>
                <w:lang w:val="es-CO"/>
              </w:rPr>
            </w:pPr>
          </w:p>
          <w:p w14:paraId="2D1FC989" w14:textId="37324E3B" w:rsidR="001B536A" w:rsidRDefault="001B536A" w:rsidP="001B536A">
            <w:pPr>
              <w:jc w:val="both"/>
              <w:rPr>
                <w:rFonts w:ascii="Century Gothic" w:hAnsi="Century Gothic"/>
                <w:bCs/>
                <w:sz w:val="22"/>
                <w:szCs w:val="22"/>
                <w:lang w:val="es-CO"/>
              </w:rPr>
            </w:pPr>
            <w:r w:rsidRPr="001B536A">
              <w:rPr>
                <w:rFonts w:ascii="Century Gothic" w:hAnsi="Century Gothic"/>
                <w:bCs/>
                <w:sz w:val="22"/>
                <w:szCs w:val="22"/>
                <w:lang w:val="es-CO"/>
              </w:rPr>
              <w:t xml:space="preserve">Lo primero que debe tomarse en consideración es que la Póliza </w:t>
            </w:r>
            <w:r w:rsidRPr="001B536A">
              <w:rPr>
                <w:rFonts w:ascii="Century Gothic" w:hAnsi="Century Gothic"/>
                <w:b/>
                <w:sz w:val="22"/>
                <w:szCs w:val="22"/>
                <w:lang w:val="es-CO"/>
              </w:rPr>
              <w:t>AA19</w:t>
            </w:r>
            <w:r w:rsidR="00983AA3">
              <w:rPr>
                <w:rFonts w:ascii="Century Gothic" w:hAnsi="Century Gothic"/>
                <w:b/>
                <w:sz w:val="22"/>
                <w:szCs w:val="22"/>
                <w:lang w:val="es-CO"/>
              </w:rPr>
              <w:t>8548</w:t>
            </w:r>
            <w:r w:rsidRPr="001B536A">
              <w:rPr>
                <w:rFonts w:ascii="Century Gothic" w:hAnsi="Century Gothic"/>
                <w:b/>
                <w:sz w:val="22"/>
                <w:szCs w:val="22"/>
                <w:lang w:val="es-CO"/>
              </w:rPr>
              <w:t xml:space="preserve"> </w:t>
            </w:r>
            <w:r w:rsidRPr="001B536A">
              <w:rPr>
                <w:rFonts w:ascii="Century Gothic" w:hAnsi="Century Gothic"/>
                <w:bCs/>
                <w:sz w:val="22"/>
                <w:szCs w:val="22"/>
                <w:lang w:val="es-CO"/>
              </w:rPr>
              <w:t>cuyo tomador y asegurado es</w:t>
            </w:r>
            <w:r w:rsidR="00983AA3">
              <w:rPr>
                <w:rFonts w:ascii="Century Gothic" w:hAnsi="Century Gothic"/>
                <w:bCs/>
                <w:sz w:val="22"/>
                <w:szCs w:val="22"/>
                <w:lang w:val="es-CO"/>
              </w:rPr>
              <w:t xml:space="preserve"> la </w:t>
            </w:r>
            <w:r w:rsidR="00983AA3" w:rsidRPr="00C40A53">
              <w:rPr>
                <w:rFonts w:ascii="Century Gothic" w:hAnsi="Century Gothic" w:cs="Segoe UI"/>
                <w:sz w:val="22"/>
                <w:szCs w:val="22"/>
                <w:lang w:val="es-CO" w:eastAsia="es-CO"/>
              </w:rPr>
              <w:t>CAJA DE COMPENSACION FAMILIAR COMPENSAR</w:t>
            </w:r>
            <w:r w:rsidRPr="001B536A">
              <w:rPr>
                <w:rFonts w:ascii="Century Gothic" w:hAnsi="Century Gothic"/>
                <w:bCs/>
                <w:sz w:val="22"/>
                <w:szCs w:val="22"/>
                <w:lang w:val="es-CO"/>
              </w:rPr>
              <w:t xml:space="preserve">. presta cobertura material y temporal de conformidad con los hechos y pretensiones de la demanda. Frente a la cobertura material, debe mencionarse que la póliza ampara la responsabilidad civil profesional, pretensión que se endilga a la EPS asegurada. Frente a la cobertura temporal, debe decirse que su modalidad de cobertura es </w:t>
            </w:r>
            <w:proofErr w:type="spellStart"/>
            <w:r w:rsidRPr="001B536A">
              <w:rPr>
                <w:rFonts w:ascii="Century Gothic" w:hAnsi="Century Gothic"/>
                <w:bCs/>
                <w:sz w:val="22"/>
                <w:szCs w:val="22"/>
                <w:lang w:val="es-CO"/>
              </w:rPr>
              <w:t>Claims</w:t>
            </w:r>
            <w:proofErr w:type="spellEnd"/>
            <w:r w:rsidRPr="001B536A">
              <w:rPr>
                <w:rFonts w:ascii="Century Gothic" w:hAnsi="Century Gothic"/>
                <w:bCs/>
                <w:sz w:val="22"/>
                <w:szCs w:val="22"/>
                <w:lang w:val="es-CO"/>
              </w:rPr>
              <w:t xml:space="preserve"> </w:t>
            </w:r>
            <w:proofErr w:type="spellStart"/>
            <w:r w:rsidRPr="001B536A">
              <w:rPr>
                <w:rFonts w:ascii="Century Gothic" w:hAnsi="Century Gothic"/>
                <w:bCs/>
                <w:sz w:val="22"/>
                <w:szCs w:val="22"/>
                <w:lang w:val="es-CO"/>
              </w:rPr>
              <w:t>Made</w:t>
            </w:r>
            <w:proofErr w:type="spellEnd"/>
            <w:r w:rsidRPr="001B536A">
              <w:rPr>
                <w:rFonts w:ascii="Century Gothic" w:hAnsi="Century Gothic"/>
                <w:bCs/>
                <w:sz w:val="22"/>
                <w:szCs w:val="22"/>
                <w:lang w:val="es-CO"/>
              </w:rPr>
              <w:t xml:space="preserve">, la cual ampara las indemnizaciones por las reclamaciones escritas presentadas por terceros afectados y, por primera vez al asegurado o a la aseguradora durante la vigencia de la póliza, por hechos ocurridos durante la misma vigencia o desde las vigencias anteriores contadas a partir del </w:t>
            </w:r>
            <w:r w:rsidR="00755E4B">
              <w:rPr>
                <w:rFonts w:ascii="Century Gothic" w:hAnsi="Century Gothic"/>
                <w:bCs/>
                <w:sz w:val="22"/>
                <w:szCs w:val="22"/>
                <w:lang w:val="es-CO"/>
              </w:rPr>
              <w:t>30</w:t>
            </w:r>
            <w:r w:rsidRPr="001B536A">
              <w:rPr>
                <w:rFonts w:ascii="Century Gothic" w:hAnsi="Century Gothic"/>
                <w:bCs/>
                <w:sz w:val="22"/>
                <w:szCs w:val="22"/>
                <w:lang w:val="es-CO"/>
              </w:rPr>
              <w:t xml:space="preserve"> de </w:t>
            </w:r>
            <w:r w:rsidR="00755E4B">
              <w:rPr>
                <w:rFonts w:ascii="Century Gothic" w:hAnsi="Century Gothic"/>
                <w:bCs/>
                <w:sz w:val="22"/>
                <w:szCs w:val="22"/>
                <w:lang w:val="es-CO"/>
              </w:rPr>
              <w:t xml:space="preserve">noviembre </w:t>
            </w:r>
            <w:r w:rsidRPr="001B536A">
              <w:rPr>
                <w:rFonts w:ascii="Century Gothic" w:hAnsi="Century Gothic"/>
                <w:bCs/>
                <w:sz w:val="22"/>
                <w:szCs w:val="22"/>
                <w:lang w:val="es-CO"/>
              </w:rPr>
              <w:t>de 2006. De ese modo, debe tenerse en cuenta que la vigencia de la póliza está comprendida desde el 3</w:t>
            </w:r>
            <w:r w:rsidR="00983AA3">
              <w:rPr>
                <w:rFonts w:ascii="Century Gothic" w:hAnsi="Century Gothic"/>
                <w:bCs/>
                <w:sz w:val="22"/>
                <w:szCs w:val="22"/>
                <w:lang w:val="es-CO"/>
              </w:rPr>
              <w:t xml:space="preserve">1 de diciembre de 2023 </w:t>
            </w:r>
            <w:r w:rsidRPr="001B536A">
              <w:rPr>
                <w:rFonts w:ascii="Century Gothic" w:hAnsi="Century Gothic"/>
                <w:bCs/>
                <w:sz w:val="22"/>
                <w:szCs w:val="22"/>
                <w:lang w:val="es-CO"/>
              </w:rPr>
              <w:t>hasta el 3</w:t>
            </w:r>
            <w:r w:rsidR="00983AA3">
              <w:rPr>
                <w:rFonts w:ascii="Century Gothic" w:hAnsi="Century Gothic"/>
                <w:bCs/>
                <w:sz w:val="22"/>
                <w:szCs w:val="22"/>
                <w:lang w:val="es-CO"/>
              </w:rPr>
              <w:t>1</w:t>
            </w:r>
            <w:r w:rsidRPr="001B536A">
              <w:rPr>
                <w:rFonts w:ascii="Century Gothic" w:hAnsi="Century Gothic"/>
                <w:bCs/>
                <w:sz w:val="22"/>
                <w:szCs w:val="22"/>
                <w:lang w:val="es-CO"/>
              </w:rPr>
              <w:t xml:space="preserve"> de </w:t>
            </w:r>
            <w:r w:rsidR="00983AA3">
              <w:rPr>
                <w:rFonts w:ascii="Century Gothic" w:hAnsi="Century Gothic"/>
                <w:bCs/>
                <w:sz w:val="22"/>
                <w:szCs w:val="22"/>
                <w:lang w:val="es-CO"/>
              </w:rPr>
              <w:t xml:space="preserve">diciembre </w:t>
            </w:r>
            <w:r w:rsidRPr="001B536A">
              <w:rPr>
                <w:rFonts w:ascii="Century Gothic" w:hAnsi="Century Gothic"/>
                <w:bCs/>
                <w:sz w:val="22"/>
                <w:szCs w:val="22"/>
                <w:lang w:val="es-CO"/>
              </w:rPr>
              <w:t>de 202</w:t>
            </w:r>
            <w:r w:rsidR="00983AA3">
              <w:rPr>
                <w:rFonts w:ascii="Century Gothic" w:hAnsi="Century Gothic"/>
                <w:bCs/>
                <w:sz w:val="22"/>
                <w:szCs w:val="22"/>
                <w:lang w:val="es-CO"/>
              </w:rPr>
              <w:t>4</w:t>
            </w:r>
            <w:r w:rsidRPr="001B536A">
              <w:rPr>
                <w:rFonts w:ascii="Century Gothic" w:hAnsi="Century Gothic"/>
                <w:bCs/>
                <w:sz w:val="22"/>
                <w:szCs w:val="22"/>
                <w:lang w:val="es-CO"/>
              </w:rPr>
              <w:t xml:space="preserve">. Ahora bien, como la primera reclamación al asegurado se presentó con la </w:t>
            </w:r>
            <w:r w:rsidR="00DC4EA0">
              <w:rPr>
                <w:rFonts w:ascii="Century Gothic" w:hAnsi="Century Gothic"/>
                <w:bCs/>
                <w:sz w:val="22"/>
                <w:szCs w:val="22"/>
                <w:lang w:val="es-CO"/>
              </w:rPr>
              <w:t xml:space="preserve">notificación de la demanda </w:t>
            </w:r>
            <w:r w:rsidRPr="001B536A">
              <w:rPr>
                <w:rFonts w:ascii="Century Gothic" w:hAnsi="Century Gothic"/>
                <w:bCs/>
                <w:sz w:val="22"/>
                <w:szCs w:val="22"/>
                <w:lang w:val="es-CO"/>
              </w:rPr>
              <w:t>el</w:t>
            </w:r>
            <w:r w:rsidR="00DC4EA0">
              <w:rPr>
                <w:rFonts w:ascii="Century Gothic" w:hAnsi="Century Gothic"/>
                <w:bCs/>
                <w:sz w:val="22"/>
                <w:szCs w:val="22"/>
                <w:lang w:val="es-CO"/>
              </w:rPr>
              <w:t xml:space="preserve"> 27 de octubre de 2024</w:t>
            </w:r>
            <w:r w:rsidRPr="001B536A">
              <w:rPr>
                <w:rFonts w:ascii="Century Gothic" w:hAnsi="Century Gothic"/>
                <w:bCs/>
                <w:sz w:val="22"/>
                <w:szCs w:val="22"/>
                <w:lang w:val="es-CO"/>
              </w:rPr>
              <w:t>, esto es, dentro de la delimitación temporal de la póliza y los actos médicos reputados acaecieron entre el</w:t>
            </w:r>
            <w:r w:rsidR="00DC4EA0">
              <w:rPr>
                <w:rFonts w:ascii="Century Gothic" w:hAnsi="Century Gothic"/>
                <w:bCs/>
                <w:sz w:val="22"/>
                <w:szCs w:val="22"/>
                <w:lang w:val="es-CO"/>
              </w:rPr>
              <w:t xml:space="preserve"> 5 de julio de 2021 y el 12 de agosto de 2021</w:t>
            </w:r>
            <w:r w:rsidRPr="001B536A">
              <w:rPr>
                <w:rFonts w:ascii="Century Gothic" w:hAnsi="Century Gothic"/>
                <w:bCs/>
                <w:sz w:val="22"/>
                <w:szCs w:val="22"/>
                <w:lang w:val="es-CO"/>
              </w:rPr>
              <w:t xml:space="preserve">, dentro del periodo de retroactividad pactado desde el </w:t>
            </w:r>
            <w:r w:rsidR="00755E4B" w:rsidRPr="001B536A">
              <w:rPr>
                <w:rFonts w:ascii="Century Gothic" w:hAnsi="Century Gothic"/>
                <w:bCs/>
                <w:sz w:val="22"/>
                <w:szCs w:val="22"/>
                <w:lang w:val="es-CO"/>
              </w:rPr>
              <w:t xml:space="preserve">del </w:t>
            </w:r>
            <w:r w:rsidR="00755E4B">
              <w:rPr>
                <w:rFonts w:ascii="Century Gothic" w:hAnsi="Century Gothic"/>
                <w:bCs/>
                <w:sz w:val="22"/>
                <w:szCs w:val="22"/>
                <w:lang w:val="es-CO"/>
              </w:rPr>
              <w:t>30</w:t>
            </w:r>
            <w:r w:rsidR="00755E4B" w:rsidRPr="001B536A">
              <w:rPr>
                <w:rFonts w:ascii="Century Gothic" w:hAnsi="Century Gothic"/>
                <w:bCs/>
                <w:sz w:val="22"/>
                <w:szCs w:val="22"/>
                <w:lang w:val="es-CO"/>
              </w:rPr>
              <w:t xml:space="preserve"> de </w:t>
            </w:r>
            <w:r w:rsidR="00755E4B">
              <w:rPr>
                <w:rFonts w:ascii="Century Gothic" w:hAnsi="Century Gothic"/>
                <w:bCs/>
                <w:sz w:val="22"/>
                <w:szCs w:val="22"/>
                <w:lang w:val="es-CO"/>
              </w:rPr>
              <w:t>noviembre de 2006</w:t>
            </w:r>
            <w:r w:rsidRPr="001B536A">
              <w:rPr>
                <w:rFonts w:ascii="Century Gothic" w:hAnsi="Century Gothic"/>
                <w:bCs/>
                <w:sz w:val="22"/>
                <w:szCs w:val="22"/>
                <w:lang w:val="es-CO"/>
              </w:rPr>
              <w:t xml:space="preserve">, es claro que presta cobertura temporal. </w:t>
            </w:r>
          </w:p>
          <w:bookmarkEnd w:id="0"/>
          <w:p w14:paraId="2569FCFA" w14:textId="6674929F" w:rsidR="00B942FE" w:rsidRPr="00B942FE" w:rsidRDefault="00B942FE" w:rsidP="00B942FE">
            <w:pPr>
              <w:jc w:val="both"/>
              <w:rPr>
                <w:rFonts w:ascii="Century Gothic" w:hAnsi="Century Gothic"/>
                <w:sz w:val="22"/>
                <w:szCs w:val="22"/>
                <w:lang w:val="es-CO"/>
              </w:rPr>
            </w:pPr>
          </w:p>
          <w:p w14:paraId="6E1AB9BE" w14:textId="72118F3D" w:rsidR="00B942FE" w:rsidRDefault="00B942FE" w:rsidP="00B942FE">
            <w:pPr>
              <w:jc w:val="both"/>
              <w:rPr>
                <w:rFonts w:ascii="Century Gothic" w:hAnsi="Century Gothic"/>
                <w:sz w:val="22"/>
                <w:szCs w:val="22"/>
                <w:lang w:val="es-CO"/>
              </w:rPr>
            </w:pPr>
            <w:r w:rsidRPr="00B942FE">
              <w:rPr>
                <w:rFonts w:ascii="Century Gothic" w:hAnsi="Century Gothic"/>
                <w:sz w:val="22"/>
                <w:szCs w:val="22"/>
                <w:lang w:val="es-CO"/>
              </w:rPr>
              <w:t>Por otro lado, en lo que respecta a la eventual responsabilidad del asegurado en el fallecimiento del señor</w:t>
            </w:r>
            <w:r>
              <w:rPr>
                <w:rFonts w:ascii="Century Gothic" w:hAnsi="Century Gothic"/>
                <w:sz w:val="22"/>
                <w:szCs w:val="22"/>
                <w:lang w:val="es-CO"/>
              </w:rPr>
              <w:t xml:space="preserve"> PINEDA</w:t>
            </w:r>
            <w:r w:rsidRPr="00B942FE">
              <w:rPr>
                <w:rFonts w:ascii="Century Gothic" w:hAnsi="Century Gothic"/>
                <w:sz w:val="22"/>
                <w:szCs w:val="22"/>
                <w:lang w:val="es-CO"/>
              </w:rPr>
              <w:t xml:space="preserve">, debe señalarse que dicha determinación está supeditada al desarrollo del debate probatorio. Esto, en atención a que el ingreso del señor RAMÓN HERNANDO PINEDA SILVA se produjo a causa de afecciones estomacales e intestinales, las cuales </w:t>
            </w:r>
            <w:r w:rsidR="00755E4B">
              <w:rPr>
                <w:rFonts w:ascii="Century Gothic" w:hAnsi="Century Gothic"/>
                <w:sz w:val="22"/>
                <w:szCs w:val="22"/>
                <w:lang w:val="es-CO"/>
              </w:rPr>
              <w:t>no tienen relación con el virus SARS-CoV-2</w:t>
            </w:r>
            <w:r w:rsidRPr="00B942FE">
              <w:rPr>
                <w:rFonts w:ascii="Century Gothic" w:hAnsi="Century Gothic"/>
                <w:sz w:val="22"/>
                <w:szCs w:val="22"/>
                <w:lang w:val="es-CO"/>
              </w:rPr>
              <w:t xml:space="preserve">. Sin embargo, no consta en el expediente el momento preciso en que el señor PINEDA SILVA contrajo el virus del COVID-19, lo cual </w:t>
            </w:r>
            <w:r>
              <w:rPr>
                <w:rFonts w:ascii="Century Gothic" w:hAnsi="Century Gothic"/>
                <w:sz w:val="22"/>
                <w:szCs w:val="22"/>
                <w:lang w:val="es-CO"/>
              </w:rPr>
              <w:t xml:space="preserve">también </w:t>
            </w:r>
            <w:r w:rsidRPr="00B942FE">
              <w:rPr>
                <w:rFonts w:ascii="Century Gothic" w:hAnsi="Century Gothic"/>
                <w:sz w:val="22"/>
                <w:szCs w:val="22"/>
                <w:lang w:val="es-CO"/>
              </w:rPr>
              <w:t>desencadenó una falla multiorgánica que agravó su condición clínic</w:t>
            </w:r>
            <w:r w:rsidR="00755E4B">
              <w:rPr>
                <w:rFonts w:ascii="Century Gothic" w:hAnsi="Century Gothic"/>
                <w:sz w:val="22"/>
                <w:szCs w:val="22"/>
                <w:lang w:val="es-CO"/>
              </w:rPr>
              <w:t>a. A pesar de ello, debe señalarse que existe una posibilidad de que el juez determine que el virus fue adquirido dentro de la entidad clínica, comoquiera que, para el ingreso del señor Pineda, se realizó una prueba de PCR que dio resultados negativos, y así se consignó en la historia clínica, mientras que el virus</w:t>
            </w:r>
            <w:r w:rsidR="00AE33F2">
              <w:rPr>
                <w:rFonts w:ascii="Century Gothic" w:hAnsi="Century Gothic"/>
                <w:sz w:val="22"/>
                <w:szCs w:val="22"/>
                <w:lang w:val="es-CO"/>
              </w:rPr>
              <w:t xml:space="preserve"> tiene un periodo de incubación de entre 2 y 15 días, que es el plazo de tiempo en el que estuvo hospitalizado el señor Pineda dentro del centro médico, antes de realizarse la prueba de PCR que diera como resultado positivo.</w:t>
            </w:r>
          </w:p>
          <w:p w14:paraId="26058E18" w14:textId="77777777" w:rsidR="00B942FE" w:rsidRPr="00B942FE" w:rsidRDefault="00B942FE" w:rsidP="00B942FE">
            <w:pPr>
              <w:jc w:val="both"/>
              <w:rPr>
                <w:rFonts w:ascii="Century Gothic" w:hAnsi="Century Gothic"/>
                <w:sz w:val="22"/>
                <w:szCs w:val="22"/>
                <w:lang w:val="es-CO"/>
              </w:rPr>
            </w:pPr>
          </w:p>
          <w:p w14:paraId="12548D56" w14:textId="77777777" w:rsidR="00B942FE" w:rsidRDefault="00B942FE" w:rsidP="00B942FE">
            <w:pPr>
              <w:jc w:val="both"/>
              <w:rPr>
                <w:rFonts w:ascii="Century Gothic" w:hAnsi="Century Gothic"/>
                <w:sz w:val="22"/>
                <w:szCs w:val="22"/>
                <w:lang w:val="es-CO"/>
              </w:rPr>
            </w:pPr>
            <w:r w:rsidRPr="00B942FE">
              <w:rPr>
                <w:rFonts w:ascii="Century Gothic" w:hAnsi="Century Gothic"/>
                <w:sz w:val="22"/>
                <w:szCs w:val="22"/>
                <w:lang w:val="es-CO"/>
              </w:rPr>
              <w:t>A lo anterior se suma la Resolución No. 3287 del 8 de noviembre de 2023, mediante la cual se sancionó a la IPS LOS COBOS MEDICAL CENTER S.A.S. por incumplimiento de normas relativas a la seguridad y oportunidad en la atención prestada al paciente mencionado. No obstante, dicha resolución no determina que el contagio por COVID-19 haya ocurrido dentro de las instalaciones de la IPS.</w:t>
            </w:r>
          </w:p>
          <w:p w14:paraId="5984EA83" w14:textId="77777777" w:rsidR="00755E4B" w:rsidRPr="00B942FE" w:rsidRDefault="00755E4B" w:rsidP="00B942FE">
            <w:pPr>
              <w:jc w:val="both"/>
              <w:rPr>
                <w:rFonts w:ascii="Century Gothic" w:hAnsi="Century Gothic"/>
                <w:sz w:val="22"/>
                <w:szCs w:val="22"/>
                <w:lang w:val="es-CO"/>
              </w:rPr>
            </w:pPr>
          </w:p>
          <w:p w14:paraId="50BED184" w14:textId="65C036B8" w:rsidR="00B942FE" w:rsidRDefault="00B942FE" w:rsidP="00B942FE">
            <w:pPr>
              <w:jc w:val="both"/>
              <w:rPr>
                <w:rFonts w:ascii="Century Gothic" w:hAnsi="Century Gothic"/>
                <w:sz w:val="22"/>
                <w:szCs w:val="22"/>
                <w:lang w:val="es-CO"/>
              </w:rPr>
            </w:pPr>
            <w:r w:rsidRPr="00B942FE">
              <w:rPr>
                <w:rFonts w:ascii="Century Gothic" w:hAnsi="Century Gothic"/>
                <w:sz w:val="22"/>
                <w:szCs w:val="22"/>
                <w:lang w:val="es-CO"/>
              </w:rPr>
              <w:t xml:space="preserve">En consecuencia, la configuración de una eventual responsabilidad en contra de EPS COMPENSAR dependerá directamente de lo que se logre acreditar a través del acervo probatorio, en particular mediante la práctica de testimonios médicos </w:t>
            </w:r>
            <w:r w:rsidR="00AE33F2">
              <w:rPr>
                <w:rFonts w:ascii="Century Gothic" w:hAnsi="Century Gothic"/>
                <w:sz w:val="22"/>
                <w:szCs w:val="22"/>
                <w:lang w:val="es-CO"/>
              </w:rPr>
              <w:t xml:space="preserve">solicitado por la compañía y por Compensar </w:t>
            </w:r>
            <w:r w:rsidRPr="00B942FE">
              <w:rPr>
                <w:rFonts w:ascii="Century Gothic" w:hAnsi="Century Gothic"/>
                <w:sz w:val="22"/>
                <w:szCs w:val="22"/>
                <w:lang w:val="es-CO"/>
              </w:rPr>
              <w:t xml:space="preserve">que permitan establecer con claridad si existió una actuación </w:t>
            </w:r>
            <w:r w:rsidRPr="00B942FE">
              <w:rPr>
                <w:rFonts w:ascii="Century Gothic" w:hAnsi="Century Gothic"/>
                <w:sz w:val="22"/>
                <w:szCs w:val="22"/>
                <w:lang w:val="es-CO"/>
              </w:rPr>
              <w:lastRenderedPageBreak/>
              <w:t>omisiva o negligente por parte de la entidad aseguradora que guarde relación causal con el fallecimiento del paciente.</w:t>
            </w:r>
            <w:r w:rsidR="00755E4B">
              <w:rPr>
                <w:rFonts w:ascii="Century Gothic" w:hAnsi="Century Gothic"/>
                <w:sz w:val="22"/>
                <w:szCs w:val="22"/>
                <w:lang w:val="es-CO"/>
              </w:rPr>
              <w:t xml:space="preserve"> </w:t>
            </w:r>
          </w:p>
          <w:p w14:paraId="45293F6B" w14:textId="77777777" w:rsidR="00B942FE" w:rsidRDefault="00B942FE" w:rsidP="00B942FE">
            <w:pPr>
              <w:jc w:val="both"/>
              <w:rPr>
                <w:rFonts w:ascii="Century Gothic" w:hAnsi="Century Gothic"/>
                <w:sz w:val="22"/>
                <w:szCs w:val="22"/>
                <w:lang w:val="es-CO"/>
              </w:rPr>
            </w:pPr>
          </w:p>
          <w:p w14:paraId="13D4F670" w14:textId="77777777" w:rsidR="00B942FE" w:rsidRPr="00B942FE" w:rsidRDefault="00B942FE" w:rsidP="00B942FE">
            <w:pPr>
              <w:jc w:val="both"/>
              <w:rPr>
                <w:rFonts w:ascii="Century Gothic" w:hAnsi="Century Gothic"/>
                <w:bCs/>
                <w:sz w:val="22"/>
                <w:szCs w:val="22"/>
                <w:lang w:val="es-CO"/>
              </w:rPr>
            </w:pPr>
            <w:r w:rsidRPr="00B942FE">
              <w:rPr>
                <w:rFonts w:ascii="Century Gothic" w:hAnsi="Century Gothic"/>
                <w:bCs/>
                <w:sz w:val="22"/>
                <w:szCs w:val="22"/>
                <w:lang w:val="es-CO"/>
              </w:rPr>
              <w:t xml:space="preserve">Todo lo anterior, sin perjuicio del carácter contingente del proceso. </w:t>
            </w:r>
            <w:bookmarkStart w:id="1" w:name="_Hlk142487052"/>
            <w:bookmarkEnd w:id="1"/>
          </w:p>
          <w:p w14:paraId="699E9B05" w14:textId="045BF232" w:rsidR="00B942FE" w:rsidRPr="00B942FE" w:rsidRDefault="00B942FE" w:rsidP="00B942FE">
            <w:pPr>
              <w:jc w:val="both"/>
              <w:rPr>
                <w:rFonts w:ascii="Century Gothic" w:hAnsi="Century Gothic"/>
                <w:sz w:val="22"/>
                <w:szCs w:val="22"/>
                <w:lang w:val="es-CO"/>
              </w:rPr>
            </w:pPr>
          </w:p>
        </w:tc>
      </w:tr>
      <w:tr w:rsidR="008A065A" w:rsidRPr="008A065A" w14:paraId="76E1921C" w14:textId="77777777" w:rsidTr="00210131">
        <w:trPr>
          <w:trHeight w:val="1104"/>
        </w:trPr>
        <w:tc>
          <w:tcPr>
            <w:tcW w:w="10207" w:type="dxa"/>
            <w:gridSpan w:val="2"/>
            <w:vAlign w:val="center"/>
          </w:tcPr>
          <w:p w14:paraId="21558917" w14:textId="77777777" w:rsidR="00BC14B6" w:rsidRPr="00767373" w:rsidRDefault="00BC14B6" w:rsidP="00210131">
            <w:pPr>
              <w:jc w:val="center"/>
              <w:rPr>
                <w:rFonts w:ascii="Century Gothic" w:hAnsi="Century Gothic"/>
                <w:sz w:val="22"/>
                <w:szCs w:val="22"/>
                <w:lang w:val="pt-BR"/>
              </w:rPr>
            </w:pPr>
            <w:r w:rsidRPr="00767373">
              <w:rPr>
                <w:rFonts w:ascii="Century Gothic" w:hAnsi="Century Gothic"/>
                <w:sz w:val="22"/>
                <w:szCs w:val="22"/>
                <w:lang w:val="pt-BR"/>
              </w:rPr>
              <w:lastRenderedPageBreak/>
              <w:t>GUSTAVO ALBERTO HERRERA ÁVILA</w:t>
            </w:r>
          </w:p>
          <w:p w14:paraId="6978F9BD" w14:textId="77777777" w:rsidR="00BC14B6" w:rsidRPr="00767373" w:rsidRDefault="00BC14B6" w:rsidP="00210131">
            <w:pPr>
              <w:jc w:val="center"/>
              <w:rPr>
                <w:rFonts w:ascii="Century Gothic" w:hAnsi="Century Gothic"/>
                <w:sz w:val="22"/>
                <w:szCs w:val="22"/>
                <w:lang w:val="pt-BR"/>
              </w:rPr>
            </w:pPr>
            <w:r w:rsidRPr="00767373">
              <w:rPr>
                <w:rFonts w:ascii="Century Gothic" w:hAnsi="Century Gothic"/>
                <w:sz w:val="22"/>
                <w:szCs w:val="22"/>
                <w:lang w:val="pt-BR"/>
              </w:rPr>
              <w:t>C.C. Nº 19.395.114 de Bogotá</w:t>
            </w:r>
          </w:p>
          <w:p w14:paraId="6111C550" w14:textId="77777777" w:rsidR="00BC14B6" w:rsidRDefault="00BC14B6" w:rsidP="00210131">
            <w:pPr>
              <w:jc w:val="center"/>
              <w:rPr>
                <w:rFonts w:ascii="Century Gothic" w:hAnsi="Century Gothic"/>
                <w:sz w:val="22"/>
                <w:szCs w:val="22"/>
              </w:rPr>
            </w:pPr>
            <w:r w:rsidRPr="008A065A">
              <w:rPr>
                <w:rFonts w:ascii="Century Gothic" w:hAnsi="Century Gothic"/>
                <w:sz w:val="22"/>
                <w:szCs w:val="22"/>
              </w:rPr>
              <w:t xml:space="preserve">T.P. </w:t>
            </w:r>
            <w:proofErr w:type="spellStart"/>
            <w:r w:rsidRPr="008A065A">
              <w:rPr>
                <w:rFonts w:ascii="Century Gothic" w:hAnsi="Century Gothic"/>
                <w:sz w:val="22"/>
                <w:szCs w:val="22"/>
              </w:rPr>
              <w:t>N°</w:t>
            </w:r>
            <w:proofErr w:type="spellEnd"/>
            <w:r w:rsidRPr="008A065A">
              <w:rPr>
                <w:rFonts w:ascii="Century Gothic" w:hAnsi="Century Gothic"/>
                <w:sz w:val="22"/>
                <w:szCs w:val="22"/>
              </w:rPr>
              <w:t xml:space="preserve"> 39.116 del C. S. de la J.</w:t>
            </w:r>
          </w:p>
          <w:p w14:paraId="62832167" w14:textId="682EEBE2" w:rsidR="00B942FE" w:rsidRPr="00B942FE" w:rsidRDefault="00B942FE" w:rsidP="00210131">
            <w:pPr>
              <w:jc w:val="center"/>
              <w:rPr>
                <w:rFonts w:ascii="Century Gothic" w:hAnsi="Century Gothic"/>
                <w:sz w:val="16"/>
                <w:szCs w:val="16"/>
              </w:rPr>
            </w:pPr>
            <w:r w:rsidRPr="00B942FE">
              <w:rPr>
                <w:rFonts w:ascii="Century Gothic" w:hAnsi="Century Gothic"/>
                <w:sz w:val="16"/>
                <w:szCs w:val="16"/>
              </w:rPr>
              <w:t>LCOC</w:t>
            </w:r>
          </w:p>
          <w:p w14:paraId="01CB7F5C" w14:textId="77777777" w:rsidR="00BC14B6" w:rsidRPr="008A065A" w:rsidRDefault="00BC14B6" w:rsidP="00210131">
            <w:pPr>
              <w:jc w:val="center"/>
              <w:rPr>
                <w:rFonts w:ascii="Century Gothic" w:hAnsi="Century Gothic"/>
                <w:sz w:val="22"/>
                <w:szCs w:val="22"/>
              </w:rPr>
            </w:pPr>
          </w:p>
        </w:tc>
      </w:tr>
    </w:tbl>
    <w:p w14:paraId="46AF2406" w14:textId="77777777" w:rsidR="00BC14B6" w:rsidRPr="008A065A" w:rsidRDefault="00BC14B6" w:rsidP="00BC14B6">
      <w:pPr>
        <w:rPr>
          <w:rFonts w:ascii="Century Gothic" w:hAnsi="Century Gothic"/>
          <w:sz w:val="22"/>
          <w:szCs w:val="22"/>
        </w:rPr>
      </w:pPr>
    </w:p>
    <w:p w14:paraId="4805E1A8" w14:textId="77777777" w:rsidR="00BC14B6" w:rsidRPr="008A065A" w:rsidRDefault="00BC14B6" w:rsidP="00BC14B6">
      <w:pPr>
        <w:rPr>
          <w:rFonts w:ascii="Century Gothic" w:hAnsi="Century Gothic"/>
          <w:sz w:val="22"/>
          <w:szCs w:val="22"/>
        </w:rPr>
      </w:pPr>
    </w:p>
    <w:p w14:paraId="43D1A279" w14:textId="77777777" w:rsidR="001B7CA7" w:rsidRPr="008A065A" w:rsidRDefault="001B7CA7"/>
    <w:sectPr w:rsidR="001B7CA7" w:rsidRPr="008A06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B2E"/>
    <w:multiLevelType w:val="multilevel"/>
    <w:tmpl w:val="E1F4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B80609"/>
    <w:multiLevelType w:val="hybridMultilevel"/>
    <w:tmpl w:val="9386ECFC"/>
    <w:lvl w:ilvl="0" w:tplc="68FC0DBC">
      <w:start w:val="1"/>
      <w:numFmt w:val="decimal"/>
      <w:lvlText w:val="%1."/>
      <w:lvlJc w:val="left"/>
      <w:pPr>
        <w:ind w:left="2804"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2E5F84"/>
    <w:multiLevelType w:val="multilevel"/>
    <w:tmpl w:val="44CA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8E43D2"/>
    <w:multiLevelType w:val="multilevel"/>
    <w:tmpl w:val="5A3035FA"/>
    <w:lvl w:ilvl="0">
      <w:start w:val="1"/>
      <w:numFmt w:val="decimal"/>
      <w:lvlText w:val="%1."/>
      <w:lvlJc w:val="left"/>
      <w:pPr>
        <w:ind w:left="1065" w:hanging="705"/>
      </w:pPr>
      <w:rPr>
        <w:rFonts w:ascii="Century Gothic" w:eastAsiaTheme="minorHAnsi" w:hAnsi="Century Gothic" w:cstheme="minorHAnsi"/>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92968B7"/>
    <w:multiLevelType w:val="hybridMultilevel"/>
    <w:tmpl w:val="2FFE87C6"/>
    <w:lvl w:ilvl="0" w:tplc="49047990">
      <w:start w:val="1"/>
      <w:numFmt w:val="decimal"/>
      <w:lvlText w:val="%1."/>
      <w:lvlJc w:val="left"/>
      <w:pPr>
        <w:ind w:left="644" w:hanging="360"/>
      </w:pPr>
      <w:rPr>
        <w:rFonts w:ascii="Helvetica" w:eastAsia="Times New Roman" w:hAnsi="Helvetica" w:cs="Times New Roman"/>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36A241D4">
      <w:start w:val="1"/>
      <w:numFmt w:val="decimal"/>
      <w:lvlText w:val="%4."/>
      <w:lvlJc w:val="left"/>
      <w:pPr>
        <w:ind w:left="2804" w:hanging="360"/>
      </w:pPr>
      <w:rPr>
        <w:rFonts w:ascii="Century Gothic" w:eastAsiaTheme="minorHAnsi" w:hAnsi="Century Gothic" w:cstheme="minorBidi"/>
        <w:b/>
        <w:bCs/>
      </w:r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 w15:restartNumberingAfterBreak="0">
    <w:nsid w:val="4B0D7DF4"/>
    <w:multiLevelType w:val="multilevel"/>
    <w:tmpl w:val="7618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AE3400"/>
    <w:multiLevelType w:val="hybridMultilevel"/>
    <w:tmpl w:val="CE0896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22B7A9B"/>
    <w:multiLevelType w:val="hybridMultilevel"/>
    <w:tmpl w:val="558C531C"/>
    <w:lvl w:ilvl="0" w:tplc="240A0001">
      <w:start w:val="1"/>
      <w:numFmt w:val="bullet"/>
      <w:lvlText w:val=""/>
      <w:lvlJc w:val="left"/>
      <w:pPr>
        <w:ind w:left="1850" w:hanging="360"/>
      </w:pPr>
      <w:rPr>
        <w:rFonts w:ascii="Symbol" w:hAnsi="Symbol" w:hint="default"/>
      </w:rPr>
    </w:lvl>
    <w:lvl w:ilvl="1" w:tplc="240A0003" w:tentative="1">
      <w:start w:val="1"/>
      <w:numFmt w:val="bullet"/>
      <w:lvlText w:val="o"/>
      <w:lvlJc w:val="left"/>
      <w:pPr>
        <w:ind w:left="2570" w:hanging="360"/>
      </w:pPr>
      <w:rPr>
        <w:rFonts w:ascii="Courier New" w:hAnsi="Courier New" w:cs="Courier New" w:hint="default"/>
      </w:rPr>
    </w:lvl>
    <w:lvl w:ilvl="2" w:tplc="240A0005" w:tentative="1">
      <w:start w:val="1"/>
      <w:numFmt w:val="bullet"/>
      <w:lvlText w:val=""/>
      <w:lvlJc w:val="left"/>
      <w:pPr>
        <w:ind w:left="3290" w:hanging="360"/>
      </w:pPr>
      <w:rPr>
        <w:rFonts w:ascii="Wingdings" w:hAnsi="Wingdings" w:hint="default"/>
      </w:rPr>
    </w:lvl>
    <w:lvl w:ilvl="3" w:tplc="240A0001" w:tentative="1">
      <w:start w:val="1"/>
      <w:numFmt w:val="bullet"/>
      <w:lvlText w:val=""/>
      <w:lvlJc w:val="left"/>
      <w:pPr>
        <w:ind w:left="4010" w:hanging="360"/>
      </w:pPr>
      <w:rPr>
        <w:rFonts w:ascii="Symbol" w:hAnsi="Symbol" w:hint="default"/>
      </w:rPr>
    </w:lvl>
    <w:lvl w:ilvl="4" w:tplc="240A0003" w:tentative="1">
      <w:start w:val="1"/>
      <w:numFmt w:val="bullet"/>
      <w:lvlText w:val="o"/>
      <w:lvlJc w:val="left"/>
      <w:pPr>
        <w:ind w:left="4730" w:hanging="360"/>
      </w:pPr>
      <w:rPr>
        <w:rFonts w:ascii="Courier New" w:hAnsi="Courier New" w:cs="Courier New" w:hint="default"/>
      </w:rPr>
    </w:lvl>
    <w:lvl w:ilvl="5" w:tplc="240A0005" w:tentative="1">
      <w:start w:val="1"/>
      <w:numFmt w:val="bullet"/>
      <w:lvlText w:val=""/>
      <w:lvlJc w:val="left"/>
      <w:pPr>
        <w:ind w:left="5450" w:hanging="360"/>
      </w:pPr>
      <w:rPr>
        <w:rFonts w:ascii="Wingdings" w:hAnsi="Wingdings" w:hint="default"/>
      </w:rPr>
    </w:lvl>
    <w:lvl w:ilvl="6" w:tplc="240A0001" w:tentative="1">
      <w:start w:val="1"/>
      <w:numFmt w:val="bullet"/>
      <w:lvlText w:val=""/>
      <w:lvlJc w:val="left"/>
      <w:pPr>
        <w:ind w:left="6170" w:hanging="360"/>
      </w:pPr>
      <w:rPr>
        <w:rFonts w:ascii="Symbol" w:hAnsi="Symbol" w:hint="default"/>
      </w:rPr>
    </w:lvl>
    <w:lvl w:ilvl="7" w:tplc="240A0003" w:tentative="1">
      <w:start w:val="1"/>
      <w:numFmt w:val="bullet"/>
      <w:lvlText w:val="o"/>
      <w:lvlJc w:val="left"/>
      <w:pPr>
        <w:ind w:left="6890" w:hanging="360"/>
      </w:pPr>
      <w:rPr>
        <w:rFonts w:ascii="Courier New" w:hAnsi="Courier New" w:cs="Courier New" w:hint="default"/>
      </w:rPr>
    </w:lvl>
    <w:lvl w:ilvl="8" w:tplc="240A0005" w:tentative="1">
      <w:start w:val="1"/>
      <w:numFmt w:val="bullet"/>
      <w:lvlText w:val=""/>
      <w:lvlJc w:val="left"/>
      <w:pPr>
        <w:ind w:left="7610" w:hanging="360"/>
      </w:pPr>
      <w:rPr>
        <w:rFonts w:ascii="Wingdings" w:hAnsi="Wingdings" w:hint="default"/>
      </w:rPr>
    </w:lvl>
  </w:abstractNum>
  <w:abstractNum w:abstractNumId="8" w15:restartNumberingAfterBreak="0">
    <w:nsid w:val="579A7CEE"/>
    <w:multiLevelType w:val="multilevel"/>
    <w:tmpl w:val="1888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040EA1"/>
    <w:multiLevelType w:val="hybridMultilevel"/>
    <w:tmpl w:val="D3A036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B4D2A41"/>
    <w:multiLevelType w:val="hybridMultilevel"/>
    <w:tmpl w:val="DED299DA"/>
    <w:lvl w:ilvl="0" w:tplc="C8A2A656">
      <w:start w:val="1"/>
      <w:numFmt w:val="decimal"/>
      <w:lvlText w:val="%1."/>
      <w:lvlJc w:val="left"/>
      <w:pPr>
        <w:ind w:left="720" w:hanging="360"/>
      </w:pPr>
      <w:rPr>
        <w:lang w:val="es-E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16cid:durableId="1271736808">
    <w:abstractNumId w:val="3"/>
  </w:num>
  <w:num w:numId="2" w16cid:durableId="1869294398">
    <w:abstractNumId w:val="4"/>
  </w:num>
  <w:num w:numId="3" w16cid:durableId="613756933">
    <w:abstractNumId w:val="6"/>
  </w:num>
  <w:num w:numId="4" w16cid:durableId="1426656104">
    <w:abstractNumId w:val="7"/>
  </w:num>
  <w:num w:numId="5" w16cid:durableId="1576207034">
    <w:abstractNumId w:val="5"/>
  </w:num>
  <w:num w:numId="6" w16cid:durableId="2100565727">
    <w:abstractNumId w:val="0"/>
  </w:num>
  <w:num w:numId="7" w16cid:durableId="1124739775">
    <w:abstractNumId w:val="8"/>
  </w:num>
  <w:num w:numId="8" w16cid:durableId="779691423">
    <w:abstractNumId w:val="2"/>
  </w:num>
  <w:num w:numId="9" w16cid:durableId="263734945">
    <w:abstractNumId w:val="9"/>
  </w:num>
  <w:num w:numId="10" w16cid:durableId="1338386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702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B6"/>
    <w:rsid w:val="0000715A"/>
    <w:rsid w:val="00037FD5"/>
    <w:rsid w:val="00055EBB"/>
    <w:rsid w:val="000700F4"/>
    <w:rsid w:val="000B4EAD"/>
    <w:rsid w:val="000E6CD3"/>
    <w:rsid w:val="000F768F"/>
    <w:rsid w:val="0010151E"/>
    <w:rsid w:val="00106BE8"/>
    <w:rsid w:val="00182B0E"/>
    <w:rsid w:val="00184E53"/>
    <w:rsid w:val="00190E74"/>
    <w:rsid w:val="001B536A"/>
    <w:rsid w:val="001B7CA7"/>
    <w:rsid w:val="001D05EB"/>
    <w:rsid w:val="001E2C23"/>
    <w:rsid w:val="001F4989"/>
    <w:rsid w:val="002057AA"/>
    <w:rsid w:val="00210131"/>
    <w:rsid w:val="002126B9"/>
    <w:rsid w:val="002B2F92"/>
    <w:rsid w:val="0031520D"/>
    <w:rsid w:val="003321FF"/>
    <w:rsid w:val="0033441D"/>
    <w:rsid w:val="003528B4"/>
    <w:rsid w:val="0038340B"/>
    <w:rsid w:val="003B3FD6"/>
    <w:rsid w:val="003C68B0"/>
    <w:rsid w:val="003D50C0"/>
    <w:rsid w:val="003E43F1"/>
    <w:rsid w:val="003F1285"/>
    <w:rsid w:val="0041516C"/>
    <w:rsid w:val="004152E7"/>
    <w:rsid w:val="004B7F5F"/>
    <w:rsid w:val="00517F2A"/>
    <w:rsid w:val="005505BE"/>
    <w:rsid w:val="00571AA2"/>
    <w:rsid w:val="005C236A"/>
    <w:rsid w:val="00612842"/>
    <w:rsid w:val="0064729B"/>
    <w:rsid w:val="006B6106"/>
    <w:rsid w:val="006D01EE"/>
    <w:rsid w:val="006D388A"/>
    <w:rsid w:val="006F303D"/>
    <w:rsid w:val="006F538E"/>
    <w:rsid w:val="006F6364"/>
    <w:rsid w:val="0072744A"/>
    <w:rsid w:val="00755E4B"/>
    <w:rsid w:val="0076455D"/>
    <w:rsid w:val="00766860"/>
    <w:rsid w:val="00766DF1"/>
    <w:rsid w:val="00767373"/>
    <w:rsid w:val="0078133D"/>
    <w:rsid w:val="007A2D3E"/>
    <w:rsid w:val="007C6FF0"/>
    <w:rsid w:val="007E732F"/>
    <w:rsid w:val="007F39D6"/>
    <w:rsid w:val="00802D76"/>
    <w:rsid w:val="00832765"/>
    <w:rsid w:val="00835C43"/>
    <w:rsid w:val="00850765"/>
    <w:rsid w:val="00856DD3"/>
    <w:rsid w:val="00861A26"/>
    <w:rsid w:val="00882112"/>
    <w:rsid w:val="00890405"/>
    <w:rsid w:val="008923BB"/>
    <w:rsid w:val="008A065A"/>
    <w:rsid w:val="008B05A2"/>
    <w:rsid w:val="008F007D"/>
    <w:rsid w:val="0093040C"/>
    <w:rsid w:val="0093602D"/>
    <w:rsid w:val="00952A2B"/>
    <w:rsid w:val="00961E5A"/>
    <w:rsid w:val="00983AA3"/>
    <w:rsid w:val="009875E9"/>
    <w:rsid w:val="009A2F56"/>
    <w:rsid w:val="009C5365"/>
    <w:rsid w:val="009E3B4C"/>
    <w:rsid w:val="009E3F41"/>
    <w:rsid w:val="009E4F59"/>
    <w:rsid w:val="009E7305"/>
    <w:rsid w:val="00A02F97"/>
    <w:rsid w:val="00A1502B"/>
    <w:rsid w:val="00A26A6B"/>
    <w:rsid w:val="00A41F5A"/>
    <w:rsid w:val="00A5572D"/>
    <w:rsid w:val="00A74F96"/>
    <w:rsid w:val="00AD2C53"/>
    <w:rsid w:val="00AE33F2"/>
    <w:rsid w:val="00B27A57"/>
    <w:rsid w:val="00B53D33"/>
    <w:rsid w:val="00B71E95"/>
    <w:rsid w:val="00B93C97"/>
    <w:rsid w:val="00B942FE"/>
    <w:rsid w:val="00BB3F78"/>
    <w:rsid w:val="00BB6A12"/>
    <w:rsid w:val="00BC0B21"/>
    <w:rsid w:val="00BC14B6"/>
    <w:rsid w:val="00C40A53"/>
    <w:rsid w:val="00C85698"/>
    <w:rsid w:val="00CC0CF3"/>
    <w:rsid w:val="00D4221A"/>
    <w:rsid w:val="00D5279B"/>
    <w:rsid w:val="00DA1527"/>
    <w:rsid w:val="00DC4E28"/>
    <w:rsid w:val="00DC4EA0"/>
    <w:rsid w:val="00DD0CE8"/>
    <w:rsid w:val="00DE4DE0"/>
    <w:rsid w:val="00E26226"/>
    <w:rsid w:val="00E46B07"/>
    <w:rsid w:val="00E61DB4"/>
    <w:rsid w:val="00E76023"/>
    <w:rsid w:val="00E8478D"/>
    <w:rsid w:val="00F35F85"/>
    <w:rsid w:val="00FB1E9F"/>
    <w:rsid w:val="00FC2357"/>
    <w:rsid w:val="00FD5C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889B"/>
  <w15:chartTrackingRefBased/>
  <w15:docId w15:val="{A52927C7-80D2-48A1-A0D6-621DDDEC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B6"/>
    <w:pPr>
      <w:spacing w:after="0" w:line="240" w:lineRule="auto"/>
    </w:pPr>
    <w:rPr>
      <w:kern w:val="0"/>
      <w:lang w:val="es-ES_tradnl"/>
      <w14:ligatures w14:val="none"/>
    </w:rPr>
  </w:style>
  <w:style w:type="paragraph" w:styleId="Ttulo1">
    <w:name w:val="heading 1"/>
    <w:basedOn w:val="Normal"/>
    <w:next w:val="Normal"/>
    <w:link w:val="Ttulo1Car"/>
    <w:uiPriority w:val="9"/>
    <w:qFormat/>
    <w:rsid w:val="00BC1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1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14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14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14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14B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14B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14B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14B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14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14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14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14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14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14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14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14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14B6"/>
    <w:rPr>
      <w:rFonts w:eastAsiaTheme="majorEastAsia" w:cstheme="majorBidi"/>
      <w:color w:val="272727" w:themeColor="text1" w:themeTint="D8"/>
    </w:rPr>
  </w:style>
  <w:style w:type="paragraph" w:styleId="Ttulo">
    <w:name w:val="Title"/>
    <w:basedOn w:val="Normal"/>
    <w:next w:val="Normal"/>
    <w:link w:val="TtuloCar"/>
    <w:uiPriority w:val="10"/>
    <w:qFormat/>
    <w:rsid w:val="00BC14B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14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14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14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14B6"/>
    <w:pPr>
      <w:spacing w:before="160"/>
      <w:jc w:val="center"/>
    </w:pPr>
    <w:rPr>
      <w:i/>
      <w:iCs/>
      <w:color w:val="404040" w:themeColor="text1" w:themeTint="BF"/>
    </w:rPr>
  </w:style>
  <w:style w:type="character" w:customStyle="1" w:styleId="CitaCar">
    <w:name w:val="Cita Car"/>
    <w:basedOn w:val="Fuentedeprrafopredeter"/>
    <w:link w:val="Cita"/>
    <w:uiPriority w:val="29"/>
    <w:rsid w:val="00BC14B6"/>
    <w:rPr>
      <w:i/>
      <w:iCs/>
      <w:color w:val="404040" w:themeColor="text1" w:themeTint="BF"/>
    </w:rPr>
  </w:style>
  <w:style w:type="paragraph" w:styleId="Prrafodelista">
    <w:name w:val="List Paragraph"/>
    <w:basedOn w:val="Normal"/>
    <w:uiPriority w:val="34"/>
    <w:qFormat/>
    <w:rsid w:val="00BC14B6"/>
    <w:pPr>
      <w:ind w:left="720"/>
      <w:contextualSpacing/>
    </w:pPr>
  </w:style>
  <w:style w:type="character" w:styleId="nfasisintenso">
    <w:name w:val="Intense Emphasis"/>
    <w:basedOn w:val="Fuentedeprrafopredeter"/>
    <w:uiPriority w:val="21"/>
    <w:qFormat/>
    <w:rsid w:val="00BC14B6"/>
    <w:rPr>
      <w:i/>
      <w:iCs/>
      <w:color w:val="0F4761" w:themeColor="accent1" w:themeShade="BF"/>
    </w:rPr>
  </w:style>
  <w:style w:type="paragraph" w:styleId="Citadestacada">
    <w:name w:val="Intense Quote"/>
    <w:basedOn w:val="Normal"/>
    <w:next w:val="Normal"/>
    <w:link w:val="CitadestacadaCar"/>
    <w:uiPriority w:val="30"/>
    <w:qFormat/>
    <w:rsid w:val="00BC1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14B6"/>
    <w:rPr>
      <w:i/>
      <w:iCs/>
      <w:color w:val="0F4761" w:themeColor="accent1" w:themeShade="BF"/>
    </w:rPr>
  </w:style>
  <w:style w:type="character" w:styleId="Referenciaintensa">
    <w:name w:val="Intense Reference"/>
    <w:basedOn w:val="Fuentedeprrafopredeter"/>
    <w:uiPriority w:val="32"/>
    <w:qFormat/>
    <w:rsid w:val="00BC14B6"/>
    <w:rPr>
      <w:b/>
      <w:bCs/>
      <w:smallCaps/>
      <w:color w:val="0F4761" w:themeColor="accent1" w:themeShade="BF"/>
      <w:spacing w:val="5"/>
    </w:rPr>
  </w:style>
  <w:style w:type="table" w:styleId="Tablaconcuadrcula">
    <w:name w:val="Table Grid"/>
    <w:basedOn w:val="Tablanormal"/>
    <w:uiPriority w:val="39"/>
    <w:rsid w:val="00BC14B6"/>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14B6"/>
    <w:pPr>
      <w:autoSpaceDE w:val="0"/>
      <w:autoSpaceDN w:val="0"/>
      <w:adjustRightInd w:val="0"/>
      <w:spacing w:after="0" w:line="240" w:lineRule="auto"/>
    </w:pPr>
    <w:rPr>
      <w:rFonts w:ascii="Bookman Old Style" w:hAnsi="Bookman Old Style" w:cs="Bookman Old Style"/>
      <w:color w:val="000000"/>
      <w:kern w:val="0"/>
    </w:rPr>
  </w:style>
  <w:style w:type="paragraph" w:styleId="NormalWeb">
    <w:name w:val="Normal (Web)"/>
    <w:basedOn w:val="Normal"/>
    <w:uiPriority w:val="99"/>
    <w:unhideWhenUsed/>
    <w:rsid w:val="000E6CD3"/>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7294">
      <w:bodyDiv w:val="1"/>
      <w:marLeft w:val="0"/>
      <w:marRight w:val="0"/>
      <w:marTop w:val="0"/>
      <w:marBottom w:val="0"/>
      <w:divBdr>
        <w:top w:val="none" w:sz="0" w:space="0" w:color="auto"/>
        <w:left w:val="none" w:sz="0" w:space="0" w:color="auto"/>
        <w:bottom w:val="none" w:sz="0" w:space="0" w:color="auto"/>
        <w:right w:val="none" w:sz="0" w:space="0" w:color="auto"/>
      </w:divBdr>
    </w:div>
    <w:div w:id="164173910">
      <w:bodyDiv w:val="1"/>
      <w:marLeft w:val="0"/>
      <w:marRight w:val="0"/>
      <w:marTop w:val="0"/>
      <w:marBottom w:val="0"/>
      <w:divBdr>
        <w:top w:val="none" w:sz="0" w:space="0" w:color="auto"/>
        <w:left w:val="none" w:sz="0" w:space="0" w:color="auto"/>
        <w:bottom w:val="none" w:sz="0" w:space="0" w:color="auto"/>
        <w:right w:val="none" w:sz="0" w:space="0" w:color="auto"/>
      </w:divBdr>
      <w:divsChild>
        <w:div w:id="1567951094">
          <w:marLeft w:val="0"/>
          <w:marRight w:val="0"/>
          <w:marTop w:val="240"/>
          <w:marBottom w:val="240"/>
          <w:divBdr>
            <w:top w:val="none" w:sz="0" w:space="0" w:color="auto"/>
            <w:left w:val="none" w:sz="0" w:space="0" w:color="auto"/>
            <w:bottom w:val="none" w:sz="0" w:space="0" w:color="auto"/>
            <w:right w:val="none" w:sz="0" w:space="0" w:color="auto"/>
          </w:divBdr>
        </w:div>
        <w:div w:id="1155073889">
          <w:marLeft w:val="0"/>
          <w:marRight w:val="0"/>
          <w:marTop w:val="240"/>
          <w:marBottom w:val="240"/>
          <w:divBdr>
            <w:top w:val="none" w:sz="0" w:space="0" w:color="auto"/>
            <w:left w:val="none" w:sz="0" w:space="0" w:color="auto"/>
            <w:bottom w:val="none" w:sz="0" w:space="0" w:color="auto"/>
            <w:right w:val="none" w:sz="0" w:space="0" w:color="auto"/>
          </w:divBdr>
        </w:div>
        <w:div w:id="525095609">
          <w:marLeft w:val="0"/>
          <w:marRight w:val="0"/>
          <w:marTop w:val="240"/>
          <w:marBottom w:val="240"/>
          <w:divBdr>
            <w:top w:val="none" w:sz="0" w:space="0" w:color="auto"/>
            <w:left w:val="none" w:sz="0" w:space="0" w:color="auto"/>
            <w:bottom w:val="none" w:sz="0" w:space="0" w:color="auto"/>
            <w:right w:val="none" w:sz="0" w:space="0" w:color="auto"/>
          </w:divBdr>
        </w:div>
        <w:div w:id="1498616440">
          <w:marLeft w:val="0"/>
          <w:marRight w:val="0"/>
          <w:marTop w:val="240"/>
          <w:marBottom w:val="240"/>
          <w:divBdr>
            <w:top w:val="none" w:sz="0" w:space="0" w:color="auto"/>
            <w:left w:val="none" w:sz="0" w:space="0" w:color="auto"/>
            <w:bottom w:val="none" w:sz="0" w:space="0" w:color="auto"/>
            <w:right w:val="none" w:sz="0" w:space="0" w:color="auto"/>
          </w:divBdr>
        </w:div>
      </w:divsChild>
    </w:div>
    <w:div w:id="180625586">
      <w:bodyDiv w:val="1"/>
      <w:marLeft w:val="0"/>
      <w:marRight w:val="0"/>
      <w:marTop w:val="0"/>
      <w:marBottom w:val="0"/>
      <w:divBdr>
        <w:top w:val="none" w:sz="0" w:space="0" w:color="auto"/>
        <w:left w:val="none" w:sz="0" w:space="0" w:color="auto"/>
        <w:bottom w:val="none" w:sz="0" w:space="0" w:color="auto"/>
        <w:right w:val="none" w:sz="0" w:space="0" w:color="auto"/>
      </w:divBdr>
    </w:div>
    <w:div w:id="304314835">
      <w:bodyDiv w:val="1"/>
      <w:marLeft w:val="0"/>
      <w:marRight w:val="0"/>
      <w:marTop w:val="0"/>
      <w:marBottom w:val="0"/>
      <w:divBdr>
        <w:top w:val="none" w:sz="0" w:space="0" w:color="auto"/>
        <w:left w:val="none" w:sz="0" w:space="0" w:color="auto"/>
        <w:bottom w:val="none" w:sz="0" w:space="0" w:color="auto"/>
        <w:right w:val="none" w:sz="0" w:space="0" w:color="auto"/>
      </w:divBdr>
    </w:div>
    <w:div w:id="354114586">
      <w:bodyDiv w:val="1"/>
      <w:marLeft w:val="0"/>
      <w:marRight w:val="0"/>
      <w:marTop w:val="0"/>
      <w:marBottom w:val="0"/>
      <w:divBdr>
        <w:top w:val="none" w:sz="0" w:space="0" w:color="auto"/>
        <w:left w:val="none" w:sz="0" w:space="0" w:color="auto"/>
        <w:bottom w:val="none" w:sz="0" w:space="0" w:color="auto"/>
        <w:right w:val="none" w:sz="0" w:space="0" w:color="auto"/>
      </w:divBdr>
    </w:div>
    <w:div w:id="433862937">
      <w:bodyDiv w:val="1"/>
      <w:marLeft w:val="0"/>
      <w:marRight w:val="0"/>
      <w:marTop w:val="0"/>
      <w:marBottom w:val="0"/>
      <w:divBdr>
        <w:top w:val="none" w:sz="0" w:space="0" w:color="auto"/>
        <w:left w:val="none" w:sz="0" w:space="0" w:color="auto"/>
        <w:bottom w:val="none" w:sz="0" w:space="0" w:color="auto"/>
        <w:right w:val="none" w:sz="0" w:space="0" w:color="auto"/>
      </w:divBdr>
    </w:div>
    <w:div w:id="439841841">
      <w:bodyDiv w:val="1"/>
      <w:marLeft w:val="0"/>
      <w:marRight w:val="0"/>
      <w:marTop w:val="0"/>
      <w:marBottom w:val="0"/>
      <w:divBdr>
        <w:top w:val="none" w:sz="0" w:space="0" w:color="auto"/>
        <w:left w:val="none" w:sz="0" w:space="0" w:color="auto"/>
        <w:bottom w:val="none" w:sz="0" w:space="0" w:color="auto"/>
        <w:right w:val="none" w:sz="0" w:space="0" w:color="auto"/>
      </w:divBdr>
    </w:div>
    <w:div w:id="464809031">
      <w:bodyDiv w:val="1"/>
      <w:marLeft w:val="0"/>
      <w:marRight w:val="0"/>
      <w:marTop w:val="0"/>
      <w:marBottom w:val="0"/>
      <w:divBdr>
        <w:top w:val="none" w:sz="0" w:space="0" w:color="auto"/>
        <w:left w:val="none" w:sz="0" w:space="0" w:color="auto"/>
        <w:bottom w:val="none" w:sz="0" w:space="0" w:color="auto"/>
        <w:right w:val="none" w:sz="0" w:space="0" w:color="auto"/>
      </w:divBdr>
    </w:div>
    <w:div w:id="514224075">
      <w:bodyDiv w:val="1"/>
      <w:marLeft w:val="0"/>
      <w:marRight w:val="0"/>
      <w:marTop w:val="0"/>
      <w:marBottom w:val="0"/>
      <w:divBdr>
        <w:top w:val="none" w:sz="0" w:space="0" w:color="auto"/>
        <w:left w:val="none" w:sz="0" w:space="0" w:color="auto"/>
        <w:bottom w:val="none" w:sz="0" w:space="0" w:color="auto"/>
        <w:right w:val="none" w:sz="0" w:space="0" w:color="auto"/>
      </w:divBdr>
    </w:div>
    <w:div w:id="560753384">
      <w:bodyDiv w:val="1"/>
      <w:marLeft w:val="0"/>
      <w:marRight w:val="0"/>
      <w:marTop w:val="0"/>
      <w:marBottom w:val="0"/>
      <w:divBdr>
        <w:top w:val="none" w:sz="0" w:space="0" w:color="auto"/>
        <w:left w:val="none" w:sz="0" w:space="0" w:color="auto"/>
        <w:bottom w:val="none" w:sz="0" w:space="0" w:color="auto"/>
        <w:right w:val="none" w:sz="0" w:space="0" w:color="auto"/>
      </w:divBdr>
    </w:div>
    <w:div w:id="630212423">
      <w:bodyDiv w:val="1"/>
      <w:marLeft w:val="0"/>
      <w:marRight w:val="0"/>
      <w:marTop w:val="0"/>
      <w:marBottom w:val="0"/>
      <w:divBdr>
        <w:top w:val="none" w:sz="0" w:space="0" w:color="auto"/>
        <w:left w:val="none" w:sz="0" w:space="0" w:color="auto"/>
        <w:bottom w:val="none" w:sz="0" w:space="0" w:color="auto"/>
        <w:right w:val="none" w:sz="0" w:space="0" w:color="auto"/>
      </w:divBdr>
    </w:div>
    <w:div w:id="635532531">
      <w:bodyDiv w:val="1"/>
      <w:marLeft w:val="0"/>
      <w:marRight w:val="0"/>
      <w:marTop w:val="0"/>
      <w:marBottom w:val="0"/>
      <w:divBdr>
        <w:top w:val="none" w:sz="0" w:space="0" w:color="auto"/>
        <w:left w:val="none" w:sz="0" w:space="0" w:color="auto"/>
        <w:bottom w:val="none" w:sz="0" w:space="0" w:color="auto"/>
        <w:right w:val="none" w:sz="0" w:space="0" w:color="auto"/>
      </w:divBdr>
    </w:div>
    <w:div w:id="677346972">
      <w:bodyDiv w:val="1"/>
      <w:marLeft w:val="0"/>
      <w:marRight w:val="0"/>
      <w:marTop w:val="0"/>
      <w:marBottom w:val="0"/>
      <w:divBdr>
        <w:top w:val="none" w:sz="0" w:space="0" w:color="auto"/>
        <w:left w:val="none" w:sz="0" w:space="0" w:color="auto"/>
        <w:bottom w:val="none" w:sz="0" w:space="0" w:color="auto"/>
        <w:right w:val="none" w:sz="0" w:space="0" w:color="auto"/>
      </w:divBdr>
    </w:div>
    <w:div w:id="679627350">
      <w:bodyDiv w:val="1"/>
      <w:marLeft w:val="0"/>
      <w:marRight w:val="0"/>
      <w:marTop w:val="0"/>
      <w:marBottom w:val="0"/>
      <w:divBdr>
        <w:top w:val="none" w:sz="0" w:space="0" w:color="auto"/>
        <w:left w:val="none" w:sz="0" w:space="0" w:color="auto"/>
        <w:bottom w:val="none" w:sz="0" w:space="0" w:color="auto"/>
        <w:right w:val="none" w:sz="0" w:space="0" w:color="auto"/>
      </w:divBdr>
    </w:div>
    <w:div w:id="755710300">
      <w:bodyDiv w:val="1"/>
      <w:marLeft w:val="0"/>
      <w:marRight w:val="0"/>
      <w:marTop w:val="0"/>
      <w:marBottom w:val="0"/>
      <w:divBdr>
        <w:top w:val="none" w:sz="0" w:space="0" w:color="auto"/>
        <w:left w:val="none" w:sz="0" w:space="0" w:color="auto"/>
        <w:bottom w:val="none" w:sz="0" w:space="0" w:color="auto"/>
        <w:right w:val="none" w:sz="0" w:space="0" w:color="auto"/>
      </w:divBdr>
    </w:div>
    <w:div w:id="823281169">
      <w:bodyDiv w:val="1"/>
      <w:marLeft w:val="0"/>
      <w:marRight w:val="0"/>
      <w:marTop w:val="0"/>
      <w:marBottom w:val="0"/>
      <w:divBdr>
        <w:top w:val="none" w:sz="0" w:space="0" w:color="auto"/>
        <w:left w:val="none" w:sz="0" w:space="0" w:color="auto"/>
        <w:bottom w:val="none" w:sz="0" w:space="0" w:color="auto"/>
        <w:right w:val="none" w:sz="0" w:space="0" w:color="auto"/>
      </w:divBdr>
    </w:div>
    <w:div w:id="831868456">
      <w:bodyDiv w:val="1"/>
      <w:marLeft w:val="0"/>
      <w:marRight w:val="0"/>
      <w:marTop w:val="0"/>
      <w:marBottom w:val="0"/>
      <w:divBdr>
        <w:top w:val="none" w:sz="0" w:space="0" w:color="auto"/>
        <w:left w:val="none" w:sz="0" w:space="0" w:color="auto"/>
        <w:bottom w:val="none" w:sz="0" w:space="0" w:color="auto"/>
        <w:right w:val="none" w:sz="0" w:space="0" w:color="auto"/>
      </w:divBdr>
    </w:div>
    <w:div w:id="841358232">
      <w:bodyDiv w:val="1"/>
      <w:marLeft w:val="0"/>
      <w:marRight w:val="0"/>
      <w:marTop w:val="0"/>
      <w:marBottom w:val="0"/>
      <w:divBdr>
        <w:top w:val="none" w:sz="0" w:space="0" w:color="auto"/>
        <w:left w:val="none" w:sz="0" w:space="0" w:color="auto"/>
        <w:bottom w:val="none" w:sz="0" w:space="0" w:color="auto"/>
        <w:right w:val="none" w:sz="0" w:space="0" w:color="auto"/>
      </w:divBdr>
      <w:divsChild>
        <w:div w:id="784692041">
          <w:marLeft w:val="0"/>
          <w:marRight w:val="0"/>
          <w:marTop w:val="240"/>
          <w:marBottom w:val="240"/>
          <w:divBdr>
            <w:top w:val="none" w:sz="0" w:space="0" w:color="auto"/>
            <w:left w:val="none" w:sz="0" w:space="0" w:color="auto"/>
            <w:bottom w:val="none" w:sz="0" w:space="0" w:color="auto"/>
            <w:right w:val="none" w:sz="0" w:space="0" w:color="auto"/>
          </w:divBdr>
        </w:div>
        <w:div w:id="1529294392">
          <w:marLeft w:val="0"/>
          <w:marRight w:val="0"/>
          <w:marTop w:val="240"/>
          <w:marBottom w:val="240"/>
          <w:divBdr>
            <w:top w:val="none" w:sz="0" w:space="0" w:color="auto"/>
            <w:left w:val="none" w:sz="0" w:space="0" w:color="auto"/>
            <w:bottom w:val="none" w:sz="0" w:space="0" w:color="auto"/>
            <w:right w:val="none" w:sz="0" w:space="0" w:color="auto"/>
          </w:divBdr>
        </w:div>
        <w:div w:id="1054815567">
          <w:marLeft w:val="0"/>
          <w:marRight w:val="0"/>
          <w:marTop w:val="240"/>
          <w:marBottom w:val="240"/>
          <w:divBdr>
            <w:top w:val="none" w:sz="0" w:space="0" w:color="auto"/>
            <w:left w:val="none" w:sz="0" w:space="0" w:color="auto"/>
            <w:bottom w:val="none" w:sz="0" w:space="0" w:color="auto"/>
            <w:right w:val="none" w:sz="0" w:space="0" w:color="auto"/>
          </w:divBdr>
        </w:div>
        <w:div w:id="605309604">
          <w:marLeft w:val="0"/>
          <w:marRight w:val="0"/>
          <w:marTop w:val="240"/>
          <w:marBottom w:val="240"/>
          <w:divBdr>
            <w:top w:val="none" w:sz="0" w:space="0" w:color="auto"/>
            <w:left w:val="none" w:sz="0" w:space="0" w:color="auto"/>
            <w:bottom w:val="none" w:sz="0" w:space="0" w:color="auto"/>
            <w:right w:val="none" w:sz="0" w:space="0" w:color="auto"/>
          </w:divBdr>
        </w:div>
        <w:div w:id="312411525">
          <w:marLeft w:val="0"/>
          <w:marRight w:val="0"/>
          <w:marTop w:val="240"/>
          <w:marBottom w:val="240"/>
          <w:divBdr>
            <w:top w:val="none" w:sz="0" w:space="0" w:color="auto"/>
            <w:left w:val="none" w:sz="0" w:space="0" w:color="auto"/>
            <w:bottom w:val="none" w:sz="0" w:space="0" w:color="auto"/>
            <w:right w:val="none" w:sz="0" w:space="0" w:color="auto"/>
          </w:divBdr>
        </w:div>
        <w:div w:id="1135485162">
          <w:marLeft w:val="0"/>
          <w:marRight w:val="0"/>
          <w:marTop w:val="240"/>
          <w:marBottom w:val="240"/>
          <w:divBdr>
            <w:top w:val="none" w:sz="0" w:space="0" w:color="auto"/>
            <w:left w:val="none" w:sz="0" w:space="0" w:color="auto"/>
            <w:bottom w:val="none" w:sz="0" w:space="0" w:color="auto"/>
            <w:right w:val="none" w:sz="0" w:space="0" w:color="auto"/>
          </w:divBdr>
        </w:div>
      </w:divsChild>
    </w:div>
    <w:div w:id="842889871">
      <w:bodyDiv w:val="1"/>
      <w:marLeft w:val="0"/>
      <w:marRight w:val="0"/>
      <w:marTop w:val="0"/>
      <w:marBottom w:val="0"/>
      <w:divBdr>
        <w:top w:val="none" w:sz="0" w:space="0" w:color="auto"/>
        <w:left w:val="none" w:sz="0" w:space="0" w:color="auto"/>
        <w:bottom w:val="none" w:sz="0" w:space="0" w:color="auto"/>
        <w:right w:val="none" w:sz="0" w:space="0" w:color="auto"/>
      </w:divBdr>
    </w:div>
    <w:div w:id="1075468577">
      <w:bodyDiv w:val="1"/>
      <w:marLeft w:val="0"/>
      <w:marRight w:val="0"/>
      <w:marTop w:val="0"/>
      <w:marBottom w:val="0"/>
      <w:divBdr>
        <w:top w:val="none" w:sz="0" w:space="0" w:color="auto"/>
        <w:left w:val="none" w:sz="0" w:space="0" w:color="auto"/>
        <w:bottom w:val="none" w:sz="0" w:space="0" w:color="auto"/>
        <w:right w:val="none" w:sz="0" w:space="0" w:color="auto"/>
      </w:divBdr>
    </w:div>
    <w:div w:id="1087264750">
      <w:bodyDiv w:val="1"/>
      <w:marLeft w:val="0"/>
      <w:marRight w:val="0"/>
      <w:marTop w:val="0"/>
      <w:marBottom w:val="0"/>
      <w:divBdr>
        <w:top w:val="none" w:sz="0" w:space="0" w:color="auto"/>
        <w:left w:val="none" w:sz="0" w:space="0" w:color="auto"/>
        <w:bottom w:val="none" w:sz="0" w:space="0" w:color="auto"/>
        <w:right w:val="none" w:sz="0" w:space="0" w:color="auto"/>
      </w:divBdr>
    </w:div>
    <w:div w:id="1119568415">
      <w:bodyDiv w:val="1"/>
      <w:marLeft w:val="0"/>
      <w:marRight w:val="0"/>
      <w:marTop w:val="0"/>
      <w:marBottom w:val="0"/>
      <w:divBdr>
        <w:top w:val="none" w:sz="0" w:space="0" w:color="auto"/>
        <w:left w:val="none" w:sz="0" w:space="0" w:color="auto"/>
        <w:bottom w:val="none" w:sz="0" w:space="0" w:color="auto"/>
        <w:right w:val="none" w:sz="0" w:space="0" w:color="auto"/>
      </w:divBdr>
    </w:div>
    <w:div w:id="1128621240">
      <w:bodyDiv w:val="1"/>
      <w:marLeft w:val="0"/>
      <w:marRight w:val="0"/>
      <w:marTop w:val="0"/>
      <w:marBottom w:val="0"/>
      <w:divBdr>
        <w:top w:val="none" w:sz="0" w:space="0" w:color="auto"/>
        <w:left w:val="none" w:sz="0" w:space="0" w:color="auto"/>
        <w:bottom w:val="none" w:sz="0" w:space="0" w:color="auto"/>
        <w:right w:val="none" w:sz="0" w:space="0" w:color="auto"/>
      </w:divBdr>
      <w:divsChild>
        <w:div w:id="1114636705">
          <w:marLeft w:val="0"/>
          <w:marRight w:val="0"/>
          <w:marTop w:val="240"/>
          <w:marBottom w:val="240"/>
          <w:divBdr>
            <w:top w:val="none" w:sz="0" w:space="0" w:color="auto"/>
            <w:left w:val="none" w:sz="0" w:space="0" w:color="auto"/>
            <w:bottom w:val="none" w:sz="0" w:space="0" w:color="auto"/>
            <w:right w:val="none" w:sz="0" w:space="0" w:color="auto"/>
          </w:divBdr>
        </w:div>
        <w:div w:id="1982610782">
          <w:marLeft w:val="0"/>
          <w:marRight w:val="0"/>
          <w:marTop w:val="240"/>
          <w:marBottom w:val="240"/>
          <w:divBdr>
            <w:top w:val="none" w:sz="0" w:space="0" w:color="auto"/>
            <w:left w:val="none" w:sz="0" w:space="0" w:color="auto"/>
            <w:bottom w:val="none" w:sz="0" w:space="0" w:color="auto"/>
            <w:right w:val="none" w:sz="0" w:space="0" w:color="auto"/>
          </w:divBdr>
        </w:div>
        <w:div w:id="1832870539">
          <w:marLeft w:val="0"/>
          <w:marRight w:val="0"/>
          <w:marTop w:val="240"/>
          <w:marBottom w:val="240"/>
          <w:divBdr>
            <w:top w:val="none" w:sz="0" w:space="0" w:color="auto"/>
            <w:left w:val="none" w:sz="0" w:space="0" w:color="auto"/>
            <w:bottom w:val="none" w:sz="0" w:space="0" w:color="auto"/>
            <w:right w:val="none" w:sz="0" w:space="0" w:color="auto"/>
          </w:divBdr>
        </w:div>
        <w:div w:id="220213506">
          <w:marLeft w:val="0"/>
          <w:marRight w:val="0"/>
          <w:marTop w:val="240"/>
          <w:marBottom w:val="240"/>
          <w:divBdr>
            <w:top w:val="none" w:sz="0" w:space="0" w:color="auto"/>
            <w:left w:val="none" w:sz="0" w:space="0" w:color="auto"/>
            <w:bottom w:val="none" w:sz="0" w:space="0" w:color="auto"/>
            <w:right w:val="none" w:sz="0" w:space="0" w:color="auto"/>
          </w:divBdr>
        </w:div>
      </w:divsChild>
    </w:div>
    <w:div w:id="1140028421">
      <w:bodyDiv w:val="1"/>
      <w:marLeft w:val="0"/>
      <w:marRight w:val="0"/>
      <w:marTop w:val="0"/>
      <w:marBottom w:val="0"/>
      <w:divBdr>
        <w:top w:val="none" w:sz="0" w:space="0" w:color="auto"/>
        <w:left w:val="none" w:sz="0" w:space="0" w:color="auto"/>
        <w:bottom w:val="none" w:sz="0" w:space="0" w:color="auto"/>
        <w:right w:val="none" w:sz="0" w:space="0" w:color="auto"/>
      </w:divBdr>
    </w:div>
    <w:div w:id="1153181790">
      <w:bodyDiv w:val="1"/>
      <w:marLeft w:val="0"/>
      <w:marRight w:val="0"/>
      <w:marTop w:val="0"/>
      <w:marBottom w:val="0"/>
      <w:divBdr>
        <w:top w:val="none" w:sz="0" w:space="0" w:color="auto"/>
        <w:left w:val="none" w:sz="0" w:space="0" w:color="auto"/>
        <w:bottom w:val="none" w:sz="0" w:space="0" w:color="auto"/>
        <w:right w:val="none" w:sz="0" w:space="0" w:color="auto"/>
      </w:divBdr>
    </w:div>
    <w:div w:id="1239679944">
      <w:bodyDiv w:val="1"/>
      <w:marLeft w:val="0"/>
      <w:marRight w:val="0"/>
      <w:marTop w:val="0"/>
      <w:marBottom w:val="0"/>
      <w:divBdr>
        <w:top w:val="none" w:sz="0" w:space="0" w:color="auto"/>
        <w:left w:val="none" w:sz="0" w:space="0" w:color="auto"/>
        <w:bottom w:val="none" w:sz="0" w:space="0" w:color="auto"/>
        <w:right w:val="none" w:sz="0" w:space="0" w:color="auto"/>
      </w:divBdr>
    </w:div>
    <w:div w:id="1264069056">
      <w:bodyDiv w:val="1"/>
      <w:marLeft w:val="0"/>
      <w:marRight w:val="0"/>
      <w:marTop w:val="0"/>
      <w:marBottom w:val="0"/>
      <w:divBdr>
        <w:top w:val="none" w:sz="0" w:space="0" w:color="auto"/>
        <w:left w:val="none" w:sz="0" w:space="0" w:color="auto"/>
        <w:bottom w:val="none" w:sz="0" w:space="0" w:color="auto"/>
        <w:right w:val="none" w:sz="0" w:space="0" w:color="auto"/>
      </w:divBdr>
    </w:div>
    <w:div w:id="1269312106">
      <w:bodyDiv w:val="1"/>
      <w:marLeft w:val="0"/>
      <w:marRight w:val="0"/>
      <w:marTop w:val="0"/>
      <w:marBottom w:val="0"/>
      <w:divBdr>
        <w:top w:val="none" w:sz="0" w:space="0" w:color="auto"/>
        <w:left w:val="none" w:sz="0" w:space="0" w:color="auto"/>
        <w:bottom w:val="none" w:sz="0" w:space="0" w:color="auto"/>
        <w:right w:val="none" w:sz="0" w:space="0" w:color="auto"/>
      </w:divBdr>
    </w:div>
    <w:div w:id="1336229357">
      <w:bodyDiv w:val="1"/>
      <w:marLeft w:val="0"/>
      <w:marRight w:val="0"/>
      <w:marTop w:val="0"/>
      <w:marBottom w:val="0"/>
      <w:divBdr>
        <w:top w:val="none" w:sz="0" w:space="0" w:color="auto"/>
        <w:left w:val="none" w:sz="0" w:space="0" w:color="auto"/>
        <w:bottom w:val="none" w:sz="0" w:space="0" w:color="auto"/>
        <w:right w:val="none" w:sz="0" w:space="0" w:color="auto"/>
      </w:divBdr>
    </w:div>
    <w:div w:id="1353143046">
      <w:bodyDiv w:val="1"/>
      <w:marLeft w:val="0"/>
      <w:marRight w:val="0"/>
      <w:marTop w:val="0"/>
      <w:marBottom w:val="0"/>
      <w:divBdr>
        <w:top w:val="none" w:sz="0" w:space="0" w:color="auto"/>
        <w:left w:val="none" w:sz="0" w:space="0" w:color="auto"/>
        <w:bottom w:val="none" w:sz="0" w:space="0" w:color="auto"/>
        <w:right w:val="none" w:sz="0" w:space="0" w:color="auto"/>
      </w:divBdr>
    </w:div>
    <w:div w:id="1375039875">
      <w:bodyDiv w:val="1"/>
      <w:marLeft w:val="0"/>
      <w:marRight w:val="0"/>
      <w:marTop w:val="0"/>
      <w:marBottom w:val="0"/>
      <w:divBdr>
        <w:top w:val="none" w:sz="0" w:space="0" w:color="auto"/>
        <w:left w:val="none" w:sz="0" w:space="0" w:color="auto"/>
        <w:bottom w:val="none" w:sz="0" w:space="0" w:color="auto"/>
        <w:right w:val="none" w:sz="0" w:space="0" w:color="auto"/>
      </w:divBdr>
    </w:div>
    <w:div w:id="1418283642">
      <w:bodyDiv w:val="1"/>
      <w:marLeft w:val="0"/>
      <w:marRight w:val="0"/>
      <w:marTop w:val="0"/>
      <w:marBottom w:val="0"/>
      <w:divBdr>
        <w:top w:val="none" w:sz="0" w:space="0" w:color="auto"/>
        <w:left w:val="none" w:sz="0" w:space="0" w:color="auto"/>
        <w:bottom w:val="none" w:sz="0" w:space="0" w:color="auto"/>
        <w:right w:val="none" w:sz="0" w:space="0" w:color="auto"/>
      </w:divBdr>
      <w:divsChild>
        <w:div w:id="1841460066">
          <w:marLeft w:val="0"/>
          <w:marRight w:val="0"/>
          <w:marTop w:val="240"/>
          <w:marBottom w:val="240"/>
          <w:divBdr>
            <w:top w:val="none" w:sz="0" w:space="0" w:color="auto"/>
            <w:left w:val="none" w:sz="0" w:space="0" w:color="auto"/>
            <w:bottom w:val="none" w:sz="0" w:space="0" w:color="auto"/>
            <w:right w:val="none" w:sz="0" w:space="0" w:color="auto"/>
          </w:divBdr>
        </w:div>
        <w:div w:id="271597801">
          <w:marLeft w:val="0"/>
          <w:marRight w:val="0"/>
          <w:marTop w:val="240"/>
          <w:marBottom w:val="240"/>
          <w:divBdr>
            <w:top w:val="none" w:sz="0" w:space="0" w:color="auto"/>
            <w:left w:val="none" w:sz="0" w:space="0" w:color="auto"/>
            <w:bottom w:val="none" w:sz="0" w:space="0" w:color="auto"/>
            <w:right w:val="none" w:sz="0" w:space="0" w:color="auto"/>
          </w:divBdr>
        </w:div>
        <w:div w:id="1312565821">
          <w:marLeft w:val="0"/>
          <w:marRight w:val="0"/>
          <w:marTop w:val="240"/>
          <w:marBottom w:val="240"/>
          <w:divBdr>
            <w:top w:val="none" w:sz="0" w:space="0" w:color="auto"/>
            <w:left w:val="none" w:sz="0" w:space="0" w:color="auto"/>
            <w:bottom w:val="none" w:sz="0" w:space="0" w:color="auto"/>
            <w:right w:val="none" w:sz="0" w:space="0" w:color="auto"/>
          </w:divBdr>
        </w:div>
        <w:div w:id="46076321">
          <w:marLeft w:val="0"/>
          <w:marRight w:val="0"/>
          <w:marTop w:val="240"/>
          <w:marBottom w:val="240"/>
          <w:divBdr>
            <w:top w:val="none" w:sz="0" w:space="0" w:color="auto"/>
            <w:left w:val="none" w:sz="0" w:space="0" w:color="auto"/>
            <w:bottom w:val="none" w:sz="0" w:space="0" w:color="auto"/>
            <w:right w:val="none" w:sz="0" w:space="0" w:color="auto"/>
          </w:divBdr>
        </w:div>
        <w:div w:id="1662660818">
          <w:marLeft w:val="0"/>
          <w:marRight w:val="0"/>
          <w:marTop w:val="240"/>
          <w:marBottom w:val="240"/>
          <w:divBdr>
            <w:top w:val="none" w:sz="0" w:space="0" w:color="auto"/>
            <w:left w:val="none" w:sz="0" w:space="0" w:color="auto"/>
            <w:bottom w:val="none" w:sz="0" w:space="0" w:color="auto"/>
            <w:right w:val="none" w:sz="0" w:space="0" w:color="auto"/>
          </w:divBdr>
        </w:div>
        <w:div w:id="271088147">
          <w:marLeft w:val="0"/>
          <w:marRight w:val="0"/>
          <w:marTop w:val="240"/>
          <w:marBottom w:val="240"/>
          <w:divBdr>
            <w:top w:val="none" w:sz="0" w:space="0" w:color="auto"/>
            <w:left w:val="none" w:sz="0" w:space="0" w:color="auto"/>
            <w:bottom w:val="none" w:sz="0" w:space="0" w:color="auto"/>
            <w:right w:val="none" w:sz="0" w:space="0" w:color="auto"/>
          </w:divBdr>
        </w:div>
      </w:divsChild>
    </w:div>
    <w:div w:id="1418795267">
      <w:bodyDiv w:val="1"/>
      <w:marLeft w:val="0"/>
      <w:marRight w:val="0"/>
      <w:marTop w:val="0"/>
      <w:marBottom w:val="0"/>
      <w:divBdr>
        <w:top w:val="none" w:sz="0" w:space="0" w:color="auto"/>
        <w:left w:val="none" w:sz="0" w:space="0" w:color="auto"/>
        <w:bottom w:val="none" w:sz="0" w:space="0" w:color="auto"/>
        <w:right w:val="none" w:sz="0" w:space="0" w:color="auto"/>
      </w:divBdr>
    </w:div>
    <w:div w:id="1446921934">
      <w:bodyDiv w:val="1"/>
      <w:marLeft w:val="0"/>
      <w:marRight w:val="0"/>
      <w:marTop w:val="0"/>
      <w:marBottom w:val="0"/>
      <w:divBdr>
        <w:top w:val="none" w:sz="0" w:space="0" w:color="auto"/>
        <w:left w:val="none" w:sz="0" w:space="0" w:color="auto"/>
        <w:bottom w:val="none" w:sz="0" w:space="0" w:color="auto"/>
        <w:right w:val="none" w:sz="0" w:space="0" w:color="auto"/>
      </w:divBdr>
      <w:divsChild>
        <w:div w:id="487792445">
          <w:marLeft w:val="0"/>
          <w:marRight w:val="0"/>
          <w:marTop w:val="240"/>
          <w:marBottom w:val="240"/>
          <w:divBdr>
            <w:top w:val="none" w:sz="0" w:space="0" w:color="auto"/>
            <w:left w:val="none" w:sz="0" w:space="0" w:color="auto"/>
            <w:bottom w:val="none" w:sz="0" w:space="0" w:color="auto"/>
            <w:right w:val="none" w:sz="0" w:space="0" w:color="auto"/>
          </w:divBdr>
        </w:div>
        <w:div w:id="352222633">
          <w:marLeft w:val="0"/>
          <w:marRight w:val="0"/>
          <w:marTop w:val="240"/>
          <w:marBottom w:val="240"/>
          <w:divBdr>
            <w:top w:val="none" w:sz="0" w:space="0" w:color="auto"/>
            <w:left w:val="none" w:sz="0" w:space="0" w:color="auto"/>
            <w:bottom w:val="none" w:sz="0" w:space="0" w:color="auto"/>
            <w:right w:val="none" w:sz="0" w:space="0" w:color="auto"/>
          </w:divBdr>
        </w:div>
        <w:div w:id="413236561">
          <w:marLeft w:val="0"/>
          <w:marRight w:val="0"/>
          <w:marTop w:val="240"/>
          <w:marBottom w:val="240"/>
          <w:divBdr>
            <w:top w:val="none" w:sz="0" w:space="0" w:color="auto"/>
            <w:left w:val="none" w:sz="0" w:space="0" w:color="auto"/>
            <w:bottom w:val="none" w:sz="0" w:space="0" w:color="auto"/>
            <w:right w:val="none" w:sz="0" w:space="0" w:color="auto"/>
          </w:divBdr>
        </w:div>
        <w:div w:id="2107727871">
          <w:marLeft w:val="0"/>
          <w:marRight w:val="0"/>
          <w:marTop w:val="240"/>
          <w:marBottom w:val="240"/>
          <w:divBdr>
            <w:top w:val="none" w:sz="0" w:space="0" w:color="auto"/>
            <w:left w:val="none" w:sz="0" w:space="0" w:color="auto"/>
            <w:bottom w:val="none" w:sz="0" w:space="0" w:color="auto"/>
            <w:right w:val="none" w:sz="0" w:space="0" w:color="auto"/>
          </w:divBdr>
        </w:div>
      </w:divsChild>
    </w:div>
    <w:div w:id="1490244612">
      <w:bodyDiv w:val="1"/>
      <w:marLeft w:val="0"/>
      <w:marRight w:val="0"/>
      <w:marTop w:val="0"/>
      <w:marBottom w:val="0"/>
      <w:divBdr>
        <w:top w:val="none" w:sz="0" w:space="0" w:color="auto"/>
        <w:left w:val="none" w:sz="0" w:space="0" w:color="auto"/>
        <w:bottom w:val="none" w:sz="0" w:space="0" w:color="auto"/>
        <w:right w:val="none" w:sz="0" w:space="0" w:color="auto"/>
      </w:divBdr>
    </w:div>
    <w:div w:id="1497574053">
      <w:bodyDiv w:val="1"/>
      <w:marLeft w:val="0"/>
      <w:marRight w:val="0"/>
      <w:marTop w:val="0"/>
      <w:marBottom w:val="0"/>
      <w:divBdr>
        <w:top w:val="none" w:sz="0" w:space="0" w:color="auto"/>
        <w:left w:val="none" w:sz="0" w:space="0" w:color="auto"/>
        <w:bottom w:val="none" w:sz="0" w:space="0" w:color="auto"/>
        <w:right w:val="none" w:sz="0" w:space="0" w:color="auto"/>
      </w:divBdr>
    </w:div>
    <w:div w:id="1593855476">
      <w:bodyDiv w:val="1"/>
      <w:marLeft w:val="0"/>
      <w:marRight w:val="0"/>
      <w:marTop w:val="0"/>
      <w:marBottom w:val="0"/>
      <w:divBdr>
        <w:top w:val="none" w:sz="0" w:space="0" w:color="auto"/>
        <w:left w:val="none" w:sz="0" w:space="0" w:color="auto"/>
        <w:bottom w:val="none" w:sz="0" w:space="0" w:color="auto"/>
        <w:right w:val="none" w:sz="0" w:space="0" w:color="auto"/>
      </w:divBdr>
    </w:div>
    <w:div w:id="1619943733">
      <w:bodyDiv w:val="1"/>
      <w:marLeft w:val="0"/>
      <w:marRight w:val="0"/>
      <w:marTop w:val="0"/>
      <w:marBottom w:val="0"/>
      <w:divBdr>
        <w:top w:val="none" w:sz="0" w:space="0" w:color="auto"/>
        <w:left w:val="none" w:sz="0" w:space="0" w:color="auto"/>
        <w:bottom w:val="none" w:sz="0" w:space="0" w:color="auto"/>
        <w:right w:val="none" w:sz="0" w:space="0" w:color="auto"/>
      </w:divBdr>
    </w:div>
    <w:div w:id="1703171135">
      <w:bodyDiv w:val="1"/>
      <w:marLeft w:val="0"/>
      <w:marRight w:val="0"/>
      <w:marTop w:val="0"/>
      <w:marBottom w:val="0"/>
      <w:divBdr>
        <w:top w:val="none" w:sz="0" w:space="0" w:color="auto"/>
        <w:left w:val="none" w:sz="0" w:space="0" w:color="auto"/>
        <w:bottom w:val="none" w:sz="0" w:space="0" w:color="auto"/>
        <w:right w:val="none" w:sz="0" w:space="0" w:color="auto"/>
      </w:divBdr>
    </w:div>
    <w:div w:id="1866475258">
      <w:bodyDiv w:val="1"/>
      <w:marLeft w:val="0"/>
      <w:marRight w:val="0"/>
      <w:marTop w:val="0"/>
      <w:marBottom w:val="0"/>
      <w:divBdr>
        <w:top w:val="none" w:sz="0" w:space="0" w:color="auto"/>
        <w:left w:val="none" w:sz="0" w:space="0" w:color="auto"/>
        <w:bottom w:val="none" w:sz="0" w:space="0" w:color="auto"/>
        <w:right w:val="none" w:sz="0" w:space="0" w:color="auto"/>
      </w:divBdr>
      <w:divsChild>
        <w:div w:id="78328952">
          <w:marLeft w:val="0"/>
          <w:marRight w:val="0"/>
          <w:marTop w:val="240"/>
          <w:marBottom w:val="240"/>
          <w:divBdr>
            <w:top w:val="none" w:sz="0" w:space="0" w:color="auto"/>
            <w:left w:val="none" w:sz="0" w:space="0" w:color="auto"/>
            <w:bottom w:val="none" w:sz="0" w:space="0" w:color="auto"/>
            <w:right w:val="none" w:sz="0" w:space="0" w:color="auto"/>
          </w:divBdr>
        </w:div>
        <w:div w:id="1918322384">
          <w:marLeft w:val="0"/>
          <w:marRight w:val="0"/>
          <w:marTop w:val="240"/>
          <w:marBottom w:val="240"/>
          <w:divBdr>
            <w:top w:val="none" w:sz="0" w:space="0" w:color="auto"/>
            <w:left w:val="none" w:sz="0" w:space="0" w:color="auto"/>
            <w:bottom w:val="none" w:sz="0" w:space="0" w:color="auto"/>
            <w:right w:val="none" w:sz="0" w:space="0" w:color="auto"/>
          </w:divBdr>
        </w:div>
        <w:div w:id="810026477">
          <w:marLeft w:val="0"/>
          <w:marRight w:val="0"/>
          <w:marTop w:val="240"/>
          <w:marBottom w:val="240"/>
          <w:divBdr>
            <w:top w:val="none" w:sz="0" w:space="0" w:color="auto"/>
            <w:left w:val="none" w:sz="0" w:space="0" w:color="auto"/>
            <w:bottom w:val="none" w:sz="0" w:space="0" w:color="auto"/>
            <w:right w:val="none" w:sz="0" w:space="0" w:color="auto"/>
          </w:divBdr>
        </w:div>
        <w:div w:id="1342659500">
          <w:marLeft w:val="0"/>
          <w:marRight w:val="0"/>
          <w:marTop w:val="240"/>
          <w:marBottom w:val="240"/>
          <w:divBdr>
            <w:top w:val="none" w:sz="0" w:space="0" w:color="auto"/>
            <w:left w:val="none" w:sz="0" w:space="0" w:color="auto"/>
            <w:bottom w:val="none" w:sz="0" w:space="0" w:color="auto"/>
            <w:right w:val="none" w:sz="0" w:space="0" w:color="auto"/>
          </w:divBdr>
        </w:div>
      </w:divsChild>
    </w:div>
    <w:div w:id="1880698819">
      <w:bodyDiv w:val="1"/>
      <w:marLeft w:val="0"/>
      <w:marRight w:val="0"/>
      <w:marTop w:val="0"/>
      <w:marBottom w:val="0"/>
      <w:divBdr>
        <w:top w:val="none" w:sz="0" w:space="0" w:color="auto"/>
        <w:left w:val="none" w:sz="0" w:space="0" w:color="auto"/>
        <w:bottom w:val="none" w:sz="0" w:space="0" w:color="auto"/>
        <w:right w:val="none" w:sz="0" w:space="0" w:color="auto"/>
      </w:divBdr>
    </w:div>
    <w:div w:id="1905333505">
      <w:bodyDiv w:val="1"/>
      <w:marLeft w:val="0"/>
      <w:marRight w:val="0"/>
      <w:marTop w:val="0"/>
      <w:marBottom w:val="0"/>
      <w:divBdr>
        <w:top w:val="none" w:sz="0" w:space="0" w:color="auto"/>
        <w:left w:val="none" w:sz="0" w:space="0" w:color="auto"/>
        <w:bottom w:val="none" w:sz="0" w:space="0" w:color="auto"/>
        <w:right w:val="none" w:sz="0" w:space="0" w:color="auto"/>
      </w:divBdr>
    </w:div>
    <w:div w:id="1952545471">
      <w:bodyDiv w:val="1"/>
      <w:marLeft w:val="0"/>
      <w:marRight w:val="0"/>
      <w:marTop w:val="0"/>
      <w:marBottom w:val="0"/>
      <w:divBdr>
        <w:top w:val="none" w:sz="0" w:space="0" w:color="auto"/>
        <w:left w:val="none" w:sz="0" w:space="0" w:color="auto"/>
        <w:bottom w:val="none" w:sz="0" w:space="0" w:color="auto"/>
        <w:right w:val="none" w:sz="0" w:space="0" w:color="auto"/>
      </w:divBdr>
    </w:div>
    <w:div w:id="2016758480">
      <w:bodyDiv w:val="1"/>
      <w:marLeft w:val="0"/>
      <w:marRight w:val="0"/>
      <w:marTop w:val="0"/>
      <w:marBottom w:val="0"/>
      <w:divBdr>
        <w:top w:val="none" w:sz="0" w:space="0" w:color="auto"/>
        <w:left w:val="none" w:sz="0" w:space="0" w:color="auto"/>
        <w:bottom w:val="none" w:sz="0" w:space="0" w:color="auto"/>
        <w:right w:val="none" w:sz="0" w:space="0" w:color="auto"/>
      </w:divBdr>
    </w:div>
    <w:div w:id="2024353996">
      <w:bodyDiv w:val="1"/>
      <w:marLeft w:val="0"/>
      <w:marRight w:val="0"/>
      <w:marTop w:val="0"/>
      <w:marBottom w:val="0"/>
      <w:divBdr>
        <w:top w:val="none" w:sz="0" w:space="0" w:color="auto"/>
        <w:left w:val="none" w:sz="0" w:space="0" w:color="auto"/>
        <w:bottom w:val="none" w:sz="0" w:space="0" w:color="auto"/>
        <w:right w:val="none" w:sz="0" w:space="0" w:color="auto"/>
      </w:divBdr>
    </w:div>
    <w:div w:id="2041201837">
      <w:bodyDiv w:val="1"/>
      <w:marLeft w:val="0"/>
      <w:marRight w:val="0"/>
      <w:marTop w:val="0"/>
      <w:marBottom w:val="0"/>
      <w:divBdr>
        <w:top w:val="none" w:sz="0" w:space="0" w:color="auto"/>
        <w:left w:val="none" w:sz="0" w:space="0" w:color="auto"/>
        <w:bottom w:val="none" w:sz="0" w:space="0" w:color="auto"/>
        <w:right w:val="none" w:sz="0" w:space="0" w:color="auto"/>
      </w:divBdr>
    </w:div>
    <w:div w:id="2104186598">
      <w:bodyDiv w:val="1"/>
      <w:marLeft w:val="0"/>
      <w:marRight w:val="0"/>
      <w:marTop w:val="0"/>
      <w:marBottom w:val="0"/>
      <w:divBdr>
        <w:top w:val="none" w:sz="0" w:space="0" w:color="auto"/>
        <w:left w:val="none" w:sz="0" w:space="0" w:color="auto"/>
        <w:bottom w:val="none" w:sz="0" w:space="0" w:color="auto"/>
        <w:right w:val="none" w:sz="0" w:space="0" w:color="auto"/>
      </w:divBdr>
    </w:div>
    <w:div w:id="21195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1970</Words>
  <Characters>10835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Joseph Esneyder Pinto Gonzalez</cp:lastModifiedBy>
  <cp:revision>3</cp:revision>
  <dcterms:created xsi:type="dcterms:W3CDTF">2025-07-29T13:23:00Z</dcterms:created>
  <dcterms:modified xsi:type="dcterms:W3CDTF">2025-07-29T13:23:00Z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2025-07-29T13:23:55Z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6c5f650f-592d-42fb-b6fe-9aad6fb65db2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