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AF8BC" w14:textId="77777777" w:rsidR="00BC14B6" w:rsidRPr="000D091E" w:rsidRDefault="00BC14B6" w:rsidP="00BC14B6">
      <w:pPr>
        <w:rPr>
          <w:rFonts w:ascii="Century Gothic" w:hAnsi="Century Gothic"/>
          <w:sz w:val="22"/>
          <w:szCs w:val="22"/>
        </w:rPr>
      </w:pPr>
      <w:r w:rsidRPr="000D091E">
        <w:rPr>
          <w:rFonts w:ascii="Century Gothic" w:hAnsi="Century Gothic"/>
          <w:noProof/>
          <w:sz w:val="22"/>
          <w:szCs w:val="22"/>
          <w:lang w:eastAsia="es-CO"/>
        </w:rPr>
        <mc:AlternateContent>
          <mc:Choice Requires="wps">
            <w:drawing>
              <wp:anchor distT="0" distB="0" distL="114300" distR="114300" simplePos="0" relativeHeight="251658240" behindDoc="0" locked="0" layoutInCell="1" allowOverlap="1" wp14:anchorId="24AEBDF4" wp14:editId="19E68571">
                <wp:simplePos x="0" y="0"/>
                <wp:positionH relativeFrom="margin">
                  <wp:align>center</wp:align>
                </wp:positionH>
                <wp:positionV relativeFrom="paragraph">
                  <wp:posOffset>-224566</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08B15F1" w14:textId="77777777" w:rsidR="00BC14B6" w:rsidRPr="000D23FC" w:rsidRDefault="00BC14B6" w:rsidP="008A065A">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4AEBDF4" id="_x0000_t202" coordsize="21600,21600" o:spt="202" path="m,l,21600r21600,l21600,xe">
                <v:stroke joinstyle="miter"/>
                <v:path gradientshapeok="t" o:connecttype="rect"/>
              </v:shapetype>
              <v:shape id="Cuadro de texto 2" o:spid="_x0000_s1026" type="#_x0000_t202" style="position:absolute;margin-left:0;margin-top:-17.7pt;width:318pt;height:3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JhnxoTcAAAABwEAAA8AAABkcnMvZG93bnJl&#10;di54bWxMj81OwzAQhO9IvIO1SNxaG9JGELKpEIgriPIjcXPjbRIRr6PYbcLbs5zocWdGM9+Wm9n3&#10;6khj7AIjXC0NKOI6uI4bhPe3p8UNqJgsO9sHJoQfirCpzs9KW7gw8Ssdt6lRUsKxsAhtSkOhdaxb&#10;8jYuw0As3j6M3iY5x0a70U5S7nt9bUyuve1YFlo70ENL9ff24BE+nvdfnyvz0jz69TCF2Wj2txrx&#10;8mK+vwOVaE7/YfjDF3SohGkXDuyi6hHkkYSwyNYrUGLnWS7KDiHLctBVqU/5q18AAAD//wMAUEsB&#10;Ai0AFAAGAAgAAAAhALaDOJL+AAAA4QEAABMAAAAAAAAAAAAAAAAAAAAAAFtDb250ZW50X1R5cGVz&#10;XS54bWxQSwECLQAUAAYACAAAACEAOP0h/9YAAACUAQAACwAAAAAAAAAAAAAAAAAvAQAAX3JlbHMv&#10;LnJlbHNQSwECLQAUAAYACAAAACEAVemaMJ0CAAA9BQAADgAAAAAAAAAAAAAAAAAuAgAAZHJzL2Uy&#10;b0RvYy54bWxQSwECLQAUAAYACAAAACEAmGfGhNwAAAAHAQAADwAAAAAAAAAAAAAAAAD3BAAAZHJz&#10;L2Rvd25yZXYueG1sUEsFBgAAAAAEAAQA8wAAAAAGAAAAAA==&#10;" filled="f" stroked="f">
                <v:textbox>
                  <w:txbxContent>
                    <w:p w14:paraId="708B15F1" w14:textId="77777777" w:rsidR="00BC14B6" w:rsidRPr="000D23FC" w:rsidRDefault="00BC14B6" w:rsidP="008A065A">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202541E1" w14:textId="77777777" w:rsidR="00BC14B6" w:rsidRPr="000D091E" w:rsidRDefault="00BC14B6" w:rsidP="00BC14B6">
      <w:pPr>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A065A" w:rsidRPr="000D091E" w14:paraId="167C9B02" w14:textId="77777777" w:rsidTr="00210131">
        <w:trPr>
          <w:trHeight w:val="454"/>
        </w:trPr>
        <w:tc>
          <w:tcPr>
            <w:tcW w:w="4537" w:type="dxa"/>
            <w:vAlign w:val="center"/>
          </w:tcPr>
          <w:p w14:paraId="505D18B3" w14:textId="77777777" w:rsidR="00BC14B6" w:rsidRPr="000D091E" w:rsidRDefault="00BC14B6" w:rsidP="00210131">
            <w:pPr>
              <w:rPr>
                <w:rFonts w:ascii="Century Gothic" w:hAnsi="Century Gothic"/>
                <w:sz w:val="22"/>
                <w:szCs w:val="22"/>
              </w:rPr>
            </w:pPr>
            <w:r w:rsidRPr="000D091E">
              <w:rPr>
                <w:rFonts w:ascii="Century Gothic" w:hAnsi="Century Gothic"/>
                <w:sz w:val="22"/>
                <w:szCs w:val="22"/>
              </w:rPr>
              <w:t>Fecha de presentación</w:t>
            </w:r>
          </w:p>
        </w:tc>
        <w:tc>
          <w:tcPr>
            <w:tcW w:w="5670" w:type="dxa"/>
          </w:tcPr>
          <w:p w14:paraId="1E895B34" w14:textId="7F894142" w:rsidR="00BC14B6" w:rsidRPr="000D091E" w:rsidRDefault="001E2C23" w:rsidP="00210131">
            <w:pPr>
              <w:jc w:val="both"/>
              <w:rPr>
                <w:rFonts w:ascii="Century Gothic" w:hAnsi="Century Gothic"/>
                <w:sz w:val="22"/>
                <w:szCs w:val="22"/>
              </w:rPr>
            </w:pPr>
            <w:r w:rsidRPr="000D091E">
              <w:rPr>
                <w:rFonts w:ascii="Century Gothic" w:hAnsi="Century Gothic"/>
                <w:sz w:val="22"/>
                <w:szCs w:val="22"/>
              </w:rPr>
              <w:t>19</w:t>
            </w:r>
            <w:r w:rsidR="00BC14B6" w:rsidRPr="000D091E">
              <w:rPr>
                <w:rFonts w:ascii="Century Gothic" w:hAnsi="Century Gothic"/>
                <w:sz w:val="22"/>
                <w:szCs w:val="22"/>
              </w:rPr>
              <w:t>/05/2025</w:t>
            </w:r>
          </w:p>
        </w:tc>
      </w:tr>
      <w:tr w:rsidR="008A065A" w:rsidRPr="000D091E" w14:paraId="59C87357" w14:textId="77777777" w:rsidTr="00210131">
        <w:trPr>
          <w:trHeight w:val="454"/>
        </w:trPr>
        <w:tc>
          <w:tcPr>
            <w:tcW w:w="4537" w:type="dxa"/>
            <w:vAlign w:val="center"/>
          </w:tcPr>
          <w:p w14:paraId="45534948" w14:textId="77777777" w:rsidR="00BC14B6" w:rsidRPr="000D091E" w:rsidRDefault="00BC14B6" w:rsidP="00210131">
            <w:pPr>
              <w:rPr>
                <w:rFonts w:ascii="Century Gothic" w:hAnsi="Century Gothic"/>
                <w:sz w:val="22"/>
                <w:szCs w:val="22"/>
              </w:rPr>
            </w:pPr>
            <w:r w:rsidRPr="000D091E">
              <w:rPr>
                <w:rFonts w:ascii="Century Gothic" w:hAnsi="Century Gothic"/>
                <w:sz w:val="22"/>
                <w:szCs w:val="22"/>
              </w:rPr>
              <w:t>Tipo de abogado</w:t>
            </w:r>
          </w:p>
        </w:tc>
        <w:tc>
          <w:tcPr>
            <w:tcW w:w="5670" w:type="dxa"/>
          </w:tcPr>
          <w:p w14:paraId="272F39C8" w14:textId="77777777" w:rsidR="00BC14B6" w:rsidRPr="000D091E" w:rsidRDefault="00BC14B6" w:rsidP="00210131">
            <w:pPr>
              <w:jc w:val="both"/>
              <w:rPr>
                <w:rFonts w:ascii="Century Gothic" w:hAnsi="Century Gothic"/>
                <w:sz w:val="22"/>
                <w:szCs w:val="22"/>
              </w:rPr>
            </w:pPr>
            <w:r w:rsidRPr="000D091E">
              <w:rPr>
                <w:rFonts w:ascii="Century Gothic" w:hAnsi="Century Gothic"/>
                <w:sz w:val="22"/>
                <w:szCs w:val="22"/>
              </w:rPr>
              <w:t>EXTERNO</w:t>
            </w:r>
          </w:p>
        </w:tc>
      </w:tr>
      <w:tr w:rsidR="008A065A" w:rsidRPr="000D091E" w14:paraId="6B6FD289" w14:textId="77777777" w:rsidTr="00210131">
        <w:trPr>
          <w:trHeight w:val="454"/>
        </w:trPr>
        <w:tc>
          <w:tcPr>
            <w:tcW w:w="4537" w:type="dxa"/>
            <w:vAlign w:val="center"/>
          </w:tcPr>
          <w:p w14:paraId="79FDA798" w14:textId="77777777" w:rsidR="00BC14B6" w:rsidRPr="000D091E" w:rsidRDefault="00BC14B6" w:rsidP="00210131">
            <w:pPr>
              <w:rPr>
                <w:rFonts w:ascii="Century Gothic" w:hAnsi="Century Gothic"/>
                <w:sz w:val="22"/>
                <w:szCs w:val="22"/>
              </w:rPr>
            </w:pPr>
            <w:r w:rsidRPr="000D091E">
              <w:rPr>
                <w:rFonts w:ascii="Century Gothic" w:hAnsi="Century Gothic"/>
                <w:sz w:val="22"/>
                <w:szCs w:val="22"/>
              </w:rPr>
              <w:t>Aseguradora vinculada al proceso</w:t>
            </w:r>
          </w:p>
        </w:tc>
        <w:tc>
          <w:tcPr>
            <w:tcW w:w="5670" w:type="dxa"/>
          </w:tcPr>
          <w:p w14:paraId="13136E01" w14:textId="77777777" w:rsidR="00BC14B6" w:rsidRPr="000D091E" w:rsidRDefault="00BC14B6" w:rsidP="00210131">
            <w:pPr>
              <w:jc w:val="both"/>
              <w:rPr>
                <w:rFonts w:ascii="Century Gothic" w:hAnsi="Century Gothic"/>
                <w:sz w:val="22"/>
                <w:szCs w:val="22"/>
              </w:rPr>
            </w:pPr>
            <w:r w:rsidRPr="000D091E">
              <w:rPr>
                <w:rFonts w:ascii="Century Gothic" w:hAnsi="Century Gothic"/>
                <w:sz w:val="22"/>
                <w:szCs w:val="22"/>
              </w:rPr>
              <w:t>GENERALES</w:t>
            </w:r>
          </w:p>
        </w:tc>
      </w:tr>
      <w:tr w:rsidR="008A065A" w:rsidRPr="000D091E" w14:paraId="22B249D8" w14:textId="77777777" w:rsidTr="00210131">
        <w:trPr>
          <w:trHeight w:val="454"/>
        </w:trPr>
        <w:tc>
          <w:tcPr>
            <w:tcW w:w="4537" w:type="dxa"/>
            <w:vAlign w:val="center"/>
          </w:tcPr>
          <w:p w14:paraId="3BECB81F" w14:textId="77777777" w:rsidR="00BC14B6" w:rsidRPr="000D091E" w:rsidRDefault="00BC14B6" w:rsidP="00210131">
            <w:pPr>
              <w:rPr>
                <w:rFonts w:ascii="Century Gothic" w:hAnsi="Century Gothic"/>
                <w:sz w:val="22"/>
                <w:szCs w:val="22"/>
              </w:rPr>
            </w:pPr>
            <w:r w:rsidRPr="000D091E">
              <w:rPr>
                <w:rFonts w:ascii="Century Gothic" w:hAnsi="Century Gothic"/>
                <w:sz w:val="22"/>
                <w:szCs w:val="22"/>
              </w:rPr>
              <w:t>SGC</w:t>
            </w:r>
          </w:p>
        </w:tc>
        <w:tc>
          <w:tcPr>
            <w:tcW w:w="5670" w:type="dxa"/>
          </w:tcPr>
          <w:p w14:paraId="03605BE6" w14:textId="15AEFBA0" w:rsidR="00BC14B6" w:rsidRPr="000D091E" w:rsidRDefault="00BC14B6" w:rsidP="00210131">
            <w:pPr>
              <w:jc w:val="both"/>
              <w:rPr>
                <w:rFonts w:ascii="Century Gothic" w:hAnsi="Century Gothic"/>
                <w:sz w:val="22"/>
                <w:szCs w:val="22"/>
              </w:rPr>
            </w:pPr>
            <w:r w:rsidRPr="000D091E">
              <w:rPr>
                <w:rFonts w:ascii="Century Gothic" w:hAnsi="Century Gothic"/>
                <w:sz w:val="22"/>
                <w:szCs w:val="22"/>
              </w:rPr>
              <w:t>10</w:t>
            </w:r>
            <w:r w:rsidR="00A5572D" w:rsidRPr="000D091E">
              <w:rPr>
                <w:rFonts w:ascii="Century Gothic" w:hAnsi="Century Gothic"/>
                <w:sz w:val="22"/>
                <w:szCs w:val="22"/>
              </w:rPr>
              <w:t>712</w:t>
            </w:r>
          </w:p>
        </w:tc>
      </w:tr>
      <w:tr w:rsidR="008A065A" w:rsidRPr="000D091E" w14:paraId="2D7CB88B" w14:textId="77777777" w:rsidTr="00210131">
        <w:trPr>
          <w:trHeight w:val="454"/>
        </w:trPr>
        <w:tc>
          <w:tcPr>
            <w:tcW w:w="4537" w:type="dxa"/>
            <w:vAlign w:val="center"/>
          </w:tcPr>
          <w:p w14:paraId="2CC79B4B" w14:textId="77777777" w:rsidR="00BC14B6" w:rsidRPr="000D091E" w:rsidRDefault="00BC14B6" w:rsidP="00210131">
            <w:pPr>
              <w:rPr>
                <w:rFonts w:ascii="Century Gothic" w:hAnsi="Century Gothic"/>
                <w:sz w:val="22"/>
                <w:szCs w:val="22"/>
              </w:rPr>
            </w:pPr>
            <w:r w:rsidRPr="000D091E">
              <w:rPr>
                <w:rFonts w:ascii="Century Gothic" w:hAnsi="Century Gothic"/>
                <w:sz w:val="22"/>
                <w:szCs w:val="22"/>
              </w:rPr>
              <w:t>Despacho/Juzgado/ Tribunal</w:t>
            </w:r>
          </w:p>
        </w:tc>
        <w:tc>
          <w:tcPr>
            <w:tcW w:w="5670" w:type="dxa"/>
          </w:tcPr>
          <w:p w14:paraId="009D4C17" w14:textId="0E0CCE3B" w:rsidR="00BC14B6" w:rsidRPr="000D091E" w:rsidRDefault="00BC14B6" w:rsidP="00210131">
            <w:pPr>
              <w:jc w:val="both"/>
              <w:rPr>
                <w:rFonts w:ascii="Century Gothic" w:hAnsi="Century Gothic"/>
                <w:sz w:val="22"/>
                <w:szCs w:val="22"/>
              </w:rPr>
            </w:pPr>
            <w:r w:rsidRPr="000D091E">
              <w:rPr>
                <w:rFonts w:ascii="Century Gothic" w:hAnsi="Century Gothic"/>
                <w:sz w:val="22"/>
                <w:szCs w:val="22"/>
              </w:rPr>
              <w:t>JUZGADO PRIMERO CIVIL DEL CIRCUITO SAN JUAN DEL CESAR- GUAJIRA</w:t>
            </w:r>
          </w:p>
        </w:tc>
      </w:tr>
      <w:tr w:rsidR="008A065A" w:rsidRPr="000D091E" w14:paraId="585CCFC4" w14:textId="77777777" w:rsidTr="00210131">
        <w:trPr>
          <w:trHeight w:val="454"/>
        </w:trPr>
        <w:tc>
          <w:tcPr>
            <w:tcW w:w="4537" w:type="dxa"/>
            <w:vAlign w:val="center"/>
          </w:tcPr>
          <w:p w14:paraId="24C06A17" w14:textId="77777777" w:rsidR="00BC14B6" w:rsidRPr="000D091E" w:rsidRDefault="00BC14B6" w:rsidP="00210131">
            <w:pPr>
              <w:rPr>
                <w:rFonts w:ascii="Century Gothic" w:hAnsi="Century Gothic"/>
                <w:sz w:val="22"/>
                <w:szCs w:val="22"/>
              </w:rPr>
            </w:pPr>
            <w:r w:rsidRPr="000D091E">
              <w:rPr>
                <w:rFonts w:ascii="Century Gothic" w:hAnsi="Century Gothic"/>
                <w:sz w:val="22"/>
                <w:szCs w:val="22"/>
              </w:rPr>
              <w:t xml:space="preserve">Ciudad </w:t>
            </w:r>
          </w:p>
        </w:tc>
        <w:tc>
          <w:tcPr>
            <w:tcW w:w="5670" w:type="dxa"/>
          </w:tcPr>
          <w:p w14:paraId="04B2BF2D" w14:textId="26ED371E" w:rsidR="00BC14B6" w:rsidRPr="000D091E" w:rsidRDefault="00BC14B6" w:rsidP="00210131">
            <w:pPr>
              <w:jc w:val="both"/>
              <w:rPr>
                <w:rFonts w:ascii="Century Gothic" w:hAnsi="Century Gothic"/>
                <w:sz w:val="22"/>
                <w:szCs w:val="22"/>
              </w:rPr>
            </w:pPr>
            <w:r w:rsidRPr="000D091E">
              <w:rPr>
                <w:rFonts w:ascii="Century Gothic" w:hAnsi="Century Gothic"/>
                <w:sz w:val="22"/>
                <w:szCs w:val="22"/>
              </w:rPr>
              <w:t>SAN JUAN CESAR</w:t>
            </w:r>
          </w:p>
        </w:tc>
      </w:tr>
      <w:tr w:rsidR="008A065A" w:rsidRPr="000D091E" w14:paraId="458D861F" w14:textId="77777777" w:rsidTr="00210131">
        <w:trPr>
          <w:trHeight w:val="454"/>
        </w:trPr>
        <w:tc>
          <w:tcPr>
            <w:tcW w:w="4537" w:type="dxa"/>
            <w:vAlign w:val="center"/>
          </w:tcPr>
          <w:p w14:paraId="7B9B6D0D" w14:textId="77777777" w:rsidR="00BC14B6" w:rsidRPr="000D091E" w:rsidRDefault="00BC14B6" w:rsidP="00210131">
            <w:pPr>
              <w:rPr>
                <w:rFonts w:ascii="Century Gothic" w:hAnsi="Century Gothic"/>
                <w:sz w:val="22"/>
                <w:szCs w:val="22"/>
              </w:rPr>
            </w:pPr>
            <w:r w:rsidRPr="000D091E">
              <w:rPr>
                <w:rFonts w:ascii="Century Gothic" w:hAnsi="Century Gothic"/>
                <w:sz w:val="22"/>
                <w:szCs w:val="22"/>
              </w:rPr>
              <w:t>Radicado completo 23 dígitos</w:t>
            </w:r>
          </w:p>
        </w:tc>
        <w:tc>
          <w:tcPr>
            <w:tcW w:w="5670" w:type="dxa"/>
          </w:tcPr>
          <w:p w14:paraId="14B381F6" w14:textId="73BB9CF3" w:rsidR="00BC14B6" w:rsidRPr="000D091E" w:rsidRDefault="000D091E" w:rsidP="00210131">
            <w:pPr>
              <w:jc w:val="both"/>
              <w:rPr>
                <w:rFonts w:ascii="Century Gothic" w:hAnsi="Century Gothic"/>
                <w:sz w:val="22"/>
                <w:szCs w:val="22"/>
              </w:rPr>
            </w:pPr>
            <w:r w:rsidRPr="000D091E">
              <w:rPr>
                <w:rFonts w:ascii="Century Gothic" w:hAnsi="Century Gothic"/>
                <w:sz w:val="22"/>
                <w:szCs w:val="22"/>
              </w:rPr>
              <w:t>44650318900120220006200</w:t>
            </w:r>
            <w:r w:rsidRPr="000D091E">
              <w:rPr>
                <w:rFonts w:ascii="Century Gothic" w:hAnsi="Century Gothic"/>
                <w:sz w:val="22"/>
                <w:szCs w:val="22"/>
              </w:rPr>
              <w:t>*</w:t>
            </w:r>
          </w:p>
        </w:tc>
      </w:tr>
      <w:tr w:rsidR="008A065A" w:rsidRPr="000D091E" w14:paraId="055EA285" w14:textId="77777777" w:rsidTr="00210131">
        <w:trPr>
          <w:trHeight w:val="454"/>
        </w:trPr>
        <w:tc>
          <w:tcPr>
            <w:tcW w:w="4537" w:type="dxa"/>
            <w:vAlign w:val="center"/>
          </w:tcPr>
          <w:p w14:paraId="615F1F3D" w14:textId="77777777" w:rsidR="00BC14B6" w:rsidRPr="000D091E" w:rsidRDefault="00BC14B6" w:rsidP="00210131">
            <w:pPr>
              <w:rPr>
                <w:rFonts w:ascii="Century Gothic" w:hAnsi="Century Gothic"/>
                <w:sz w:val="22"/>
                <w:szCs w:val="22"/>
              </w:rPr>
            </w:pPr>
            <w:r w:rsidRPr="000D091E">
              <w:rPr>
                <w:rFonts w:ascii="Century Gothic" w:hAnsi="Century Gothic"/>
                <w:sz w:val="22"/>
                <w:szCs w:val="22"/>
              </w:rPr>
              <w:t>Fecha de notificación</w:t>
            </w:r>
          </w:p>
        </w:tc>
        <w:tc>
          <w:tcPr>
            <w:tcW w:w="5670" w:type="dxa"/>
          </w:tcPr>
          <w:p w14:paraId="193E480C" w14:textId="6245B8F9" w:rsidR="00BC14B6" w:rsidRPr="000D091E" w:rsidRDefault="008F007D" w:rsidP="00210131">
            <w:pPr>
              <w:jc w:val="both"/>
              <w:rPr>
                <w:rFonts w:ascii="Century Gothic" w:hAnsi="Century Gothic"/>
                <w:sz w:val="22"/>
                <w:szCs w:val="22"/>
              </w:rPr>
            </w:pPr>
            <w:r w:rsidRPr="000D091E">
              <w:rPr>
                <w:rFonts w:ascii="Century Gothic" w:hAnsi="Century Gothic"/>
                <w:sz w:val="22"/>
                <w:szCs w:val="22"/>
              </w:rPr>
              <w:t>9</w:t>
            </w:r>
            <w:r w:rsidR="00BC14B6" w:rsidRPr="000D091E">
              <w:rPr>
                <w:rFonts w:ascii="Century Gothic" w:hAnsi="Century Gothic"/>
                <w:sz w:val="22"/>
                <w:szCs w:val="22"/>
              </w:rPr>
              <w:t>/</w:t>
            </w:r>
            <w:r w:rsidRPr="000D091E">
              <w:rPr>
                <w:rFonts w:ascii="Century Gothic" w:hAnsi="Century Gothic"/>
                <w:sz w:val="22"/>
                <w:szCs w:val="22"/>
              </w:rPr>
              <w:t>04</w:t>
            </w:r>
            <w:r w:rsidR="00BC14B6" w:rsidRPr="000D091E">
              <w:rPr>
                <w:rFonts w:ascii="Century Gothic" w:hAnsi="Century Gothic"/>
                <w:sz w:val="22"/>
                <w:szCs w:val="22"/>
              </w:rPr>
              <w:t>/202</w:t>
            </w:r>
            <w:r w:rsidRPr="000D091E">
              <w:rPr>
                <w:rFonts w:ascii="Century Gothic" w:hAnsi="Century Gothic"/>
                <w:sz w:val="22"/>
                <w:szCs w:val="22"/>
              </w:rPr>
              <w:t>5</w:t>
            </w:r>
          </w:p>
        </w:tc>
      </w:tr>
      <w:tr w:rsidR="008A065A" w:rsidRPr="000D091E" w14:paraId="575D7462" w14:textId="77777777" w:rsidTr="00210131">
        <w:trPr>
          <w:trHeight w:val="454"/>
        </w:trPr>
        <w:tc>
          <w:tcPr>
            <w:tcW w:w="4537" w:type="dxa"/>
            <w:vAlign w:val="center"/>
          </w:tcPr>
          <w:p w14:paraId="1A8D7799" w14:textId="77777777" w:rsidR="00BC14B6" w:rsidRPr="000D091E" w:rsidRDefault="00BC14B6" w:rsidP="00210131">
            <w:pPr>
              <w:rPr>
                <w:rFonts w:ascii="Century Gothic" w:hAnsi="Century Gothic"/>
                <w:sz w:val="22"/>
                <w:szCs w:val="22"/>
              </w:rPr>
            </w:pPr>
            <w:r w:rsidRPr="000D091E">
              <w:rPr>
                <w:rFonts w:ascii="Century Gothic" w:hAnsi="Century Gothic"/>
                <w:sz w:val="22"/>
                <w:szCs w:val="22"/>
              </w:rPr>
              <w:t>Fecha vencimiento del término</w:t>
            </w:r>
          </w:p>
        </w:tc>
        <w:tc>
          <w:tcPr>
            <w:tcW w:w="5670" w:type="dxa"/>
          </w:tcPr>
          <w:p w14:paraId="4031F3A9" w14:textId="1515A15B" w:rsidR="00BC14B6" w:rsidRPr="000D091E" w:rsidRDefault="00BC14B6" w:rsidP="00210131">
            <w:pPr>
              <w:jc w:val="both"/>
              <w:rPr>
                <w:rFonts w:ascii="Century Gothic" w:hAnsi="Century Gothic"/>
                <w:sz w:val="22"/>
                <w:szCs w:val="22"/>
              </w:rPr>
            </w:pPr>
            <w:r w:rsidRPr="000D091E">
              <w:rPr>
                <w:rFonts w:ascii="Century Gothic" w:hAnsi="Century Gothic"/>
                <w:sz w:val="22"/>
                <w:szCs w:val="22"/>
              </w:rPr>
              <w:t>1</w:t>
            </w:r>
            <w:r w:rsidR="00A1502B" w:rsidRPr="000D091E">
              <w:rPr>
                <w:rFonts w:ascii="Century Gothic" w:hAnsi="Century Gothic"/>
                <w:sz w:val="22"/>
                <w:szCs w:val="22"/>
              </w:rPr>
              <w:t>2</w:t>
            </w:r>
            <w:r w:rsidRPr="000D091E">
              <w:rPr>
                <w:rFonts w:ascii="Century Gothic" w:hAnsi="Century Gothic"/>
                <w:sz w:val="22"/>
                <w:szCs w:val="22"/>
              </w:rPr>
              <w:t>/</w:t>
            </w:r>
            <w:r w:rsidR="00A1502B" w:rsidRPr="000D091E">
              <w:rPr>
                <w:rFonts w:ascii="Century Gothic" w:hAnsi="Century Gothic"/>
                <w:sz w:val="22"/>
                <w:szCs w:val="22"/>
              </w:rPr>
              <w:t>05</w:t>
            </w:r>
            <w:r w:rsidRPr="000D091E">
              <w:rPr>
                <w:rFonts w:ascii="Century Gothic" w:hAnsi="Century Gothic"/>
                <w:sz w:val="22"/>
                <w:szCs w:val="22"/>
              </w:rPr>
              <w:t>/202</w:t>
            </w:r>
            <w:r w:rsidR="00A1502B" w:rsidRPr="000D091E">
              <w:rPr>
                <w:rFonts w:ascii="Century Gothic" w:hAnsi="Century Gothic"/>
                <w:sz w:val="22"/>
                <w:szCs w:val="22"/>
              </w:rPr>
              <w:t>5</w:t>
            </w:r>
          </w:p>
        </w:tc>
      </w:tr>
    </w:tbl>
    <w:p w14:paraId="3746B336" w14:textId="77777777" w:rsidR="00BC14B6" w:rsidRPr="000D091E" w:rsidRDefault="00BC14B6" w:rsidP="00BC14B6">
      <w:pPr>
        <w:rPr>
          <w:rFonts w:ascii="Century Gothic" w:hAnsi="Century Gothic"/>
          <w:sz w:val="22"/>
          <w:szCs w:val="22"/>
        </w:rPr>
      </w:pPr>
    </w:p>
    <w:p w14:paraId="2E55EFC4" w14:textId="77777777" w:rsidR="00BC14B6" w:rsidRPr="000D091E" w:rsidRDefault="00BC14B6" w:rsidP="00BC14B6">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8A065A" w:rsidRPr="000D091E" w14:paraId="6026066B" w14:textId="77777777" w:rsidTr="00210131">
        <w:tc>
          <w:tcPr>
            <w:tcW w:w="10207" w:type="dxa"/>
            <w:shd w:val="clear" w:color="auto" w:fill="B3E5A1" w:themeFill="accent6" w:themeFillTint="66"/>
            <w:vAlign w:val="center"/>
          </w:tcPr>
          <w:p w14:paraId="31DC012E" w14:textId="77777777" w:rsidR="00BC14B6" w:rsidRPr="000D091E" w:rsidRDefault="00BC14B6" w:rsidP="00210131">
            <w:pPr>
              <w:jc w:val="center"/>
              <w:rPr>
                <w:rFonts w:ascii="Century Gothic" w:hAnsi="Century Gothic"/>
                <w:sz w:val="22"/>
                <w:szCs w:val="22"/>
              </w:rPr>
            </w:pPr>
            <w:r w:rsidRPr="000D091E">
              <w:rPr>
                <w:rFonts w:ascii="Century Gothic" w:hAnsi="Century Gothic"/>
                <w:sz w:val="22"/>
                <w:szCs w:val="22"/>
              </w:rPr>
              <w:t>Hechos (haga un relato conciso y preciso de las circunstancias que rodearon el siniestro, tales como fecha, lugar de los hechos, partes involucrados, póliza, lesiones y/o secuelas)</w:t>
            </w:r>
          </w:p>
        </w:tc>
      </w:tr>
      <w:tr w:rsidR="008A065A" w:rsidRPr="000D091E" w14:paraId="7EC54274" w14:textId="77777777" w:rsidTr="00210131">
        <w:tc>
          <w:tcPr>
            <w:tcW w:w="10207" w:type="dxa"/>
            <w:vAlign w:val="center"/>
          </w:tcPr>
          <w:p w14:paraId="2DD1265E" w14:textId="77777777" w:rsidR="00BC14B6" w:rsidRPr="000D091E" w:rsidRDefault="00BC14B6" w:rsidP="00210131">
            <w:pPr>
              <w:rPr>
                <w:rFonts w:ascii="Century Gothic" w:hAnsi="Century Gothic"/>
                <w:sz w:val="22"/>
                <w:szCs w:val="22"/>
              </w:rPr>
            </w:pPr>
          </w:p>
          <w:p w14:paraId="7345B633" w14:textId="20A7C0F2" w:rsidR="000B4EAD" w:rsidRPr="000D091E" w:rsidRDefault="000B4EAD" w:rsidP="000B4EAD">
            <w:pPr>
              <w:jc w:val="both"/>
              <w:rPr>
                <w:rFonts w:ascii="Century Gothic" w:hAnsi="Century Gothic"/>
                <w:sz w:val="22"/>
                <w:szCs w:val="22"/>
                <w:lang w:val="es-CO"/>
              </w:rPr>
            </w:pPr>
            <w:r w:rsidRPr="000D091E">
              <w:rPr>
                <w:rFonts w:ascii="Century Gothic" w:hAnsi="Century Gothic"/>
                <w:sz w:val="22"/>
                <w:szCs w:val="22"/>
                <w:lang w:val="es-CO"/>
              </w:rPr>
              <w:t xml:space="preserve">La señora </w:t>
            </w:r>
            <w:proofErr w:type="spellStart"/>
            <w:r w:rsidRPr="000D091E">
              <w:rPr>
                <w:rFonts w:ascii="Century Gothic" w:hAnsi="Century Gothic"/>
                <w:sz w:val="22"/>
                <w:szCs w:val="22"/>
                <w:lang w:val="es-CO"/>
              </w:rPr>
              <w:t>Yeika</w:t>
            </w:r>
            <w:proofErr w:type="spellEnd"/>
            <w:r w:rsidRPr="000D091E">
              <w:rPr>
                <w:rFonts w:ascii="Century Gothic" w:hAnsi="Century Gothic"/>
                <w:sz w:val="22"/>
                <w:szCs w:val="22"/>
                <w:lang w:val="es-CO"/>
              </w:rPr>
              <w:t xml:space="preserve"> Patricia Suárez Agámez, afiliada como beneficiaria al régimen contributivo de Sanitas EPS desde el 1° de julio de 2019, fue ingresada el 10 de julio de 2020 a la Clínica </w:t>
            </w:r>
            <w:proofErr w:type="spellStart"/>
            <w:r w:rsidRPr="000D091E">
              <w:rPr>
                <w:rFonts w:ascii="Century Gothic" w:hAnsi="Century Gothic"/>
                <w:sz w:val="22"/>
                <w:szCs w:val="22"/>
                <w:lang w:val="es-CO"/>
              </w:rPr>
              <w:t>Someda</w:t>
            </w:r>
            <w:proofErr w:type="spellEnd"/>
            <w:r w:rsidRPr="000D091E">
              <w:rPr>
                <w:rFonts w:ascii="Century Gothic" w:hAnsi="Century Gothic"/>
                <w:sz w:val="22"/>
                <w:szCs w:val="22"/>
                <w:lang w:val="es-CO"/>
              </w:rPr>
              <w:t xml:space="preserve"> S.A.S. para la práctica de una cesárea, estando en la semana 38 de gestación.</w:t>
            </w:r>
          </w:p>
          <w:p w14:paraId="3EB398B1" w14:textId="77777777" w:rsidR="000D091E" w:rsidRPr="000D091E" w:rsidRDefault="000D091E" w:rsidP="000B4EAD">
            <w:pPr>
              <w:jc w:val="both"/>
              <w:rPr>
                <w:rFonts w:ascii="Century Gothic" w:hAnsi="Century Gothic"/>
                <w:sz w:val="22"/>
                <w:szCs w:val="22"/>
                <w:lang w:val="es-CO"/>
              </w:rPr>
            </w:pPr>
          </w:p>
          <w:p w14:paraId="546BA7AE" w14:textId="57FB6AB8" w:rsidR="000B4EAD" w:rsidRPr="000D091E" w:rsidRDefault="000B4EAD" w:rsidP="000B4EAD">
            <w:pPr>
              <w:jc w:val="both"/>
              <w:rPr>
                <w:rFonts w:ascii="Century Gothic" w:hAnsi="Century Gothic"/>
                <w:sz w:val="22"/>
                <w:szCs w:val="22"/>
                <w:lang w:val="es-CO"/>
              </w:rPr>
            </w:pPr>
            <w:r w:rsidRPr="000D091E">
              <w:rPr>
                <w:rFonts w:ascii="Century Gothic" w:hAnsi="Century Gothic"/>
                <w:sz w:val="22"/>
                <w:szCs w:val="22"/>
                <w:lang w:val="es-CO"/>
              </w:rPr>
              <w:t xml:space="preserve">Durante el acto quirúrgico, se presentó un incendio en el campo operatorio que produjo </w:t>
            </w:r>
            <w:r w:rsidR="00890405" w:rsidRPr="000D091E">
              <w:rPr>
                <w:rFonts w:ascii="Century Gothic" w:hAnsi="Century Gothic"/>
                <w:sz w:val="22"/>
                <w:szCs w:val="22"/>
                <w:lang w:val="es-CO"/>
              </w:rPr>
              <w:t>quemaduras en</w:t>
            </w:r>
            <w:r w:rsidRPr="000D091E">
              <w:rPr>
                <w:rFonts w:ascii="Century Gothic" w:hAnsi="Century Gothic"/>
                <w:sz w:val="22"/>
                <w:szCs w:val="22"/>
                <w:lang w:val="es-CO"/>
              </w:rPr>
              <w:t xml:space="preserve"> el abdomen y el muslo izquierdo de la paciente. El evento quedó registrado en la historia clínica, sin que existiera explicación clara sobre el origen del fuego. A pesar del incidente, el procedimiento obstétrico concluyó con el nacimiento de la menor María Patricia </w:t>
            </w:r>
            <w:proofErr w:type="spellStart"/>
            <w:r w:rsidRPr="000D091E">
              <w:rPr>
                <w:rFonts w:ascii="Century Gothic" w:hAnsi="Century Gothic"/>
                <w:sz w:val="22"/>
                <w:szCs w:val="22"/>
                <w:lang w:val="es-CO"/>
              </w:rPr>
              <w:t>Ballejo</w:t>
            </w:r>
            <w:proofErr w:type="spellEnd"/>
            <w:r w:rsidRPr="000D091E">
              <w:rPr>
                <w:rFonts w:ascii="Century Gothic" w:hAnsi="Century Gothic"/>
                <w:sz w:val="22"/>
                <w:szCs w:val="22"/>
                <w:lang w:val="es-CO"/>
              </w:rPr>
              <w:t xml:space="preserve"> Suárez.</w:t>
            </w:r>
          </w:p>
          <w:p w14:paraId="2FD2638D" w14:textId="77777777" w:rsidR="000D091E" w:rsidRPr="000D091E" w:rsidRDefault="000D091E" w:rsidP="000B4EAD">
            <w:pPr>
              <w:jc w:val="both"/>
              <w:rPr>
                <w:rFonts w:ascii="Century Gothic" w:hAnsi="Century Gothic"/>
                <w:sz w:val="22"/>
                <w:szCs w:val="22"/>
                <w:lang w:val="es-CO"/>
              </w:rPr>
            </w:pPr>
          </w:p>
          <w:p w14:paraId="410CA071" w14:textId="77777777" w:rsidR="000B4EAD" w:rsidRPr="000D091E" w:rsidRDefault="000B4EAD" w:rsidP="000B4EAD">
            <w:pPr>
              <w:jc w:val="both"/>
              <w:rPr>
                <w:rFonts w:ascii="Century Gothic" w:hAnsi="Century Gothic"/>
                <w:sz w:val="22"/>
                <w:szCs w:val="22"/>
                <w:lang w:val="es-CO"/>
              </w:rPr>
            </w:pPr>
            <w:r w:rsidRPr="000D091E">
              <w:rPr>
                <w:rFonts w:ascii="Century Gothic" w:hAnsi="Century Gothic"/>
                <w:sz w:val="22"/>
                <w:szCs w:val="22"/>
                <w:lang w:val="es-CO"/>
              </w:rPr>
              <w:t xml:space="preserve">Tras el procedimiento, la paciente fue tratada por cirugía plástica, donde se evidenció la necesidad de realizar lavados quirúrgicos, desbridamiento y reconstrucción con colgajos </w:t>
            </w:r>
            <w:proofErr w:type="spellStart"/>
            <w:r w:rsidRPr="000D091E">
              <w:rPr>
                <w:rFonts w:ascii="Century Gothic" w:hAnsi="Century Gothic"/>
                <w:sz w:val="22"/>
                <w:szCs w:val="22"/>
                <w:lang w:val="es-CO"/>
              </w:rPr>
              <w:t>fasciocutáneos</w:t>
            </w:r>
            <w:proofErr w:type="spellEnd"/>
            <w:r w:rsidRPr="000D091E">
              <w:rPr>
                <w:rFonts w:ascii="Century Gothic" w:hAnsi="Century Gothic"/>
                <w:sz w:val="22"/>
                <w:szCs w:val="22"/>
                <w:lang w:val="es-CO"/>
              </w:rPr>
              <w:t xml:space="preserve"> múltiples, así como tratamiento médico posoperatorio. El 4 de septiembre de 2020, un informe de Medicina Legal determinó la existencia de una secuela estética permanente, consistente en una deformidad física de carácter permanente.</w:t>
            </w:r>
          </w:p>
          <w:p w14:paraId="6B369374" w14:textId="77777777" w:rsidR="000D091E" w:rsidRPr="000D091E" w:rsidRDefault="000D091E" w:rsidP="000B4EAD">
            <w:pPr>
              <w:jc w:val="both"/>
              <w:rPr>
                <w:rFonts w:ascii="Century Gothic" w:hAnsi="Century Gothic"/>
                <w:sz w:val="22"/>
                <w:szCs w:val="22"/>
                <w:lang w:val="es-CO"/>
              </w:rPr>
            </w:pPr>
          </w:p>
          <w:p w14:paraId="267ADBD6" w14:textId="025CE0DB" w:rsidR="000B4EAD" w:rsidRPr="000D091E" w:rsidRDefault="000B4EAD" w:rsidP="000B4EAD">
            <w:pPr>
              <w:jc w:val="both"/>
              <w:rPr>
                <w:rFonts w:ascii="Century Gothic" w:hAnsi="Century Gothic"/>
                <w:sz w:val="22"/>
                <w:szCs w:val="22"/>
                <w:lang w:val="es-CO"/>
              </w:rPr>
            </w:pPr>
            <w:r w:rsidRPr="000D091E">
              <w:rPr>
                <w:rFonts w:ascii="Century Gothic" w:hAnsi="Century Gothic"/>
                <w:sz w:val="22"/>
                <w:szCs w:val="22"/>
                <w:lang w:val="es-CO"/>
              </w:rPr>
              <w:t>El dictamen de PERIMEDICAL DEL VALLE S.A.S. concluyó que el caso se trató de un evento adverso evitable en la atención en salud, señalando fallas en la colocación de la placa de electrodo neutro, la omisión de precauciones esenciales dadas las condiciones médicas preexistentes de la paciente, y la ausencia de consentimiento informado y de lista de chequeo de cirugía segura.</w:t>
            </w:r>
          </w:p>
          <w:p w14:paraId="0908C3B4" w14:textId="77777777" w:rsidR="000D091E" w:rsidRPr="000D091E" w:rsidRDefault="000D091E" w:rsidP="000B4EAD">
            <w:pPr>
              <w:jc w:val="both"/>
              <w:rPr>
                <w:rFonts w:ascii="Century Gothic" w:hAnsi="Century Gothic"/>
                <w:sz w:val="22"/>
                <w:szCs w:val="22"/>
                <w:lang w:val="es-CO"/>
              </w:rPr>
            </w:pPr>
          </w:p>
          <w:p w14:paraId="52507290" w14:textId="77777777" w:rsidR="000B4EAD" w:rsidRPr="000D091E" w:rsidRDefault="000B4EAD" w:rsidP="000B4EAD">
            <w:pPr>
              <w:jc w:val="both"/>
              <w:rPr>
                <w:rFonts w:ascii="Century Gothic" w:hAnsi="Century Gothic"/>
                <w:sz w:val="22"/>
                <w:szCs w:val="22"/>
                <w:lang w:val="es-CO"/>
              </w:rPr>
            </w:pPr>
            <w:r w:rsidRPr="000D091E">
              <w:rPr>
                <w:rFonts w:ascii="Century Gothic" w:hAnsi="Century Gothic"/>
                <w:sz w:val="22"/>
                <w:szCs w:val="22"/>
                <w:lang w:val="es-CO"/>
              </w:rPr>
              <w:t xml:space="preserve">El 25 de marzo de 2021 se celebró audiencia de conciliación extrajudicial con la Clínica </w:t>
            </w:r>
            <w:proofErr w:type="spellStart"/>
            <w:r w:rsidRPr="000D091E">
              <w:rPr>
                <w:rFonts w:ascii="Century Gothic" w:hAnsi="Century Gothic"/>
                <w:sz w:val="22"/>
                <w:szCs w:val="22"/>
                <w:lang w:val="es-CO"/>
              </w:rPr>
              <w:t>Someda</w:t>
            </w:r>
            <w:proofErr w:type="spellEnd"/>
            <w:r w:rsidRPr="000D091E">
              <w:rPr>
                <w:rFonts w:ascii="Century Gothic" w:hAnsi="Century Gothic"/>
                <w:sz w:val="22"/>
                <w:szCs w:val="22"/>
                <w:lang w:val="es-CO"/>
              </w:rPr>
              <w:t xml:space="preserve"> S.A.S., Sanitas EPS y Liberty Seguros S.A., la cual terminó sin acuerdo. Se resalta que Liberty Seguros S.A. responde solidariamente en virtud de la póliza de responsabilidad civil No. </w:t>
            </w:r>
            <w:r w:rsidRPr="000D091E">
              <w:rPr>
                <w:rFonts w:ascii="Century Gothic" w:hAnsi="Century Gothic"/>
                <w:sz w:val="22"/>
                <w:szCs w:val="22"/>
                <w:lang w:val="es-CO"/>
              </w:rPr>
              <w:lastRenderedPageBreak/>
              <w:t>349129, y que Sanitas EPS tenía el deber de garantizar la atención médica adecuada a sus afiliados.</w:t>
            </w:r>
          </w:p>
          <w:p w14:paraId="2B98942D" w14:textId="77777777" w:rsidR="00BC14B6" w:rsidRPr="000D091E" w:rsidRDefault="00BC14B6" w:rsidP="00210131">
            <w:pPr>
              <w:jc w:val="both"/>
              <w:rPr>
                <w:rFonts w:ascii="Century Gothic" w:hAnsi="Century Gothic"/>
                <w:sz w:val="22"/>
                <w:szCs w:val="22"/>
                <w:lang w:val="es-CO"/>
              </w:rPr>
            </w:pPr>
          </w:p>
          <w:p w14:paraId="5DF0ED1C" w14:textId="4AB0C9A1" w:rsidR="00BC14B6" w:rsidRPr="000D091E" w:rsidRDefault="00BC14B6" w:rsidP="00210131">
            <w:pPr>
              <w:jc w:val="both"/>
              <w:rPr>
                <w:rFonts w:ascii="Century Gothic" w:hAnsi="Century Gothic"/>
                <w:sz w:val="22"/>
                <w:szCs w:val="22"/>
              </w:rPr>
            </w:pPr>
          </w:p>
        </w:tc>
      </w:tr>
    </w:tbl>
    <w:p w14:paraId="709362EF" w14:textId="77777777" w:rsidR="00BC14B6" w:rsidRPr="000D091E" w:rsidRDefault="00BC14B6" w:rsidP="00BC14B6">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A065A" w:rsidRPr="000D091E" w14:paraId="0A944C4C" w14:textId="77777777" w:rsidTr="00210131">
        <w:tc>
          <w:tcPr>
            <w:tcW w:w="10207" w:type="dxa"/>
            <w:gridSpan w:val="2"/>
            <w:shd w:val="clear" w:color="auto" w:fill="B3E5A1" w:themeFill="accent6" w:themeFillTint="66"/>
            <w:vAlign w:val="center"/>
          </w:tcPr>
          <w:p w14:paraId="61476255" w14:textId="77777777" w:rsidR="00BC14B6" w:rsidRPr="000D091E" w:rsidRDefault="00BC14B6" w:rsidP="00210131">
            <w:pPr>
              <w:jc w:val="center"/>
              <w:rPr>
                <w:rFonts w:ascii="Century Gothic" w:hAnsi="Century Gothic"/>
                <w:sz w:val="22"/>
                <w:szCs w:val="22"/>
              </w:rPr>
            </w:pPr>
            <w:r w:rsidRPr="000D091E">
              <w:rPr>
                <w:rFonts w:ascii="Century Gothic" w:hAnsi="Century Gothic"/>
                <w:sz w:val="22"/>
                <w:szCs w:val="22"/>
              </w:rPr>
              <w:t>Pretensiones (haga un relato o enliste las pretensiones de la demanda/llamamiento en garantía)</w:t>
            </w:r>
          </w:p>
        </w:tc>
      </w:tr>
      <w:tr w:rsidR="008A065A" w:rsidRPr="000D091E" w14:paraId="787DF1E7" w14:textId="77777777" w:rsidTr="00210131">
        <w:tc>
          <w:tcPr>
            <w:tcW w:w="10207" w:type="dxa"/>
            <w:gridSpan w:val="2"/>
            <w:vAlign w:val="center"/>
          </w:tcPr>
          <w:p w14:paraId="763FA4EC" w14:textId="77777777" w:rsidR="00BC14B6" w:rsidRPr="000D091E" w:rsidRDefault="00BC14B6" w:rsidP="00210131">
            <w:pPr>
              <w:jc w:val="both"/>
              <w:rPr>
                <w:rFonts w:ascii="Century Gothic" w:hAnsi="Century Gothic"/>
                <w:sz w:val="22"/>
                <w:szCs w:val="22"/>
              </w:rPr>
            </w:pPr>
            <w:r w:rsidRPr="000D091E">
              <w:rPr>
                <w:rFonts w:ascii="Century Gothic" w:hAnsi="Century Gothic"/>
                <w:sz w:val="22"/>
                <w:szCs w:val="22"/>
              </w:rPr>
              <w:t xml:space="preserve">De la demanda: </w:t>
            </w:r>
          </w:p>
          <w:p w14:paraId="02A6DD1C" w14:textId="77777777" w:rsidR="00BC14B6" w:rsidRPr="000D091E" w:rsidRDefault="00BC14B6" w:rsidP="00210131">
            <w:pPr>
              <w:jc w:val="both"/>
              <w:rPr>
                <w:rFonts w:ascii="Century Gothic" w:hAnsi="Century Gothic"/>
                <w:sz w:val="22"/>
                <w:szCs w:val="22"/>
              </w:rPr>
            </w:pPr>
          </w:p>
          <w:p w14:paraId="567D39E3" w14:textId="77777777" w:rsidR="00BC14B6" w:rsidRPr="000D091E" w:rsidRDefault="00BC14B6" w:rsidP="00210131">
            <w:pPr>
              <w:jc w:val="both"/>
              <w:rPr>
                <w:rFonts w:ascii="Century Gothic" w:hAnsi="Century Gothic"/>
                <w:sz w:val="22"/>
                <w:szCs w:val="22"/>
              </w:rPr>
            </w:pPr>
          </w:p>
          <w:p w14:paraId="18C56EE7" w14:textId="29E90674" w:rsidR="00BC14B6" w:rsidRPr="000D091E" w:rsidRDefault="00BC14B6" w:rsidP="008B05A2">
            <w:pPr>
              <w:pStyle w:val="Prrafodelista"/>
              <w:numPr>
                <w:ilvl w:val="0"/>
                <w:numId w:val="3"/>
              </w:numPr>
              <w:jc w:val="both"/>
              <w:rPr>
                <w:rFonts w:ascii="Century Gothic" w:hAnsi="Century Gothic"/>
                <w:sz w:val="22"/>
                <w:szCs w:val="22"/>
              </w:rPr>
            </w:pPr>
            <w:r w:rsidRPr="000D091E">
              <w:rPr>
                <w:rFonts w:ascii="Century Gothic" w:hAnsi="Century Gothic"/>
                <w:sz w:val="22"/>
                <w:szCs w:val="22"/>
              </w:rPr>
              <w:t xml:space="preserve">Que se declare </w:t>
            </w:r>
            <w:r w:rsidR="008B05A2" w:rsidRPr="000D091E">
              <w:rPr>
                <w:rFonts w:ascii="Century Gothic" w:hAnsi="Century Gothic"/>
                <w:sz w:val="22"/>
                <w:szCs w:val="22"/>
              </w:rPr>
              <w:t>que la ENTIDAD PROMOTORA DE SALUD -SANITAS EPS y LIBERTY SEGUROS SA, son responsables por la falla en la atención de YEIKA PATRICIA SUAREZ.</w:t>
            </w:r>
          </w:p>
          <w:p w14:paraId="1A35E791" w14:textId="77777777" w:rsidR="000D091E" w:rsidRPr="000D091E" w:rsidRDefault="000D091E" w:rsidP="000D091E">
            <w:pPr>
              <w:pStyle w:val="Prrafodelista"/>
              <w:jc w:val="both"/>
              <w:rPr>
                <w:rFonts w:ascii="Century Gothic" w:hAnsi="Century Gothic"/>
                <w:sz w:val="22"/>
                <w:szCs w:val="22"/>
              </w:rPr>
            </w:pPr>
          </w:p>
          <w:p w14:paraId="29E90AE1" w14:textId="4E63C0B5" w:rsidR="008B05A2" w:rsidRPr="000D091E" w:rsidRDefault="008B05A2" w:rsidP="008B05A2">
            <w:pPr>
              <w:pStyle w:val="Prrafodelista"/>
              <w:numPr>
                <w:ilvl w:val="0"/>
                <w:numId w:val="3"/>
              </w:numPr>
              <w:jc w:val="both"/>
              <w:rPr>
                <w:rFonts w:ascii="Century Gothic" w:hAnsi="Century Gothic"/>
                <w:sz w:val="22"/>
                <w:szCs w:val="22"/>
              </w:rPr>
            </w:pPr>
            <w:r w:rsidRPr="000D091E">
              <w:rPr>
                <w:rFonts w:ascii="Century Gothic" w:hAnsi="Century Gothic"/>
                <w:sz w:val="22"/>
                <w:szCs w:val="22"/>
              </w:rPr>
              <w:t>Que se declare que la CLINICA SOMEDA SAS es responsable administrativa y patrimonialmente responsable por la falla en atención a la señora YEIKA PATRICIA SUAREZ</w:t>
            </w:r>
            <w:r w:rsidR="000D091E" w:rsidRPr="000D091E">
              <w:rPr>
                <w:rFonts w:ascii="Century Gothic" w:hAnsi="Century Gothic"/>
                <w:sz w:val="22"/>
                <w:szCs w:val="22"/>
              </w:rPr>
              <w:t>.</w:t>
            </w:r>
          </w:p>
          <w:p w14:paraId="5874709B" w14:textId="77777777" w:rsidR="000D091E" w:rsidRPr="000D091E" w:rsidRDefault="000D091E" w:rsidP="000D091E">
            <w:pPr>
              <w:jc w:val="both"/>
              <w:rPr>
                <w:rFonts w:ascii="Century Gothic" w:hAnsi="Century Gothic"/>
                <w:sz w:val="22"/>
                <w:szCs w:val="22"/>
              </w:rPr>
            </w:pPr>
          </w:p>
          <w:p w14:paraId="59E8915F" w14:textId="37C855D0" w:rsidR="008B05A2" w:rsidRPr="000D091E" w:rsidRDefault="008B05A2" w:rsidP="008B05A2">
            <w:pPr>
              <w:pStyle w:val="Prrafodelista"/>
              <w:numPr>
                <w:ilvl w:val="0"/>
                <w:numId w:val="3"/>
              </w:numPr>
              <w:jc w:val="both"/>
              <w:rPr>
                <w:rFonts w:ascii="Century Gothic" w:hAnsi="Century Gothic"/>
                <w:sz w:val="22"/>
                <w:szCs w:val="22"/>
                <w:lang w:val="es-CO"/>
              </w:rPr>
            </w:pPr>
            <w:r w:rsidRPr="000D091E">
              <w:rPr>
                <w:rFonts w:ascii="Century Gothic" w:hAnsi="Century Gothic"/>
                <w:sz w:val="22"/>
                <w:szCs w:val="22"/>
              </w:rPr>
              <w:t xml:space="preserve">Como consecuencia de las anteriores declaraciones, solicitó a </w:t>
            </w:r>
            <w:r w:rsidR="00890405" w:rsidRPr="000D091E">
              <w:rPr>
                <w:rFonts w:ascii="Century Gothic" w:hAnsi="Century Gothic"/>
                <w:sz w:val="22"/>
                <w:szCs w:val="22"/>
              </w:rPr>
              <w:t>título</w:t>
            </w:r>
            <w:r w:rsidRPr="000D091E">
              <w:rPr>
                <w:rFonts w:ascii="Century Gothic" w:hAnsi="Century Gothic"/>
                <w:sz w:val="22"/>
                <w:szCs w:val="22"/>
              </w:rPr>
              <w:t xml:space="preserve"> de daño moral 100 SMLMV para </w:t>
            </w:r>
            <w:proofErr w:type="spellStart"/>
            <w:r w:rsidRPr="000D091E">
              <w:rPr>
                <w:rFonts w:ascii="Century Gothic" w:hAnsi="Century Gothic"/>
                <w:sz w:val="22"/>
                <w:szCs w:val="22"/>
                <w:lang w:val="es-CO"/>
              </w:rPr>
              <w:t>Yeika</w:t>
            </w:r>
            <w:proofErr w:type="spellEnd"/>
            <w:r w:rsidRPr="000D091E">
              <w:rPr>
                <w:rFonts w:ascii="Century Gothic" w:hAnsi="Century Gothic"/>
                <w:sz w:val="22"/>
                <w:szCs w:val="22"/>
                <w:lang w:val="es-CO"/>
              </w:rPr>
              <w:t xml:space="preserve"> Patricia Suárez Agámez (víctima directa), María Mónica </w:t>
            </w:r>
            <w:proofErr w:type="spellStart"/>
            <w:r w:rsidRPr="000D091E">
              <w:rPr>
                <w:rFonts w:ascii="Century Gothic" w:hAnsi="Century Gothic"/>
                <w:sz w:val="22"/>
                <w:szCs w:val="22"/>
                <w:lang w:val="es-CO"/>
              </w:rPr>
              <w:t>Ballejo</w:t>
            </w:r>
            <w:proofErr w:type="spellEnd"/>
            <w:r w:rsidRPr="000D091E">
              <w:rPr>
                <w:rFonts w:ascii="Century Gothic" w:hAnsi="Century Gothic"/>
                <w:sz w:val="22"/>
                <w:szCs w:val="22"/>
                <w:lang w:val="es-CO"/>
              </w:rPr>
              <w:t xml:space="preserve"> Suárez (hija), María Patricia </w:t>
            </w:r>
            <w:proofErr w:type="spellStart"/>
            <w:r w:rsidRPr="000D091E">
              <w:rPr>
                <w:rFonts w:ascii="Century Gothic" w:hAnsi="Century Gothic"/>
                <w:sz w:val="22"/>
                <w:szCs w:val="22"/>
                <w:lang w:val="es-CO"/>
              </w:rPr>
              <w:t>Ballejo</w:t>
            </w:r>
            <w:proofErr w:type="spellEnd"/>
            <w:r w:rsidRPr="000D091E">
              <w:rPr>
                <w:rFonts w:ascii="Century Gothic" w:hAnsi="Century Gothic"/>
                <w:sz w:val="22"/>
                <w:szCs w:val="22"/>
                <w:lang w:val="es-CO"/>
              </w:rPr>
              <w:t xml:space="preserve"> Suárez (hija), Víctor Andrés </w:t>
            </w:r>
            <w:proofErr w:type="spellStart"/>
            <w:r w:rsidRPr="000D091E">
              <w:rPr>
                <w:rFonts w:ascii="Century Gothic" w:hAnsi="Century Gothic"/>
                <w:sz w:val="22"/>
                <w:szCs w:val="22"/>
                <w:lang w:val="es-CO"/>
              </w:rPr>
              <w:t>Ballejo</w:t>
            </w:r>
            <w:proofErr w:type="spellEnd"/>
            <w:r w:rsidRPr="000D091E">
              <w:rPr>
                <w:rFonts w:ascii="Century Gothic" w:hAnsi="Century Gothic"/>
                <w:sz w:val="22"/>
                <w:szCs w:val="22"/>
                <w:lang w:val="es-CO"/>
              </w:rPr>
              <w:t xml:space="preserve"> Ortega (esposo), </w:t>
            </w:r>
            <w:proofErr w:type="spellStart"/>
            <w:r w:rsidRPr="000D091E">
              <w:rPr>
                <w:rFonts w:ascii="Century Gothic" w:hAnsi="Century Gothic"/>
                <w:sz w:val="22"/>
                <w:szCs w:val="22"/>
                <w:lang w:val="es-CO"/>
              </w:rPr>
              <w:t>Enilda</w:t>
            </w:r>
            <w:proofErr w:type="spellEnd"/>
            <w:r w:rsidRPr="000D091E">
              <w:rPr>
                <w:rFonts w:ascii="Century Gothic" w:hAnsi="Century Gothic"/>
                <w:sz w:val="22"/>
                <w:szCs w:val="22"/>
                <w:lang w:val="es-CO"/>
              </w:rPr>
              <w:t xml:space="preserve"> Rosa Agámez Sierra (madre) y Carlos Alberto de Jesús Suárez Rodríguez (padre)</w:t>
            </w:r>
            <w:r w:rsidR="000D091E" w:rsidRPr="000D091E">
              <w:rPr>
                <w:rFonts w:ascii="Century Gothic" w:hAnsi="Century Gothic"/>
                <w:sz w:val="22"/>
                <w:szCs w:val="22"/>
                <w:lang w:val="es-CO"/>
              </w:rPr>
              <w:t>.</w:t>
            </w:r>
          </w:p>
          <w:p w14:paraId="3196DE35" w14:textId="77777777" w:rsidR="000D091E" w:rsidRPr="000D091E" w:rsidRDefault="000D091E" w:rsidP="000D091E">
            <w:pPr>
              <w:pStyle w:val="Prrafodelista"/>
              <w:rPr>
                <w:rFonts w:ascii="Century Gothic" w:hAnsi="Century Gothic"/>
                <w:sz w:val="22"/>
                <w:szCs w:val="22"/>
                <w:lang w:val="es-CO"/>
              </w:rPr>
            </w:pPr>
          </w:p>
          <w:p w14:paraId="1EE4261D" w14:textId="77777777" w:rsidR="000D091E" w:rsidRPr="000D091E" w:rsidRDefault="000D091E" w:rsidP="000D091E">
            <w:pPr>
              <w:pStyle w:val="Prrafodelista"/>
              <w:jc w:val="both"/>
              <w:rPr>
                <w:rFonts w:ascii="Century Gothic" w:hAnsi="Century Gothic"/>
                <w:sz w:val="22"/>
                <w:szCs w:val="22"/>
                <w:lang w:val="es-CO"/>
              </w:rPr>
            </w:pPr>
          </w:p>
          <w:p w14:paraId="3D4E9BD6" w14:textId="29E8F88A" w:rsidR="008B05A2" w:rsidRPr="000D091E" w:rsidRDefault="008B05A2" w:rsidP="008B05A2">
            <w:pPr>
              <w:pStyle w:val="Prrafodelista"/>
              <w:numPr>
                <w:ilvl w:val="0"/>
                <w:numId w:val="3"/>
              </w:numPr>
              <w:jc w:val="both"/>
              <w:rPr>
                <w:rFonts w:ascii="Century Gothic" w:hAnsi="Century Gothic"/>
                <w:sz w:val="22"/>
                <w:szCs w:val="22"/>
              </w:rPr>
            </w:pPr>
            <w:r w:rsidRPr="000D091E">
              <w:rPr>
                <w:rFonts w:ascii="Century Gothic" w:hAnsi="Century Gothic"/>
                <w:sz w:val="22"/>
                <w:szCs w:val="22"/>
              </w:rPr>
              <w:t xml:space="preserve">A </w:t>
            </w:r>
            <w:r w:rsidR="00890405" w:rsidRPr="000D091E">
              <w:rPr>
                <w:rFonts w:ascii="Century Gothic" w:hAnsi="Century Gothic"/>
                <w:sz w:val="22"/>
                <w:szCs w:val="22"/>
              </w:rPr>
              <w:t>título</w:t>
            </w:r>
            <w:r w:rsidRPr="000D091E">
              <w:rPr>
                <w:rFonts w:ascii="Century Gothic" w:hAnsi="Century Gothic"/>
                <w:sz w:val="22"/>
                <w:szCs w:val="22"/>
              </w:rPr>
              <w:t xml:space="preserve"> de daño a la vida en relación, También se solicita el reconocimiento de 100 SMLMV por este concepto para las mismas seis personas mencionadas anteriormente.</w:t>
            </w:r>
          </w:p>
          <w:p w14:paraId="59AE4AC3" w14:textId="77777777" w:rsidR="000D091E" w:rsidRPr="000D091E" w:rsidRDefault="000D091E" w:rsidP="000D091E">
            <w:pPr>
              <w:pStyle w:val="Prrafodelista"/>
              <w:jc w:val="both"/>
              <w:rPr>
                <w:rFonts w:ascii="Century Gothic" w:hAnsi="Century Gothic"/>
                <w:sz w:val="22"/>
                <w:szCs w:val="22"/>
              </w:rPr>
            </w:pPr>
          </w:p>
          <w:p w14:paraId="69453521" w14:textId="27986A61" w:rsidR="008B05A2" w:rsidRPr="000D091E" w:rsidRDefault="008B05A2" w:rsidP="008B05A2">
            <w:pPr>
              <w:pStyle w:val="Prrafodelista"/>
              <w:numPr>
                <w:ilvl w:val="0"/>
                <w:numId w:val="3"/>
              </w:numPr>
              <w:jc w:val="both"/>
              <w:rPr>
                <w:rFonts w:ascii="Century Gothic" w:hAnsi="Century Gothic"/>
                <w:sz w:val="22"/>
                <w:szCs w:val="22"/>
              </w:rPr>
            </w:pPr>
            <w:r w:rsidRPr="000D091E">
              <w:rPr>
                <w:rFonts w:ascii="Century Gothic" w:hAnsi="Century Gothic"/>
                <w:sz w:val="22"/>
                <w:szCs w:val="22"/>
              </w:rPr>
              <w:t>Solicita se condene en costas</w:t>
            </w:r>
          </w:p>
          <w:p w14:paraId="693C619E" w14:textId="77777777" w:rsidR="00BC14B6" w:rsidRPr="000D091E" w:rsidRDefault="00BC14B6" w:rsidP="00210131">
            <w:pPr>
              <w:rPr>
                <w:rFonts w:ascii="Century Gothic" w:hAnsi="Century Gothic"/>
                <w:sz w:val="22"/>
                <w:szCs w:val="22"/>
              </w:rPr>
            </w:pPr>
          </w:p>
          <w:p w14:paraId="4C79D219" w14:textId="77777777" w:rsidR="00BC14B6" w:rsidRPr="000D091E" w:rsidRDefault="00BC14B6" w:rsidP="00210131">
            <w:pPr>
              <w:rPr>
                <w:rFonts w:ascii="Century Gothic" w:hAnsi="Century Gothic"/>
                <w:sz w:val="22"/>
                <w:szCs w:val="22"/>
              </w:rPr>
            </w:pPr>
          </w:p>
        </w:tc>
      </w:tr>
      <w:tr w:rsidR="008A065A" w:rsidRPr="000D091E" w14:paraId="36137281" w14:textId="77777777" w:rsidTr="00210131">
        <w:trPr>
          <w:trHeight w:val="510"/>
        </w:trPr>
        <w:tc>
          <w:tcPr>
            <w:tcW w:w="4537" w:type="dxa"/>
            <w:vAlign w:val="center"/>
          </w:tcPr>
          <w:p w14:paraId="12B62F8B" w14:textId="77777777" w:rsidR="00BC14B6" w:rsidRPr="000D091E" w:rsidRDefault="00BC14B6" w:rsidP="00210131">
            <w:pPr>
              <w:rPr>
                <w:rFonts w:ascii="Century Gothic" w:hAnsi="Century Gothic"/>
                <w:sz w:val="22"/>
                <w:szCs w:val="22"/>
              </w:rPr>
            </w:pPr>
            <w:r w:rsidRPr="000D091E">
              <w:rPr>
                <w:rFonts w:ascii="Century Gothic" w:hAnsi="Century Gothic"/>
                <w:sz w:val="22"/>
                <w:szCs w:val="22"/>
              </w:rPr>
              <w:t xml:space="preserve">Valor total de las pretensiones </w:t>
            </w:r>
          </w:p>
        </w:tc>
        <w:tc>
          <w:tcPr>
            <w:tcW w:w="5670" w:type="dxa"/>
            <w:vAlign w:val="center"/>
          </w:tcPr>
          <w:p w14:paraId="724AAE73" w14:textId="67651877" w:rsidR="00BC14B6" w:rsidRPr="000D091E" w:rsidRDefault="00BC14B6" w:rsidP="00210131">
            <w:pPr>
              <w:rPr>
                <w:rFonts w:ascii="Century Gothic" w:hAnsi="Century Gothic"/>
                <w:sz w:val="22"/>
                <w:szCs w:val="22"/>
              </w:rPr>
            </w:pPr>
            <w:r w:rsidRPr="000D091E">
              <w:rPr>
                <w:rFonts w:ascii="Century Gothic" w:hAnsi="Century Gothic"/>
                <w:sz w:val="22"/>
                <w:szCs w:val="22"/>
              </w:rPr>
              <w:t>$</w:t>
            </w:r>
            <w:r w:rsidR="00E61DB4" w:rsidRPr="000D091E">
              <w:rPr>
                <w:rFonts w:ascii="Century Gothic" w:hAnsi="Century Gothic"/>
                <w:sz w:val="22"/>
                <w:szCs w:val="22"/>
              </w:rPr>
              <w:t>1.200</w:t>
            </w:r>
            <w:r w:rsidR="00B53D33" w:rsidRPr="000D091E">
              <w:rPr>
                <w:rFonts w:ascii="Century Gothic" w:hAnsi="Century Gothic"/>
                <w:sz w:val="22"/>
                <w:szCs w:val="22"/>
              </w:rPr>
              <w:t>.000.00</w:t>
            </w:r>
          </w:p>
        </w:tc>
      </w:tr>
      <w:tr w:rsidR="008A065A" w:rsidRPr="000D091E" w14:paraId="3F1E92B4" w14:textId="77777777" w:rsidTr="00210131">
        <w:trPr>
          <w:trHeight w:val="510"/>
        </w:trPr>
        <w:tc>
          <w:tcPr>
            <w:tcW w:w="4537" w:type="dxa"/>
            <w:vAlign w:val="center"/>
          </w:tcPr>
          <w:p w14:paraId="231C9B1A" w14:textId="77777777" w:rsidR="00BC14B6" w:rsidRPr="000D091E" w:rsidRDefault="00BC14B6" w:rsidP="00210131">
            <w:pPr>
              <w:rPr>
                <w:rFonts w:ascii="Century Gothic" w:hAnsi="Century Gothic"/>
                <w:sz w:val="22"/>
                <w:szCs w:val="22"/>
              </w:rPr>
            </w:pPr>
            <w:r w:rsidRPr="000D091E">
              <w:rPr>
                <w:rFonts w:ascii="Century Gothic" w:hAnsi="Century Gothic"/>
                <w:sz w:val="22"/>
                <w:szCs w:val="22"/>
              </w:rPr>
              <w:t>Valor total de las pretensiones objetivadas</w:t>
            </w:r>
          </w:p>
        </w:tc>
        <w:tc>
          <w:tcPr>
            <w:tcW w:w="5670" w:type="dxa"/>
            <w:vAlign w:val="center"/>
          </w:tcPr>
          <w:p w14:paraId="1B76FEED" w14:textId="27B2D954" w:rsidR="00BC14B6" w:rsidRPr="000D091E" w:rsidRDefault="008A065A" w:rsidP="00210131">
            <w:pPr>
              <w:rPr>
                <w:rFonts w:ascii="Century Gothic" w:hAnsi="Century Gothic"/>
                <w:sz w:val="22"/>
                <w:szCs w:val="22"/>
              </w:rPr>
            </w:pPr>
            <w:r w:rsidRPr="000D091E">
              <w:rPr>
                <w:rFonts w:ascii="Century Gothic" w:hAnsi="Century Gothic"/>
                <w:sz w:val="22"/>
                <w:szCs w:val="22"/>
              </w:rPr>
              <w:t>$</w:t>
            </w:r>
            <w:r w:rsidRPr="000D091E">
              <w:rPr>
                <w:rFonts w:ascii="Century Gothic" w:hAnsi="Century Gothic" w:cstheme="minorHAnsi"/>
                <w:sz w:val="22"/>
                <w:szCs w:val="22"/>
              </w:rPr>
              <w:t>960.330.000</w:t>
            </w:r>
          </w:p>
        </w:tc>
      </w:tr>
    </w:tbl>
    <w:p w14:paraId="12EEDD9B" w14:textId="77777777" w:rsidR="00BC14B6" w:rsidRPr="000D091E" w:rsidRDefault="00BC14B6" w:rsidP="00BC14B6">
      <w:pPr>
        <w:rPr>
          <w:rFonts w:ascii="Century Gothic" w:hAnsi="Century Gothic"/>
          <w:sz w:val="22"/>
          <w:szCs w:val="22"/>
        </w:rPr>
      </w:pPr>
    </w:p>
    <w:p w14:paraId="0764288E" w14:textId="77777777" w:rsidR="000D091E" w:rsidRPr="000D091E" w:rsidRDefault="000D091E" w:rsidP="00BC14B6">
      <w:pPr>
        <w:rPr>
          <w:rFonts w:ascii="Century Gothic" w:hAnsi="Century Gothic"/>
          <w:sz w:val="22"/>
          <w:szCs w:val="22"/>
        </w:rPr>
      </w:pPr>
    </w:p>
    <w:p w14:paraId="199845B1" w14:textId="77777777" w:rsidR="000D091E" w:rsidRPr="000D091E" w:rsidRDefault="000D091E" w:rsidP="00BC14B6">
      <w:pPr>
        <w:rPr>
          <w:rFonts w:ascii="Century Gothic" w:hAnsi="Century Gothic"/>
          <w:sz w:val="22"/>
          <w:szCs w:val="22"/>
        </w:rPr>
      </w:pPr>
    </w:p>
    <w:p w14:paraId="4D4D98B3" w14:textId="77777777" w:rsidR="000D091E" w:rsidRPr="000D091E" w:rsidRDefault="000D091E" w:rsidP="00BC14B6">
      <w:pPr>
        <w:rPr>
          <w:rFonts w:ascii="Century Gothic" w:hAnsi="Century Gothic"/>
          <w:sz w:val="22"/>
          <w:szCs w:val="22"/>
        </w:rPr>
      </w:pPr>
    </w:p>
    <w:p w14:paraId="4182E775" w14:textId="77777777" w:rsidR="000D091E" w:rsidRPr="000D091E" w:rsidRDefault="000D091E" w:rsidP="00BC14B6">
      <w:pPr>
        <w:rPr>
          <w:rFonts w:ascii="Century Gothic" w:hAnsi="Century Gothic"/>
          <w:sz w:val="22"/>
          <w:szCs w:val="22"/>
        </w:rPr>
      </w:pPr>
    </w:p>
    <w:p w14:paraId="668BC8EC" w14:textId="77777777" w:rsidR="000D091E" w:rsidRPr="000D091E" w:rsidRDefault="000D091E" w:rsidP="00BC14B6">
      <w:pPr>
        <w:rPr>
          <w:rFonts w:ascii="Century Gothic" w:hAnsi="Century Gothic"/>
          <w:sz w:val="22"/>
          <w:szCs w:val="22"/>
        </w:rPr>
      </w:pPr>
    </w:p>
    <w:p w14:paraId="13C86A1A" w14:textId="77777777" w:rsidR="000D091E" w:rsidRPr="000D091E" w:rsidRDefault="000D091E" w:rsidP="00BC14B6">
      <w:pPr>
        <w:rPr>
          <w:rFonts w:ascii="Century Gothic" w:hAnsi="Century Gothic"/>
          <w:sz w:val="22"/>
          <w:szCs w:val="22"/>
        </w:rPr>
      </w:pPr>
    </w:p>
    <w:p w14:paraId="7BB7FDA7" w14:textId="77777777" w:rsidR="000D091E" w:rsidRPr="000D091E" w:rsidRDefault="000D091E" w:rsidP="00BC14B6">
      <w:pPr>
        <w:rPr>
          <w:rFonts w:ascii="Century Gothic" w:hAnsi="Century Gothic"/>
          <w:sz w:val="22"/>
          <w:szCs w:val="22"/>
        </w:rPr>
      </w:pPr>
    </w:p>
    <w:p w14:paraId="5866383D" w14:textId="77777777" w:rsidR="000D091E" w:rsidRPr="000D091E" w:rsidRDefault="000D091E" w:rsidP="00BC14B6">
      <w:pPr>
        <w:rPr>
          <w:rFonts w:ascii="Century Gothic" w:hAnsi="Century Gothic"/>
          <w:sz w:val="22"/>
          <w:szCs w:val="22"/>
        </w:rPr>
      </w:pPr>
    </w:p>
    <w:p w14:paraId="5F43998E" w14:textId="77777777" w:rsidR="000D091E" w:rsidRPr="000D091E" w:rsidRDefault="000D091E" w:rsidP="00BC14B6">
      <w:pPr>
        <w:rPr>
          <w:rFonts w:ascii="Century Gothic" w:hAnsi="Century Gothic"/>
          <w:sz w:val="22"/>
          <w:szCs w:val="22"/>
        </w:rPr>
      </w:pPr>
    </w:p>
    <w:p w14:paraId="66007C45" w14:textId="77777777" w:rsidR="000D091E" w:rsidRPr="000D091E" w:rsidRDefault="000D091E" w:rsidP="00BC14B6">
      <w:pPr>
        <w:rPr>
          <w:rFonts w:ascii="Century Gothic" w:hAnsi="Century Gothic"/>
          <w:sz w:val="22"/>
          <w:szCs w:val="22"/>
        </w:rPr>
      </w:pPr>
    </w:p>
    <w:p w14:paraId="5F0A4401" w14:textId="77777777" w:rsidR="000D091E" w:rsidRPr="000D091E" w:rsidRDefault="000D091E" w:rsidP="00BC14B6">
      <w:pPr>
        <w:rPr>
          <w:rFonts w:ascii="Century Gothic" w:hAnsi="Century Gothic"/>
          <w:sz w:val="22"/>
          <w:szCs w:val="22"/>
        </w:rPr>
      </w:pPr>
    </w:p>
    <w:p w14:paraId="4F21BD42" w14:textId="77777777" w:rsidR="000D091E" w:rsidRPr="000D091E" w:rsidRDefault="000D091E" w:rsidP="00BC14B6">
      <w:pPr>
        <w:rPr>
          <w:rFonts w:ascii="Century Gothic" w:hAnsi="Century Gothic"/>
          <w:sz w:val="22"/>
          <w:szCs w:val="22"/>
        </w:rPr>
      </w:pPr>
    </w:p>
    <w:p w14:paraId="7431529A" w14:textId="77777777" w:rsidR="000D091E" w:rsidRPr="000D091E" w:rsidRDefault="000D091E" w:rsidP="00BC14B6">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8A065A" w:rsidRPr="000D091E" w14:paraId="6A19E0A6" w14:textId="77777777" w:rsidTr="00210131">
        <w:trPr>
          <w:trHeight w:val="285"/>
        </w:trPr>
        <w:tc>
          <w:tcPr>
            <w:tcW w:w="10191" w:type="dxa"/>
            <w:shd w:val="clear" w:color="auto" w:fill="B3E5A1" w:themeFill="accent6" w:themeFillTint="66"/>
            <w:vAlign w:val="center"/>
          </w:tcPr>
          <w:p w14:paraId="70B85175" w14:textId="77777777" w:rsidR="00BC14B6" w:rsidRPr="000D091E" w:rsidRDefault="00BC14B6" w:rsidP="00210131">
            <w:pPr>
              <w:jc w:val="center"/>
              <w:rPr>
                <w:rFonts w:ascii="Century Gothic" w:hAnsi="Century Gothic"/>
                <w:sz w:val="22"/>
                <w:szCs w:val="22"/>
              </w:rPr>
            </w:pPr>
            <w:r w:rsidRPr="000D091E">
              <w:rPr>
                <w:rFonts w:ascii="Century Gothic" w:hAnsi="Century Gothic"/>
                <w:sz w:val="22"/>
                <w:szCs w:val="22"/>
              </w:rPr>
              <w:lastRenderedPageBreak/>
              <w:t>Liquidación de las pretensiones objetivadas</w:t>
            </w:r>
          </w:p>
        </w:tc>
      </w:tr>
      <w:tr w:rsidR="008A065A" w:rsidRPr="000D091E" w14:paraId="4F877D74" w14:textId="77777777" w:rsidTr="00210131">
        <w:trPr>
          <w:trHeight w:val="6406"/>
        </w:trPr>
        <w:tc>
          <w:tcPr>
            <w:tcW w:w="10191" w:type="dxa"/>
            <w:vAlign w:val="center"/>
          </w:tcPr>
          <w:p w14:paraId="1E639D74" w14:textId="2A4292F7" w:rsidR="00BC14B6" w:rsidRPr="000D091E" w:rsidRDefault="00BC14B6" w:rsidP="00210131">
            <w:pPr>
              <w:jc w:val="both"/>
              <w:rPr>
                <w:rFonts w:ascii="Century Gothic" w:hAnsi="Century Gothic"/>
                <w:sz w:val="22"/>
                <w:szCs w:val="22"/>
              </w:rPr>
            </w:pPr>
            <w:r w:rsidRPr="000D091E">
              <w:rPr>
                <w:rFonts w:ascii="Century Gothic" w:hAnsi="Century Gothic"/>
                <w:sz w:val="22"/>
                <w:szCs w:val="22"/>
              </w:rPr>
              <w:t>Como liquidación objetiva de perjuicios se tasa en la suma de $</w:t>
            </w:r>
            <w:r w:rsidR="003E43F1" w:rsidRPr="000D091E">
              <w:rPr>
                <w:rFonts w:ascii="Century Gothic" w:hAnsi="Century Gothic" w:cstheme="minorHAnsi"/>
                <w:sz w:val="22"/>
                <w:szCs w:val="22"/>
              </w:rPr>
              <w:t>960.330.000</w:t>
            </w:r>
            <w:r w:rsidR="006D01EE" w:rsidRPr="000D091E">
              <w:rPr>
                <w:rFonts w:ascii="Century Gothic" w:hAnsi="Century Gothic"/>
                <w:sz w:val="22"/>
                <w:szCs w:val="22"/>
              </w:rPr>
              <w:t xml:space="preserve"> </w:t>
            </w:r>
            <w:r w:rsidRPr="000D091E">
              <w:rPr>
                <w:rFonts w:ascii="Century Gothic" w:hAnsi="Century Gothic"/>
                <w:sz w:val="22"/>
                <w:szCs w:val="22"/>
              </w:rPr>
              <w:t>a la fecha de esta liquidación. Lo anterior, con base en los siguientes fundamentos:</w:t>
            </w:r>
          </w:p>
          <w:p w14:paraId="6E9C3B16" w14:textId="77777777" w:rsidR="00BC14B6" w:rsidRPr="000D091E" w:rsidRDefault="00BC14B6" w:rsidP="00210131">
            <w:pPr>
              <w:pStyle w:val="Prrafodelista"/>
              <w:ind w:left="1065"/>
              <w:jc w:val="both"/>
              <w:rPr>
                <w:rFonts w:ascii="Century Gothic" w:hAnsi="Century Gothic"/>
                <w:sz w:val="22"/>
                <w:szCs w:val="22"/>
              </w:rPr>
            </w:pPr>
          </w:p>
          <w:p w14:paraId="2FC5393C" w14:textId="0B7FEEC1" w:rsidR="003321FF" w:rsidRPr="000D091E" w:rsidRDefault="007F39D6" w:rsidP="0093040C">
            <w:pPr>
              <w:pStyle w:val="Prrafodelista"/>
              <w:numPr>
                <w:ilvl w:val="0"/>
                <w:numId w:val="1"/>
              </w:numPr>
              <w:ind w:left="1416" w:hanging="1056"/>
              <w:jc w:val="both"/>
              <w:rPr>
                <w:rFonts w:ascii="Century Gothic" w:hAnsi="Century Gothic" w:cstheme="minorHAnsi"/>
                <w:sz w:val="22"/>
                <w:szCs w:val="22"/>
              </w:rPr>
            </w:pPr>
            <w:r w:rsidRPr="000D091E">
              <w:rPr>
                <w:rFonts w:ascii="Century Gothic" w:hAnsi="Century Gothic" w:cstheme="minorHAnsi"/>
                <w:sz w:val="22"/>
                <w:szCs w:val="22"/>
              </w:rPr>
              <w:t xml:space="preserve">DAÑO MORAL: </w:t>
            </w:r>
            <w:r w:rsidR="00B71E95" w:rsidRPr="000D091E">
              <w:rPr>
                <w:rFonts w:ascii="Century Gothic" w:hAnsi="Century Gothic" w:cstheme="minorHAnsi"/>
                <w:sz w:val="22"/>
                <w:szCs w:val="22"/>
              </w:rPr>
              <w:t xml:space="preserve"> se tendrá en cuenta la suma de </w:t>
            </w:r>
            <w:r w:rsidR="0093040C" w:rsidRPr="000D091E">
              <w:rPr>
                <w:rFonts w:ascii="Century Gothic" w:hAnsi="Century Gothic" w:cstheme="minorHAnsi"/>
                <w:sz w:val="22"/>
                <w:szCs w:val="22"/>
              </w:rPr>
              <w:t xml:space="preserve">$ 854.100.000, teniendo en cuenta los topes indemnizatorios establecidos en la sentencia </w:t>
            </w:r>
            <w:r w:rsidRPr="000D091E">
              <w:rPr>
                <w:rFonts w:ascii="Century Gothic" w:hAnsi="Century Gothic" w:cstheme="minorHAnsi"/>
                <w:sz w:val="22"/>
                <w:szCs w:val="22"/>
              </w:rPr>
              <w:t>SC072</w:t>
            </w:r>
            <w:r w:rsidR="00E8478D" w:rsidRPr="000D091E">
              <w:rPr>
                <w:rFonts w:ascii="Century Gothic" w:hAnsi="Century Gothic" w:cstheme="minorHAnsi"/>
                <w:sz w:val="22"/>
                <w:szCs w:val="22"/>
              </w:rPr>
              <w:t>-</w:t>
            </w:r>
            <w:r w:rsidRPr="000D091E">
              <w:rPr>
                <w:rFonts w:ascii="Century Gothic" w:hAnsi="Century Gothic" w:cstheme="minorHAnsi"/>
                <w:sz w:val="22"/>
                <w:szCs w:val="22"/>
              </w:rPr>
              <w:t>2025</w:t>
            </w:r>
            <w:r w:rsidR="00E8478D" w:rsidRPr="000D091E">
              <w:rPr>
                <w:rFonts w:ascii="Century Gothic" w:hAnsi="Century Gothic" w:cstheme="minorHAnsi"/>
                <w:sz w:val="22"/>
                <w:szCs w:val="22"/>
              </w:rPr>
              <w:t xml:space="preserve"> del 27 de marzo de </w:t>
            </w:r>
            <w:r w:rsidR="0041516C" w:rsidRPr="000D091E">
              <w:rPr>
                <w:rFonts w:ascii="Century Gothic" w:hAnsi="Century Gothic" w:cstheme="minorHAnsi"/>
                <w:sz w:val="22"/>
                <w:szCs w:val="22"/>
              </w:rPr>
              <w:t>2025, la</w:t>
            </w:r>
            <w:r w:rsidR="009875E9" w:rsidRPr="000D091E">
              <w:rPr>
                <w:rFonts w:ascii="Century Gothic" w:hAnsi="Century Gothic" w:cstheme="minorHAnsi"/>
                <w:sz w:val="22"/>
                <w:szCs w:val="22"/>
              </w:rPr>
              <w:t xml:space="preserve"> cual establece </w:t>
            </w:r>
            <w:r w:rsidR="00F35F85" w:rsidRPr="000D091E">
              <w:rPr>
                <w:rFonts w:ascii="Century Gothic" w:hAnsi="Century Gothic" w:cstheme="minorHAnsi"/>
                <w:sz w:val="22"/>
                <w:szCs w:val="22"/>
              </w:rPr>
              <w:t xml:space="preserve">el tope de 100 SMLMV para </w:t>
            </w:r>
            <w:r w:rsidR="003321FF" w:rsidRPr="000D091E">
              <w:rPr>
                <w:rFonts w:ascii="Century Gothic" w:hAnsi="Century Gothic" w:cstheme="minorHAnsi"/>
                <w:sz w:val="22"/>
                <w:szCs w:val="22"/>
              </w:rPr>
              <w:t>la persona afecta por lesiones personales graves y sus familiares en primer grado</w:t>
            </w:r>
          </w:p>
          <w:p w14:paraId="6B1B235C" w14:textId="77777777" w:rsidR="00190E74" w:rsidRPr="000D091E" w:rsidRDefault="00190E74" w:rsidP="00190E74">
            <w:pPr>
              <w:pStyle w:val="Prrafodelista"/>
              <w:ind w:left="1416"/>
              <w:jc w:val="both"/>
              <w:rPr>
                <w:rFonts w:ascii="Century Gothic" w:hAnsi="Century Gothic" w:cstheme="minorHAnsi"/>
                <w:sz w:val="22"/>
                <w:szCs w:val="22"/>
              </w:rPr>
            </w:pPr>
          </w:p>
          <w:p w14:paraId="5291256F" w14:textId="13AF0538" w:rsidR="00DD0CE8" w:rsidRPr="000D091E" w:rsidRDefault="002B2F92" w:rsidP="003321FF">
            <w:pPr>
              <w:pStyle w:val="Prrafodelista"/>
              <w:numPr>
                <w:ilvl w:val="0"/>
                <w:numId w:val="4"/>
              </w:numPr>
              <w:jc w:val="both"/>
              <w:rPr>
                <w:rFonts w:ascii="Century Gothic" w:hAnsi="Century Gothic" w:cstheme="minorHAnsi"/>
                <w:sz w:val="22"/>
                <w:szCs w:val="22"/>
              </w:rPr>
            </w:pPr>
            <w:r w:rsidRPr="000D091E">
              <w:rPr>
                <w:rFonts w:ascii="Century Gothic" w:hAnsi="Century Gothic" w:cstheme="minorHAnsi"/>
                <w:sz w:val="22"/>
                <w:szCs w:val="22"/>
              </w:rPr>
              <w:t>YEIKA PATRICIA SUAREZ AGAMEZ (victima directa afectada)</w:t>
            </w:r>
            <w:r w:rsidR="003321FF" w:rsidRPr="000D091E">
              <w:rPr>
                <w:rFonts w:ascii="Century Gothic" w:hAnsi="Century Gothic" w:cstheme="minorHAnsi"/>
                <w:sz w:val="22"/>
                <w:szCs w:val="22"/>
              </w:rPr>
              <w:t xml:space="preserve">100 </w:t>
            </w:r>
            <w:r w:rsidRPr="000D091E">
              <w:rPr>
                <w:rFonts w:ascii="Century Gothic" w:hAnsi="Century Gothic" w:cstheme="minorHAnsi"/>
                <w:sz w:val="22"/>
                <w:szCs w:val="22"/>
              </w:rPr>
              <w:t>SMLMV</w:t>
            </w:r>
            <w:r w:rsidR="0031520D" w:rsidRPr="000D091E">
              <w:rPr>
                <w:rFonts w:ascii="Century Gothic" w:hAnsi="Century Gothic" w:cstheme="minorHAnsi"/>
                <w:sz w:val="22"/>
                <w:szCs w:val="22"/>
              </w:rPr>
              <w:t>: 1</w:t>
            </w:r>
            <w:r w:rsidR="00BB6A12" w:rsidRPr="000D091E">
              <w:rPr>
                <w:rFonts w:ascii="Century Gothic" w:hAnsi="Century Gothic" w:cstheme="minorHAnsi"/>
                <w:sz w:val="22"/>
                <w:szCs w:val="22"/>
              </w:rPr>
              <w:t>42.350.000</w:t>
            </w:r>
          </w:p>
          <w:p w14:paraId="29CC7C62" w14:textId="72BD0D0F" w:rsidR="002B2F92" w:rsidRPr="000D091E" w:rsidRDefault="002B2F92" w:rsidP="00DD0CE8">
            <w:pPr>
              <w:pStyle w:val="Prrafodelista"/>
              <w:numPr>
                <w:ilvl w:val="0"/>
                <w:numId w:val="4"/>
              </w:numPr>
              <w:jc w:val="both"/>
              <w:rPr>
                <w:rFonts w:ascii="Century Gothic" w:hAnsi="Century Gothic" w:cstheme="minorHAnsi"/>
                <w:sz w:val="22"/>
                <w:szCs w:val="22"/>
              </w:rPr>
            </w:pPr>
            <w:r w:rsidRPr="000D091E">
              <w:rPr>
                <w:rFonts w:ascii="Century Gothic" w:hAnsi="Century Gothic" w:cstheme="minorHAnsi"/>
                <w:sz w:val="22"/>
                <w:szCs w:val="22"/>
              </w:rPr>
              <w:t xml:space="preserve">MARIA MONICA BALLEJO SUAREZ (en calidad de hija biológica de la afectada) </w:t>
            </w:r>
            <w:r w:rsidR="00184E53" w:rsidRPr="000D091E">
              <w:rPr>
                <w:rFonts w:ascii="Century Gothic" w:hAnsi="Century Gothic" w:cstheme="minorHAnsi"/>
                <w:sz w:val="22"/>
                <w:szCs w:val="22"/>
              </w:rPr>
              <w:t xml:space="preserve">100 </w:t>
            </w:r>
            <w:r w:rsidRPr="000D091E">
              <w:rPr>
                <w:rFonts w:ascii="Century Gothic" w:hAnsi="Century Gothic" w:cstheme="minorHAnsi"/>
                <w:sz w:val="22"/>
                <w:szCs w:val="22"/>
              </w:rPr>
              <w:t>SMLMV</w:t>
            </w:r>
            <w:r w:rsidR="00BB6A12" w:rsidRPr="000D091E">
              <w:rPr>
                <w:rFonts w:ascii="Century Gothic" w:hAnsi="Century Gothic" w:cstheme="minorHAnsi"/>
                <w:sz w:val="22"/>
                <w:szCs w:val="22"/>
              </w:rPr>
              <w:t>: 142.350.000</w:t>
            </w:r>
          </w:p>
          <w:p w14:paraId="2244A261" w14:textId="20B40888" w:rsidR="00B27A57" w:rsidRPr="000D091E" w:rsidRDefault="00B27A57" w:rsidP="00BB6A12">
            <w:pPr>
              <w:pStyle w:val="Prrafodelista"/>
              <w:numPr>
                <w:ilvl w:val="0"/>
                <w:numId w:val="4"/>
              </w:numPr>
              <w:jc w:val="both"/>
              <w:rPr>
                <w:rFonts w:ascii="Century Gothic" w:hAnsi="Century Gothic" w:cstheme="minorHAnsi"/>
                <w:sz w:val="22"/>
                <w:szCs w:val="22"/>
              </w:rPr>
            </w:pPr>
            <w:r w:rsidRPr="000D091E">
              <w:rPr>
                <w:rFonts w:ascii="Century Gothic" w:hAnsi="Century Gothic" w:cstheme="minorHAnsi"/>
                <w:sz w:val="22"/>
                <w:szCs w:val="22"/>
              </w:rPr>
              <w:t>MARIA PATRICIA BALLEJO SUAREZ (en calidad de hija biológica de la</w:t>
            </w:r>
            <w:r w:rsidR="00BB6A12" w:rsidRPr="000D091E">
              <w:rPr>
                <w:rFonts w:ascii="Century Gothic" w:hAnsi="Century Gothic" w:cstheme="minorHAnsi"/>
                <w:sz w:val="22"/>
                <w:szCs w:val="22"/>
              </w:rPr>
              <w:t xml:space="preserve"> </w:t>
            </w:r>
            <w:r w:rsidRPr="000D091E">
              <w:rPr>
                <w:rFonts w:ascii="Century Gothic" w:hAnsi="Century Gothic" w:cstheme="minorHAnsi"/>
                <w:sz w:val="22"/>
                <w:szCs w:val="22"/>
              </w:rPr>
              <w:t xml:space="preserve">Afectada </w:t>
            </w:r>
            <w:r w:rsidR="00184E53" w:rsidRPr="000D091E">
              <w:rPr>
                <w:rFonts w:ascii="Century Gothic" w:hAnsi="Century Gothic" w:cstheme="minorHAnsi"/>
                <w:sz w:val="22"/>
                <w:szCs w:val="22"/>
              </w:rPr>
              <w:t>100</w:t>
            </w:r>
            <w:r w:rsidRPr="000D091E">
              <w:rPr>
                <w:rFonts w:ascii="Century Gothic" w:hAnsi="Century Gothic" w:cstheme="minorHAnsi"/>
                <w:sz w:val="22"/>
                <w:szCs w:val="22"/>
              </w:rPr>
              <w:t xml:space="preserve"> SMLMV</w:t>
            </w:r>
            <w:r w:rsidR="00BB6A12" w:rsidRPr="000D091E">
              <w:rPr>
                <w:rFonts w:ascii="Century Gothic" w:hAnsi="Century Gothic" w:cstheme="minorHAnsi"/>
                <w:sz w:val="22"/>
                <w:szCs w:val="22"/>
              </w:rPr>
              <w:t>: 142.350.000</w:t>
            </w:r>
          </w:p>
          <w:p w14:paraId="02211351" w14:textId="4BEBA6C3" w:rsidR="00B27A57" w:rsidRPr="000D091E" w:rsidRDefault="00B27A57" w:rsidP="00B27A57">
            <w:pPr>
              <w:pStyle w:val="Prrafodelista"/>
              <w:numPr>
                <w:ilvl w:val="0"/>
                <w:numId w:val="4"/>
              </w:numPr>
              <w:jc w:val="both"/>
              <w:rPr>
                <w:rFonts w:ascii="Century Gothic" w:hAnsi="Century Gothic" w:cstheme="minorHAnsi"/>
                <w:sz w:val="22"/>
                <w:szCs w:val="22"/>
              </w:rPr>
            </w:pPr>
            <w:r w:rsidRPr="000D091E">
              <w:rPr>
                <w:rFonts w:ascii="Century Gothic" w:hAnsi="Century Gothic" w:cstheme="minorHAnsi"/>
                <w:sz w:val="22"/>
                <w:szCs w:val="22"/>
              </w:rPr>
              <w:t xml:space="preserve">VICTOR ANDRES BALLEJO ORTEGA (esposo de la afectada) </w:t>
            </w:r>
            <w:r w:rsidR="00190E74" w:rsidRPr="000D091E">
              <w:rPr>
                <w:rFonts w:ascii="Century Gothic" w:hAnsi="Century Gothic" w:cstheme="minorHAnsi"/>
                <w:sz w:val="22"/>
                <w:szCs w:val="22"/>
              </w:rPr>
              <w:t>100</w:t>
            </w:r>
            <w:r w:rsidRPr="000D091E">
              <w:rPr>
                <w:rFonts w:ascii="Century Gothic" w:hAnsi="Century Gothic" w:cstheme="minorHAnsi"/>
                <w:sz w:val="22"/>
                <w:szCs w:val="22"/>
              </w:rPr>
              <w:t xml:space="preserve"> SMLMV</w:t>
            </w:r>
            <w:r w:rsidR="00BB6A12" w:rsidRPr="000D091E">
              <w:rPr>
                <w:rFonts w:ascii="Century Gothic" w:hAnsi="Century Gothic" w:cstheme="minorHAnsi"/>
                <w:sz w:val="22"/>
                <w:szCs w:val="22"/>
              </w:rPr>
              <w:t>: 142.350.000</w:t>
            </w:r>
          </w:p>
          <w:p w14:paraId="733FCE09" w14:textId="77777777" w:rsidR="006B6106" w:rsidRPr="000D091E" w:rsidRDefault="006B6106" w:rsidP="006B6106">
            <w:pPr>
              <w:pStyle w:val="Prrafodelista"/>
              <w:numPr>
                <w:ilvl w:val="0"/>
                <w:numId w:val="4"/>
              </w:numPr>
              <w:jc w:val="both"/>
              <w:rPr>
                <w:rFonts w:ascii="Century Gothic" w:hAnsi="Century Gothic" w:cstheme="minorHAnsi"/>
                <w:sz w:val="22"/>
                <w:szCs w:val="22"/>
              </w:rPr>
            </w:pPr>
            <w:r w:rsidRPr="000D091E">
              <w:rPr>
                <w:rFonts w:ascii="Century Gothic" w:hAnsi="Century Gothic" w:cstheme="minorHAnsi"/>
                <w:sz w:val="22"/>
                <w:szCs w:val="22"/>
              </w:rPr>
              <w:t>ENILDA ROSA AGAMEZ SIERRA (en calidad de madre biológica de la</w:t>
            </w:r>
          </w:p>
          <w:p w14:paraId="3FB12B5F" w14:textId="4F4A82F1" w:rsidR="002B2F92" w:rsidRPr="000D091E" w:rsidRDefault="006B6106" w:rsidP="006B6106">
            <w:pPr>
              <w:pStyle w:val="Prrafodelista"/>
              <w:ind w:left="1850"/>
              <w:jc w:val="both"/>
              <w:rPr>
                <w:rFonts w:ascii="Century Gothic" w:hAnsi="Century Gothic" w:cstheme="minorHAnsi"/>
                <w:sz w:val="22"/>
                <w:szCs w:val="22"/>
              </w:rPr>
            </w:pPr>
            <w:r w:rsidRPr="000D091E">
              <w:rPr>
                <w:rFonts w:ascii="Century Gothic" w:hAnsi="Century Gothic" w:cstheme="minorHAnsi"/>
                <w:sz w:val="22"/>
                <w:szCs w:val="22"/>
              </w:rPr>
              <w:t>Afectada)</w:t>
            </w:r>
            <w:r w:rsidR="00184E53" w:rsidRPr="000D091E">
              <w:rPr>
                <w:rFonts w:ascii="Century Gothic" w:hAnsi="Century Gothic" w:cstheme="minorHAnsi"/>
                <w:sz w:val="22"/>
                <w:szCs w:val="22"/>
              </w:rPr>
              <w:t xml:space="preserve"> 100</w:t>
            </w:r>
            <w:r w:rsidRPr="000D091E">
              <w:rPr>
                <w:rFonts w:ascii="Century Gothic" w:hAnsi="Century Gothic" w:cstheme="minorHAnsi"/>
                <w:sz w:val="22"/>
                <w:szCs w:val="22"/>
              </w:rPr>
              <w:t xml:space="preserve"> SMLMV</w:t>
            </w:r>
            <w:r w:rsidR="00BB6A12" w:rsidRPr="000D091E">
              <w:rPr>
                <w:rFonts w:ascii="Century Gothic" w:hAnsi="Century Gothic" w:cstheme="minorHAnsi"/>
                <w:sz w:val="22"/>
                <w:szCs w:val="22"/>
              </w:rPr>
              <w:t>: 142.350.000</w:t>
            </w:r>
          </w:p>
          <w:p w14:paraId="24A0BADC" w14:textId="77777777" w:rsidR="006B6106" w:rsidRPr="000D091E" w:rsidRDefault="006B6106" w:rsidP="006B6106">
            <w:pPr>
              <w:pStyle w:val="Prrafodelista"/>
              <w:numPr>
                <w:ilvl w:val="0"/>
                <w:numId w:val="4"/>
              </w:numPr>
              <w:jc w:val="both"/>
              <w:rPr>
                <w:rFonts w:ascii="Century Gothic" w:hAnsi="Century Gothic" w:cstheme="minorHAnsi"/>
                <w:sz w:val="22"/>
                <w:szCs w:val="22"/>
              </w:rPr>
            </w:pPr>
            <w:r w:rsidRPr="000D091E">
              <w:rPr>
                <w:rFonts w:ascii="Century Gothic" w:hAnsi="Century Gothic" w:cstheme="minorHAnsi"/>
                <w:sz w:val="22"/>
                <w:szCs w:val="22"/>
              </w:rPr>
              <w:t xml:space="preserve">CARLOS ALBERTO DE JESUS SUAREZ RODRIGUEZ (Padre biológico de l </w:t>
            </w:r>
          </w:p>
          <w:p w14:paraId="60FDD689" w14:textId="22B09E3C" w:rsidR="006B6106" w:rsidRPr="000D091E" w:rsidRDefault="006B6106" w:rsidP="006B6106">
            <w:pPr>
              <w:pStyle w:val="Prrafodelista"/>
              <w:ind w:left="1850"/>
              <w:jc w:val="both"/>
              <w:rPr>
                <w:rFonts w:ascii="Century Gothic" w:hAnsi="Century Gothic" w:cstheme="minorHAnsi"/>
                <w:sz w:val="22"/>
                <w:szCs w:val="22"/>
              </w:rPr>
            </w:pPr>
            <w:r w:rsidRPr="000D091E">
              <w:rPr>
                <w:rFonts w:ascii="Century Gothic" w:hAnsi="Century Gothic" w:cstheme="minorHAnsi"/>
                <w:sz w:val="22"/>
                <w:szCs w:val="22"/>
              </w:rPr>
              <w:t xml:space="preserve">afectada) </w:t>
            </w:r>
            <w:r w:rsidR="00184E53" w:rsidRPr="000D091E">
              <w:rPr>
                <w:rFonts w:ascii="Century Gothic" w:hAnsi="Century Gothic" w:cstheme="minorHAnsi"/>
                <w:sz w:val="22"/>
                <w:szCs w:val="22"/>
              </w:rPr>
              <w:t>100</w:t>
            </w:r>
            <w:r w:rsidRPr="000D091E">
              <w:rPr>
                <w:rFonts w:ascii="Century Gothic" w:hAnsi="Century Gothic" w:cstheme="minorHAnsi"/>
                <w:sz w:val="22"/>
                <w:szCs w:val="22"/>
              </w:rPr>
              <w:t xml:space="preserve"> SMLMV</w:t>
            </w:r>
            <w:r w:rsidR="00BB6A12" w:rsidRPr="000D091E">
              <w:rPr>
                <w:rFonts w:ascii="Century Gothic" w:hAnsi="Century Gothic" w:cstheme="minorHAnsi"/>
                <w:sz w:val="22"/>
                <w:szCs w:val="22"/>
              </w:rPr>
              <w:t>: 142.350.000</w:t>
            </w:r>
          </w:p>
          <w:p w14:paraId="221E7144" w14:textId="77777777" w:rsidR="00DD0CE8" w:rsidRPr="000D091E" w:rsidRDefault="00DD0CE8" w:rsidP="00DD0CE8">
            <w:pPr>
              <w:ind w:left="360"/>
              <w:jc w:val="both"/>
              <w:rPr>
                <w:rFonts w:ascii="Century Gothic" w:hAnsi="Century Gothic" w:cstheme="minorHAnsi"/>
                <w:sz w:val="22"/>
                <w:szCs w:val="22"/>
              </w:rPr>
            </w:pPr>
          </w:p>
          <w:p w14:paraId="446EB006" w14:textId="094ED90B" w:rsidR="00BC14B6" w:rsidRPr="000D091E" w:rsidRDefault="00FD5C48" w:rsidP="00E26226">
            <w:pPr>
              <w:pStyle w:val="Prrafodelista"/>
              <w:numPr>
                <w:ilvl w:val="0"/>
                <w:numId w:val="1"/>
              </w:numPr>
              <w:jc w:val="both"/>
              <w:rPr>
                <w:rFonts w:ascii="Century Gothic" w:hAnsi="Century Gothic" w:cstheme="minorHAnsi"/>
                <w:sz w:val="22"/>
                <w:szCs w:val="22"/>
              </w:rPr>
            </w:pPr>
            <w:r w:rsidRPr="000D091E">
              <w:rPr>
                <w:rFonts w:ascii="Century Gothic" w:hAnsi="Century Gothic" w:cstheme="minorHAnsi"/>
                <w:sz w:val="22"/>
                <w:szCs w:val="22"/>
              </w:rPr>
              <w:t xml:space="preserve">DAÑO A LA VIDA EN REALCIÓN: </w:t>
            </w:r>
            <w:r w:rsidR="009E3F41" w:rsidRPr="000D091E">
              <w:rPr>
                <w:rFonts w:ascii="Century Gothic" w:hAnsi="Century Gothic" w:cstheme="minorHAnsi"/>
                <w:sz w:val="22"/>
                <w:szCs w:val="22"/>
              </w:rPr>
              <w:t>Se tendrá en cuenta la suma de</w:t>
            </w:r>
            <w:r w:rsidR="00E26226" w:rsidRPr="000D091E">
              <w:rPr>
                <w:rFonts w:ascii="Century Gothic" w:hAnsi="Century Gothic" w:cstheme="minorHAnsi"/>
                <w:sz w:val="22"/>
                <w:szCs w:val="22"/>
              </w:rPr>
              <w:t xml:space="preserve"> $ 256.230.000</w:t>
            </w:r>
            <w:r w:rsidRPr="000D091E">
              <w:rPr>
                <w:rFonts w:ascii="Century Gothic" w:hAnsi="Century Gothic" w:cstheme="minorHAnsi"/>
                <w:sz w:val="22"/>
                <w:szCs w:val="22"/>
              </w:rPr>
              <w:t xml:space="preserve">Con base en la sentencia SC072-2025 del 27 de marzo de 2025, la cual establece un porcentaje indicativo </w:t>
            </w:r>
            <w:r w:rsidR="00AD2C53" w:rsidRPr="000D091E">
              <w:rPr>
                <w:rFonts w:ascii="Century Gothic" w:hAnsi="Century Gothic" w:cstheme="minorHAnsi"/>
                <w:sz w:val="22"/>
                <w:szCs w:val="22"/>
              </w:rPr>
              <w:t>del 15</w:t>
            </w:r>
            <w:r w:rsidRPr="000D091E">
              <w:rPr>
                <w:rFonts w:ascii="Century Gothic" w:hAnsi="Century Gothic" w:cstheme="minorHAnsi"/>
                <w:sz w:val="22"/>
                <w:szCs w:val="22"/>
              </w:rPr>
              <w:t xml:space="preserve">% de </w:t>
            </w:r>
            <w:r w:rsidR="00AD2C53" w:rsidRPr="000D091E">
              <w:rPr>
                <w:rFonts w:ascii="Century Gothic" w:hAnsi="Century Gothic" w:cstheme="minorHAnsi"/>
                <w:sz w:val="22"/>
                <w:szCs w:val="22"/>
              </w:rPr>
              <w:t>2</w:t>
            </w:r>
            <w:r w:rsidRPr="000D091E">
              <w:rPr>
                <w:rFonts w:ascii="Century Gothic" w:hAnsi="Century Gothic" w:cstheme="minorHAnsi"/>
                <w:sz w:val="22"/>
                <w:szCs w:val="22"/>
              </w:rPr>
              <w:t>00 SMLMV</w:t>
            </w:r>
            <w:r w:rsidR="00AD2C53" w:rsidRPr="000D091E">
              <w:rPr>
                <w:rFonts w:ascii="Century Gothic" w:hAnsi="Century Gothic" w:cstheme="minorHAnsi"/>
                <w:sz w:val="22"/>
                <w:szCs w:val="22"/>
              </w:rPr>
              <w:t xml:space="preserve">, </w:t>
            </w:r>
            <w:r w:rsidR="009E3B4C" w:rsidRPr="000D091E">
              <w:rPr>
                <w:rFonts w:ascii="Century Gothic" w:hAnsi="Century Gothic" w:cstheme="minorHAnsi"/>
                <w:sz w:val="22"/>
                <w:szCs w:val="22"/>
              </w:rPr>
              <w:t xml:space="preserve">cuando se trata de otras afectaciones </w:t>
            </w:r>
            <w:r w:rsidR="00AD2C53" w:rsidRPr="000D091E">
              <w:rPr>
                <w:rFonts w:ascii="Century Gothic" w:hAnsi="Century Gothic" w:cstheme="minorHAnsi"/>
                <w:sz w:val="22"/>
                <w:szCs w:val="22"/>
              </w:rPr>
              <w:t>en el</w:t>
            </w:r>
            <w:r w:rsidR="009E3B4C" w:rsidRPr="000D091E">
              <w:rPr>
                <w:rFonts w:ascii="Century Gothic" w:hAnsi="Century Gothic" w:cstheme="minorHAnsi"/>
                <w:sz w:val="22"/>
                <w:szCs w:val="22"/>
              </w:rPr>
              <w:t xml:space="preserve"> cuerpo.</w:t>
            </w:r>
          </w:p>
          <w:p w14:paraId="771881E4" w14:textId="77777777" w:rsidR="00517F2A" w:rsidRPr="000D091E" w:rsidRDefault="00517F2A" w:rsidP="00517F2A">
            <w:pPr>
              <w:pStyle w:val="Prrafodelista"/>
              <w:ind w:left="1065"/>
              <w:jc w:val="both"/>
              <w:rPr>
                <w:rFonts w:ascii="Century Gothic" w:hAnsi="Century Gothic" w:cstheme="minorHAnsi"/>
                <w:sz w:val="22"/>
                <w:szCs w:val="22"/>
              </w:rPr>
            </w:pPr>
          </w:p>
          <w:p w14:paraId="2B17762F" w14:textId="777474F9" w:rsidR="00517F2A" w:rsidRPr="000D091E" w:rsidRDefault="00517F2A" w:rsidP="002126B9">
            <w:pPr>
              <w:pStyle w:val="Prrafodelista"/>
              <w:numPr>
                <w:ilvl w:val="0"/>
                <w:numId w:val="4"/>
              </w:numPr>
              <w:jc w:val="both"/>
              <w:rPr>
                <w:rFonts w:ascii="Century Gothic" w:hAnsi="Century Gothic" w:cstheme="minorHAnsi"/>
                <w:sz w:val="22"/>
                <w:szCs w:val="22"/>
              </w:rPr>
            </w:pPr>
            <w:r w:rsidRPr="000D091E">
              <w:rPr>
                <w:rFonts w:ascii="Century Gothic" w:hAnsi="Century Gothic" w:cstheme="minorHAnsi"/>
                <w:sz w:val="22"/>
                <w:szCs w:val="22"/>
              </w:rPr>
              <w:t xml:space="preserve">YEIKA PATRICIA SUAREZ AGAMEZ (victima directa afectada) 30 SMLMV: </w:t>
            </w:r>
            <w:r w:rsidR="002126B9" w:rsidRPr="000D091E">
              <w:rPr>
                <w:rFonts w:ascii="Century Gothic" w:hAnsi="Century Gothic" w:cstheme="minorHAnsi"/>
                <w:sz w:val="22"/>
                <w:szCs w:val="22"/>
              </w:rPr>
              <w:t>$ 42.705.000</w:t>
            </w:r>
          </w:p>
          <w:p w14:paraId="3E1DB966" w14:textId="1E31F6FD" w:rsidR="00517F2A" w:rsidRPr="000D091E" w:rsidRDefault="00517F2A" w:rsidP="002126B9">
            <w:pPr>
              <w:pStyle w:val="Prrafodelista"/>
              <w:numPr>
                <w:ilvl w:val="0"/>
                <w:numId w:val="4"/>
              </w:numPr>
              <w:jc w:val="both"/>
              <w:rPr>
                <w:rFonts w:ascii="Century Gothic" w:hAnsi="Century Gothic" w:cstheme="minorHAnsi"/>
                <w:sz w:val="22"/>
                <w:szCs w:val="22"/>
              </w:rPr>
            </w:pPr>
            <w:r w:rsidRPr="000D091E">
              <w:rPr>
                <w:rFonts w:ascii="Century Gothic" w:hAnsi="Century Gothic" w:cstheme="minorHAnsi"/>
                <w:sz w:val="22"/>
                <w:szCs w:val="22"/>
              </w:rPr>
              <w:t xml:space="preserve">MARIA MONICA BALLEJO SUAREZ (en calidad de hija biológica de la afectada) </w:t>
            </w:r>
            <w:r w:rsidR="002126B9" w:rsidRPr="000D091E">
              <w:rPr>
                <w:rFonts w:ascii="Century Gothic" w:hAnsi="Century Gothic" w:cstheme="minorHAnsi"/>
                <w:sz w:val="22"/>
                <w:szCs w:val="22"/>
              </w:rPr>
              <w:t>30 SMLMV: $ 42.705.000</w:t>
            </w:r>
          </w:p>
          <w:p w14:paraId="155E4D1B" w14:textId="0ECE7F08" w:rsidR="00517F2A" w:rsidRPr="000D091E" w:rsidRDefault="00517F2A" w:rsidP="002126B9">
            <w:pPr>
              <w:pStyle w:val="Prrafodelista"/>
              <w:numPr>
                <w:ilvl w:val="0"/>
                <w:numId w:val="4"/>
              </w:numPr>
              <w:jc w:val="both"/>
              <w:rPr>
                <w:rFonts w:ascii="Century Gothic" w:hAnsi="Century Gothic" w:cstheme="minorHAnsi"/>
                <w:sz w:val="22"/>
                <w:szCs w:val="22"/>
              </w:rPr>
            </w:pPr>
            <w:r w:rsidRPr="000D091E">
              <w:rPr>
                <w:rFonts w:ascii="Century Gothic" w:hAnsi="Century Gothic" w:cstheme="minorHAnsi"/>
                <w:sz w:val="22"/>
                <w:szCs w:val="22"/>
              </w:rPr>
              <w:t xml:space="preserve">MARIA PATRICIA BALLEJO SUAREZ (en calidad de hija biológica de la Afectada </w:t>
            </w:r>
            <w:r w:rsidR="002126B9" w:rsidRPr="000D091E">
              <w:rPr>
                <w:rFonts w:ascii="Century Gothic" w:hAnsi="Century Gothic" w:cstheme="minorHAnsi"/>
                <w:sz w:val="22"/>
                <w:szCs w:val="22"/>
              </w:rPr>
              <w:t>30 SMLMV: $ 42.705.000</w:t>
            </w:r>
          </w:p>
          <w:p w14:paraId="371AA3B4" w14:textId="77777777" w:rsidR="002126B9" w:rsidRPr="000D091E" w:rsidRDefault="00517F2A" w:rsidP="00517F2A">
            <w:pPr>
              <w:pStyle w:val="Prrafodelista"/>
              <w:numPr>
                <w:ilvl w:val="0"/>
                <w:numId w:val="4"/>
              </w:numPr>
              <w:jc w:val="both"/>
              <w:rPr>
                <w:rFonts w:ascii="Century Gothic" w:hAnsi="Century Gothic" w:cstheme="minorHAnsi"/>
                <w:sz w:val="22"/>
                <w:szCs w:val="22"/>
              </w:rPr>
            </w:pPr>
            <w:r w:rsidRPr="000D091E">
              <w:rPr>
                <w:rFonts w:ascii="Century Gothic" w:hAnsi="Century Gothic" w:cstheme="minorHAnsi"/>
                <w:sz w:val="22"/>
                <w:szCs w:val="22"/>
              </w:rPr>
              <w:t xml:space="preserve">VICTOR ANDRES BALLEJO ORTEGA (esposo de la afectada) </w:t>
            </w:r>
            <w:r w:rsidR="002126B9" w:rsidRPr="000D091E">
              <w:rPr>
                <w:rFonts w:ascii="Century Gothic" w:hAnsi="Century Gothic" w:cstheme="minorHAnsi"/>
                <w:sz w:val="22"/>
                <w:szCs w:val="22"/>
              </w:rPr>
              <w:t xml:space="preserve">30 SMLMV: $ 42.705.000 </w:t>
            </w:r>
          </w:p>
          <w:p w14:paraId="490B106B" w14:textId="30B55214" w:rsidR="00517F2A" w:rsidRPr="000D091E" w:rsidRDefault="00517F2A" w:rsidP="00517F2A">
            <w:pPr>
              <w:pStyle w:val="Prrafodelista"/>
              <w:numPr>
                <w:ilvl w:val="0"/>
                <w:numId w:val="4"/>
              </w:numPr>
              <w:jc w:val="both"/>
              <w:rPr>
                <w:rFonts w:ascii="Century Gothic" w:hAnsi="Century Gothic" w:cstheme="minorHAnsi"/>
                <w:sz w:val="22"/>
                <w:szCs w:val="22"/>
              </w:rPr>
            </w:pPr>
            <w:r w:rsidRPr="000D091E">
              <w:rPr>
                <w:rFonts w:ascii="Century Gothic" w:hAnsi="Century Gothic" w:cstheme="minorHAnsi"/>
                <w:sz w:val="22"/>
                <w:szCs w:val="22"/>
              </w:rPr>
              <w:t>ENILDA ROSA AGAMEZ SIERRA (en calidad de madre biológica de la</w:t>
            </w:r>
          </w:p>
          <w:p w14:paraId="4881BDE0" w14:textId="30E227F9" w:rsidR="00517F2A" w:rsidRPr="000D091E" w:rsidRDefault="00517F2A" w:rsidP="00517F2A">
            <w:pPr>
              <w:pStyle w:val="Prrafodelista"/>
              <w:ind w:left="1850"/>
              <w:jc w:val="both"/>
              <w:rPr>
                <w:rFonts w:ascii="Century Gothic" w:hAnsi="Century Gothic" w:cstheme="minorHAnsi"/>
                <w:sz w:val="22"/>
                <w:szCs w:val="22"/>
              </w:rPr>
            </w:pPr>
            <w:r w:rsidRPr="000D091E">
              <w:rPr>
                <w:rFonts w:ascii="Century Gothic" w:hAnsi="Century Gothic" w:cstheme="minorHAnsi"/>
                <w:sz w:val="22"/>
                <w:szCs w:val="22"/>
              </w:rPr>
              <w:t>Afectada</w:t>
            </w:r>
            <w:r w:rsidR="002126B9" w:rsidRPr="000D091E">
              <w:rPr>
                <w:rFonts w:ascii="Century Gothic" w:hAnsi="Century Gothic" w:cstheme="minorHAnsi"/>
                <w:sz w:val="22"/>
                <w:szCs w:val="22"/>
              </w:rPr>
              <w:t>) 30 SMLMV: $ 42.705.000</w:t>
            </w:r>
          </w:p>
          <w:p w14:paraId="345E0E85" w14:textId="77777777" w:rsidR="00517F2A" w:rsidRPr="000D091E" w:rsidRDefault="00517F2A" w:rsidP="00517F2A">
            <w:pPr>
              <w:pStyle w:val="Prrafodelista"/>
              <w:numPr>
                <w:ilvl w:val="0"/>
                <w:numId w:val="4"/>
              </w:numPr>
              <w:jc w:val="both"/>
              <w:rPr>
                <w:rFonts w:ascii="Century Gothic" w:hAnsi="Century Gothic" w:cstheme="minorHAnsi"/>
                <w:sz w:val="22"/>
                <w:szCs w:val="22"/>
              </w:rPr>
            </w:pPr>
            <w:r w:rsidRPr="000D091E">
              <w:rPr>
                <w:rFonts w:ascii="Century Gothic" w:hAnsi="Century Gothic" w:cstheme="minorHAnsi"/>
                <w:sz w:val="22"/>
                <w:szCs w:val="22"/>
              </w:rPr>
              <w:t xml:space="preserve">CARLOS ALBERTO DE JESUS SUAREZ RODRIGUEZ (Padre biológico de l </w:t>
            </w:r>
          </w:p>
          <w:p w14:paraId="175FDD7C" w14:textId="5C6DFE5F" w:rsidR="00517F2A" w:rsidRPr="000D091E" w:rsidRDefault="00517F2A" w:rsidP="00517F2A">
            <w:pPr>
              <w:pStyle w:val="Prrafodelista"/>
              <w:ind w:left="1850"/>
              <w:jc w:val="both"/>
              <w:rPr>
                <w:rFonts w:ascii="Century Gothic" w:hAnsi="Century Gothic" w:cstheme="minorHAnsi"/>
                <w:sz w:val="22"/>
                <w:szCs w:val="22"/>
              </w:rPr>
            </w:pPr>
            <w:r w:rsidRPr="000D091E">
              <w:rPr>
                <w:rFonts w:ascii="Century Gothic" w:hAnsi="Century Gothic" w:cstheme="minorHAnsi"/>
                <w:sz w:val="22"/>
                <w:szCs w:val="22"/>
              </w:rPr>
              <w:t xml:space="preserve">afectada) </w:t>
            </w:r>
            <w:r w:rsidR="002126B9" w:rsidRPr="000D091E">
              <w:rPr>
                <w:rFonts w:ascii="Century Gothic" w:hAnsi="Century Gothic" w:cstheme="minorHAnsi"/>
                <w:sz w:val="22"/>
                <w:szCs w:val="22"/>
              </w:rPr>
              <w:t>30 SMLMV: $ 42.705.000</w:t>
            </w:r>
          </w:p>
          <w:p w14:paraId="5038B8D4" w14:textId="77777777" w:rsidR="00517F2A" w:rsidRPr="000D091E" w:rsidRDefault="00517F2A" w:rsidP="00517F2A">
            <w:pPr>
              <w:pStyle w:val="Prrafodelista"/>
              <w:ind w:left="1065"/>
              <w:jc w:val="both"/>
              <w:rPr>
                <w:rFonts w:ascii="Century Gothic" w:hAnsi="Century Gothic" w:cstheme="minorHAnsi"/>
                <w:sz w:val="22"/>
                <w:szCs w:val="22"/>
              </w:rPr>
            </w:pPr>
          </w:p>
          <w:p w14:paraId="5A901757" w14:textId="154ECC5D" w:rsidR="004B7F5F" w:rsidRPr="000D091E" w:rsidRDefault="00952A2B" w:rsidP="003C68B0">
            <w:pPr>
              <w:pStyle w:val="Prrafodelista"/>
              <w:numPr>
                <w:ilvl w:val="0"/>
                <w:numId w:val="1"/>
              </w:numPr>
              <w:jc w:val="both"/>
              <w:rPr>
                <w:rFonts w:ascii="Century Gothic" w:hAnsi="Century Gothic" w:cstheme="minorHAnsi"/>
                <w:sz w:val="22"/>
                <w:szCs w:val="22"/>
              </w:rPr>
            </w:pPr>
            <w:r w:rsidRPr="000D091E">
              <w:rPr>
                <w:rFonts w:ascii="Century Gothic" w:hAnsi="Century Gothic" w:cstheme="minorHAnsi"/>
                <w:sz w:val="22"/>
                <w:szCs w:val="22"/>
              </w:rPr>
              <w:t>DEDUCIBLE: Al valor de la liquidación (</w:t>
            </w:r>
            <w:r w:rsidR="003E43F1" w:rsidRPr="000D091E">
              <w:rPr>
                <w:rFonts w:ascii="Century Gothic" w:hAnsi="Century Gothic" w:cstheme="minorHAnsi"/>
                <w:sz w:val="22"/>
                <w:szCs w:val="22"/>
              </w:rPr>
              <w:t>$</w:t>
            </w:r>
            <w:r w:rsidRPr="000D091E">
              <w:rPr>
                <w:rFonts w:ascii="Century Gothic" w:hAnsi="Century Gothic" w:cstheme="minorHAnsi"/>
                <w:sz w:val="22"/>
                <w:szCs w:val="22"/>
              </w:rPr>
              <w:t xml:space="preserve">1.110.330.000) </w:t>
            </w:r>
            <w:r w:rsidR="00DC4E28" w:rsidRPr="000D091E">
              <w:rPr>
                <w:rFonts w:ascii="Century Gothic" w:hAnsi="Century Gothic" w:cstheme="minorHAnsi"/>
                <w:sz w:val="22"/>
                <w:szCs w:val="22"/>
              </w:rPr>
              <w:t>se le descuenta el valor mínimo del deducible (150.000.000)</w:t>
            </w:r>
            <w:r w:rsidR="003E43F1" w:rsidRPr="000D091E">
              <w:rPr>
                <w:rFonts w:ascii="Century Gothic" w:hAnsi="Century Gothic" w:cstheme="minorHAnsi"/>
                <w:sz w:val="22"/>
                <w:szCs w:val="22"/>
              </w:rPr>
              <w:t xml:space="preserve"> </w:t>
            </w:r>
            <w:r w:rsidR="00DC4E28" w:rsidRPr="000D091E">
              <w:rPr>
                <w:rFonts w:ascii="Century Gothic" w:hAnsi="Century Gothic" w:cstheme="minorHAnsi"/>
                <w:sz w:val="22"/>
                <w:szCs w:val="22"/>
              </w:rPr>
              <w:t xml:space="preserve">para un total de: </w:t>
            </w:r>
            <w:r w:rsidR="003E43F1" w:rsidRPr="000D091E">
              <w:rPr>
                <w:rFonts w:ascii="Century Gothic" w:hAnsi="Century Gothic" w:cstheme="minorHAnsi"/>
                <w:sz w:val="22"/>
                <w:szCs w:val="22"/>
              </w:rPr>
              <w:t>960.330.000</w:t>
            </w:r>
          </w:p>
          <w:p w14:paraId="6563AAC6" w14:textId="77777777" w:rsidR="00BC14B6" w:rsidRPr="000D091E" w:rsidRDefault="00BC14B6" w:rsidP="00210131">
            <w:pPr>
              <w:jc w:val="both"/>
              <w:rPr>
                <w:rFonts w:ascii="Century Gothic" w:hAnsi="Century Gothic" w:cs="Calibri"/>
                <w:sz w:val="22"/>
                <w:szCs w:val="22"/>
              </w:rPr>
            </w:pPr>
          </w:p>
          <w:p w14:paraId="3B9B4A8B" w14:textId="77777777" w:rsidR="00BC14B6" w:rsidRPr="000D091E" w:rsidRDefault="00BC14B6" w:rsidP="00210131">
            <w:pPr>
              <w:pStyle w:val="Prrafodelista"/>
              <w:ind w:left="1065"/>
              <w:jc w:val="both"/>
              <w:rPr>
                <w:rFonts w:ascii="Century Gothic" w:hAnsi="Century Gothic"/>
                <w:sz w:val="22"/>
                <w:szCs w:val="22"/>
              </w:rPr>
            </w:pPr>
          </w:p>
        </w:tc>
      </w:tr>
    </w:tbl>
    <w:p w14:paraId="1BE4A582" w14:textId="77777777" w:rsidR="00BC14B6" w:rsidRDefault="00BC14B6" w:rsidP="00BC14B6">
      <w:pPr>
        <w:rPr>
          <w:rFonts w:ascii="Century Gothic" w:hAnsi="Century Gothic"/>
          <w:sz w:val="22"/>
          <w:szCs w:val="22"/>
        </w:rPr>
      </w:pPr>
    </w:p>
    <w:p w14:paraId="2F4046B3" w14:textId="77777777" w:rsidR="00424A16" w:rsidRDefault="00424A16" w:rsidP="00BC14B6">
      <w:pPr>
        <w:rPr>
          <w:rFonts w:ascii="Century Gothic" w:hAnsi="Century Gothic"/>
          <w:sz w:val="22"/>
          <w:szCs w:val="22"/>
        </w:rPr>
      </w:pPr>
    </w:p>
    <w:p w14:paraId="1F4DD5FA" w14:textId="77777777" w:rsidR="00424A16" w:rsidRPr="000D091E" w:rsidRDefault="00424A16" w:rsidP="00BC14B6">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8A065A" w:rsidRPr="000D091E" w14:paraId="0C594A30" w14:textId="77777777" w:rsidTr="00210131">
        <w:trPr>
          <w:trHeight w:val="321"/>
        </w:trPr>
        <w:tc>
          <w:tcPr>
            <w:tcW w:w="10207" w:type="dxa"/>
            <w:shd w:val="clear" w:color="auto" w:fill="B3E5A1" w:themeFill="accent6" w:themeFillTint="66"/>
            <w:vAlign w:val="center"/>
          </w:tcPr>
          <w:p w14:paraId="2DAE21F4" w14:textId="77777777" w:rsidR="00BC14B6" w:rsidRPr="000D091E" w:rsidRDefault="00BC14B6" w:rsidP="00210131">
            <w:pPr>
              <w:jc w:val="center"/>
              <w:rPr>
                <w:rFonts w:ascii="Century Gothic" w:hAnsi="Century Gothic"/>
                <w:sz w:val="22"/>
                <w:szCs w:val="22"/>
              </w:rPr>
            </w:pPr>
            <w:r w:rsidRPr="000D091E">
              <w:rPr>
                <w:rFonts w:ascii="Century Gothic" w:hAnsi="Century Gothic"/>
                <w:sz w:val="22"/>
                <w:szCs w:val="22"/>
              </w:rPr>
              <w:lastRenderedPageBreak/>
              <w:t>Excepciones</w:t>
            </w:r>
          </w:p>
        </w:tc>
      </w:tr>
      <w:tr w:rsidR="008A065A" w:rsidRPr="000D091E" w14:paraId="423D7604" w14:textId="77777777" w:rsidTr="00210131">
        <w:trPr>
          <w:trHeight w:val="3906"/>
        </w:trPr>
        <w:tc>
          <w:tcPr>
            <w:tcW w:w="10207" w:type="dxa"/>
            <w:vAlign w:val="center"/>
          </w:tcPr>
          <w:p w14:paraId="37A5E033" w14:textId="483C7669" w:rsidR="00BC14B6" w:rsidRPr="000D091E" w:rsidRDefault="007A2D3E" w:rsidP="00210131">
            <w:pPr>
              <w:rPr>
                <w:rFonts w:ascii="Century Gothic" w:hAnsi="Century Gothic"/>
                <w:sz w:val="22"/>
                <w:szCs w:val="22"/>
              </w:rPr>
            </w:pPr>
            <w:r w:rsidRPr="000D091E">
              <w:rPr>
                <w:rFonts w:ascii="Century Gothic" w:hAnsi="Century Gothic"/>
                <w:sz w:val="22"/>
                <w:szCs w:val="22"/>
              </w:rPr>
              <w:t>Frente a la demanda:</w:t>
            </w:r>
          </w:p>
          <w:p w14:paraId="219D69D5" w14:textId="77777777" w:rsidR="000D091E" w:rsidRPr="000D091E" w:rsidRDefault="000D091E" w:rsidP="00210131">
            <w:pPr>
              <w:rPr>
                <w:rFonts w:ascii="Century Gothic" w:hAnsi="Century Gothic"/>
                <w:sz w:val="22"/>
                <w:szCs w:val="22"/>
              </w:rPr>
            </w:pPr>
          </w:p>
          <w:p w14:paraId="0EA9F2C4" w14:textId="20F8087B" w:rsidR="00BC14B6" w:rsidRPr="000D091E" w:rsidRDefault="00B53D33" w:rsidP="007A2D3E">
            <w:pPr>
              <w:pStyle w:val="Prrafodelista"/>
              <w:numPr>
                <w:ilvl w:val="0"/>
                <w:numId w:val="2"/>
              </w:numPr>
              <w:spacing w:after="200"/>
              <w:ind w:right="178"/>
              <w:rPr>
                <w:rFonts w:ascii="Century Gothic" w:hAnsi="Century Gothic"/>
                <w:sz w:val="22"/>
                <w:szCs w:val="22"/>
              </w:rPr>
            </w:pPr>
            <w:r w:rsidRPr="000D091E">
              <w:rPr>
                <w:rFonts w:ascii="Century Gothic" w:hAnsi="Century Gothic"/>
                <w:sz w:val="22"/>
                <w:szCs w:val="22"/>
              </w:rPr>
              <w:t>Excepciones planteadas por quien formuló el llamamiento en garantía a mi representada</w:t>
            </w:r>
          </w:p>
          <w:p w14:paraId="41B6E5DF" w14:textId="4742C31C" w:rsidR="007A2D3E" w:rsidRPr="000D091E" w:rsidRDefault="00B53D33" w:rsidP="007A2D3E">
            <w:pPr>
              <w:pStyle w:val="Prrafodelista"/>
              <w:numPr>
                <w:ilvl w:val="0"/>
                <w:numId w:val="2"/>
              </w:numPr>
              <w:spacing w:after="200"/>
              <w:ind w:right="178"/>
              <w:rPr>
                <w:rFonts w:ascii="Century Gothic" w:hAnsi="Century Gothic"/>
                <w:sz w:val="22"/>
                <w:szCs w:val="22"/>
              </w:rPr>
            </w:pPr>
            <w:r w:rsidRPr="000D091E">
              <w:rPr>
                <w:rFonts w:ascii="Century Gothic" w:hAnsi="Century Gothic"/>
                <w:sz w:val="22"/>
                <w:szCs w:val="22"/>
              </w:rPr>
              <w:t>Inexistencia de responsabilidad de la EPS sanitas como consecuencia del cumplimiento de las obligaciones legales que le corresponden como entidad promotora de salud.</w:t>
            </w:r>
          </w:p>
          <w:p w14:paraId="62421ED2" w14:textId="4DAEBB49" w:rsidR="007A2D3E" w:rsidRPr="000D091E" w:rsidRDefault="00B53D33" w:rsidP="007A2D3E">
            <w:pPr>
              <w:pStyle w:val="Prrafodelista"/>
              <w:numPr>
                <w:ilvl w:val="0"/>
                <w:numId w:val="2"/>
              </w:numPr>
              <w:spacing w:after="200"/>
              <w:ind w:right="178"/>
              <w:rPr>
                <w:rFonts w:ascii="Century Gothic" w:hAnsi="Century Gothic"/>
                <w:sz w:val="22"/>
                <w:szCs w:val="22"/>
              </w:rPr>
            </w:pPr>
            <w:r w:rsidRPr="000D091E">
              <w:rPr>
                <w:rFonts w:ascii="Century Gothic" w:hAnsi="Century Gothic"/>
                <w:sz w:val="22"/>
                <w:szCs w:val="22"/>
              </w:rPr>
              <w:t>Inexistencia de falla médica y de responsabilidad, debido a la prestación diligente, oportuna, adecuada, cuidadosa y carente de culpa realizado por el extremo pasivo.</w:t>
            </w:r>
          </w:p>
          <w:p w14:paraId="6A3B7F9D" w14:textId="43A83249" w:rsidR="007A2D3E" w:rsidRPr="000D091E" w:rsidRDefault="00B53D33" w:rsidP="007A2D3E">
            <w:pPr>
              <w:pStyle w:val="Prrafodelista"/>
              <w:numPr>
                <w:ilvl w:val="0"/>
                <w:numId w:val="2"/>
              </w:numPr>
              <w:spacing w:after="200"/>
              <w:ind w:right="178"/>
              <w:rPr>
                <w:rFonts w:ascii="Century Gothic" w:hAnsi="Century Gothic"/>
                <w:sz w:val="22"/>
                <w:szCs w:val="22"/>
              </w:rPr>
            </w:pPr>
            <w:r w:rsidRPr="000D091E">
              <w:rPr>
                <w:rFonts w:ascii="Century Gothic" w:hAnsi="Century Gothic"/>
                <w:sz w:val="22"/>
                <w:szCs w:val="22"/>
              </w:rPr>
              <w:t>Inexistente relación de causalidad entre el daño o perjuicio alegado por la parte actora y la actuación de la EPS SANITAS S.a. o la IPS demandada</w:t>
            </w:r>
          </w:p>
          <w:p w14:paraId="4AB53DCD" w14:textId="52943CD9" w:rsidR="007A2D3E" w:rsidRPr="000D091E" w:rsidRDefault="00B53D33" w:rsidP="007A2D3E">
            <w:pPr>
              <w:pStyle w:val="Prrafodelista"/>
              <w:numPr>
                <w:ilvl w:val="0"/>
                <w:numId w:val="2"/>
              </w:numPr>
              <w:spacing w:after="200"/>
              <w:ind w:right="178"/>
              <w:rPr>
                <w:rFonts w:ascii="Century Gothic" w:hAnsi="Century Gothic"/>
                <w:sz w:val="22"/>
                <w:szCs w:val="22"/>
              </w:rPr>
            </w:pPr>
            <w:r w:rsidRPr="000D091E">
              <w:rPr>
                <w:rFonts w:ascii="Century Gothic" w:hAnsi="Century Gothic"/>
                <w:sz w:val="22"/>
                <w:szCs w:val="22"/>
              </w:rPr>
              <w:t>Excepción de caso fortuito o fuerza mayor</w:t>
            </w:r>
          </w:p>
          <w:p w14:paraId="6EA69AB3" w14:textId="34824394" w:rsidR="007A2D3E" w:rsidRPr="000D091E" w:rsidRDefault="00B53D33" w:rsidP="007A2D3E">
            <w:pPr>
              <w:pStyle w:val="Prrafodelista"/>
              <w:numPr>
                <w:ilvl w:val="0"/>
                <w:numId w:val="2"/>
              </w:numPr>
              <w:spacing w:after="200"/>
              <w:ind w:right="178"/>
              <w:rPr>
                <w:rFonts w:ascii="Century Gothic" w:hAnsi="Century Gothic"/>
                <w:sz w:val="22"/>
                <w:szCs w:val="22"/>
              </w:rPr>
            </w:pPr>
            <w:r w:rsidRPr="000D091E">
              <w:rPr>
                <w:rFonts w:ascii="Century Gothic" w:hAnsi="Century Gothic"/>
                <w:sz w:val="22"/>
                <w:szCs w:val="22"/>
              </w:rPr>
              <w:t>Falta de legitimación en la causa por activa del señor VICTOR ANDRES BALLEJO ORTEGA.</w:t>
            </w:r>
          </w:p>
          <w:p w14:paraId="5C43B0E0" w14:textId="4E943DF4" w:rsidR="007A2D3E" w:rsidRPr="000D091E" w:rsidRDefault="00B53D33" w:rsidP="007A2D3E">
            <w:pPr>
              <w:pStyle w:val="Prrafodelista"/>
              <w:numPr>
                <w:ilvl w:val="0"/>
                <w:numId w:val="2"/>
              </w:numPr>
              <w:spacing w:after="200"/>
              <w:ind w:right="178"/>
              <w:rPr>
                <w:rFonts w:ascii="Century Gothic" w:hAnsi="Century Gothic"/>
                <w:sz w:val="22"/>
                <w:szCs w:val="22"/>
              </w:rPr>
            </w:pPr>
            <w:r w:rsidRPr="000D091E">
              <w:rPr>
                <w:rFonts w:ascii="Century Gothic" w:hAnsi="Century Gothic"/>
                <w:sz w:val="22"/>
                <w:szCs w:val="22"/>
              </w:rPr>
              <w:t>Improcedencia del reconocimiento y tasación exorbitante del daño moral.</w:t>
            </w:r>
          </w:p>
          <w:p w14:paraId="0950E237" w14:textId="7B2425DB" w:rsidR="007A2D3E" w:rsidRPr="000D091E" w:rsidRDefault="00B53D33" w:rsidP="007A2D3E">
            <w:pPr>
              <w:pStyle w:val="Prrafodelista"/>
              <w:numPr>
                <w:ilvl w:val="0"/>
                <w:numId w:val="2"/>
              </w:numPr>
              <w:spacing w:after="200"/>
              <w:ind w:right="178"/>
              <w:rPr>
                <w:rFonts w:ascii="Century Gothic" w:hAnsi="Century Gothic"/>
                <w:sz w:val="22"/>
                <w:szCs w:val="22"/>
              </w:rPr>
            </w:pPr>
            <w:r w:rsidRPr="000D091E">
              <w:rPr>
                <w:rFonts w:ascii="Century Gothic" w:hAnsi="Century Gothic"/>
                <w:sz w:val="22"/>
                <w:szCs w:val="22"/>
              </w:rPr>
              <w:t>. Improcedencia y tasación exorbitante del daño a la vida en relación.</w:t>
            </w:r>
          </w:p>
          <w:p w14:paraId="6F04A08A" w14:textId="427B5985" w:rsidR="007A2D3E" w:rsidRPr="000D091E" w:rsidRDefault="00B53D33" w:rsidP="007A2D3E">
            <w:pPr>
              <w:pStyle w:val="Prrafodelista"/>
              <w:numPr>
                <w:ilvl w:val="0"/>
                <w:numId w:val="2"/>
              </w:numPr>
              <w:spacing w:after="200"/>
              <w:ind w:right="178"/>
              <w:rPr>
                <w:rFonts w:ascii="Century Gothic" w:hAnsi="Century Gothic"/>
                <w:sz w:val="22"/>
                <w:szCs w:val="22"/>
              </w:rPr>
            </w:pPr>
            <w:r w:rsidRPr="000D091E">
              <w:rPr>
                <w:rFonts w:ascii="Century Gothic" w:hAnsi="Century Gothic"/>
                <w:sz w:val="22"/>
                <w:szCs w:val="22"/>
              </w:rPr>
              <w:t>Genérica o innominada</w:t>
            </w:r>
          </w:p>
          <w:p w14:paraId="0811EE89" w14:textId="3FB4EF90" w:rsidR="007A2D3E" w:rsidRPr="000D091E" w:rsidRDefault="007A2D3E" w:rsidP="007A2D3E">
            <w:pPr>
              <w:spacing w:after="200"/>
              <w:ind w:left="284" w:right="178"/>
              <w:rPr>
                <w:rFonts w:ascii="Century Gothic" w:hAnsi="Century Gothic"/>
                <w:sz w:val="22"/>
                <w:szCs w:val="22"/>
              </w:rPr>
            </w:pPr>
            <w:r w:rsidRPr="000D091E">
              <w:rPr>
                <w:rFonts w:ascii="Century Gothic" w:hAnsi="Century Gothic"/>
                <w:sz w:val="22"/>
                <w:szCs w:val="22"/>
              </w:rPr>
              <w:t>Frente al llamado en garantía:</w:t>
            </w:r>
          </w:p>
          <w:p w14:paraId="7BBC1A3C" w14:textId="77777777" w:rsidR="007A2D3E" w:rsidRPr="000D091E" w:rsidRDefault="007A2D3E" w:rsidP="007A2D3E">
            <w:pPr>
              <w:pStyle w:val="Prrafodelista"/>
              <w:numPr>
                <w:ilvl w:val="3"/>
                <w:numId w:val="2"/>
              </w:numPr>
              <w:spacing w:after="200"/>
              <w:ind w:left="603" w:right="178" w:hanging="359"/>
              <w:rPr>
                <w:rFonts w:ascii="Century Gothic" w:hAnsi="Century Gothic"/>
                <w:sz w:val="22"/>
                <w:szCs w:val="22"/>
              </w:rPr>
            </w:pPr>
            <w:r w:rsidRPr="000D091E">
              <w:rPr>
                <w:rFonts w:ascii="Century Gothic" w:hAnsi="Century Gothic"/>
                <w:sz w:val="22"/>
                <w:szCs w:val="22"/>
              </w:rPr>
              <w:t>PRESCRIPCIÓN DE LA ACCIÓN DERIVADA DEL CONTRATO DE SEGURO</w:t>
            </w:r>
          </w:p>
          <w:p w14:paraId="7C4F94B0" w14:textId="31B74307" w:rsidR="007A2D3E" w:rsidRPr="000D091E" w:rsidRDefault="00B53D33" w:rsidP="007A2D3E">
            <w:pPr>
              <w:pStyle w:val="Prrafodelista"/>
              <w:numPr>
                <w:ilvl w:val="3"/>
                <w:numId w:val="2"/>
              </w:numPr>
              <w:spacing w:after="200"/>
              <w:ind w:left="603" w:right="178" w:hanging="359"/>
              <w:rPr>
                <w:rFonts w:ascii="Century Gothic" w:hAnsi="Century Gothic"/>
                <w:sz w:val="22"/>
                <w:szCs w:val="22"/>
              </w:rPr>
            </w:pPr>
            <w:r w:rsidRPr="000D091E">
              <w:rPr>
                <w:rFonts w:ascii="Century Gothic" w:hAnsi="Century Gothic"/>
                <w:sz w:val="22"/>
                <w:szCs w:val="22"/>
              </w:rPr>
              <w:t>Falta de cobertura material al estar ante riesgos expresamente excluidos de amparo – numeral 9 del literal c “exclusiones aplicables a todas las coberturas</w:t>
            </w:r>
          </w:p>
          <w:p w14:paraId="00428945" w14:textId="4ED52ABC" w:rsidR="007A2D3E" w:rsidRPr="000D091E" w:rsidRDefault="00B53D33" w:rsidP="007A2D3E">
            <w:pPr>
              <w:pStyle w:val="Prrafodelista"/>
              <w:numPr>
                <w:ilvl w:val="3"/>
                <w:numId w:val="2"/>
              </w:numPr>
              <w:spacing w:after="200"/>
              <w:ind w:left="603" w:right="178" w:hanging="359"/>
              <w:rPr>
                <w:rFonts w:ascii="Century Gothic" w:hAnsi="Century Gothic"/>
                <w:sz w:val="22"/>
                <w:szCs w:val="22"/>
              </w:rPr>
            </w:pPr>
            <w:r w:rsidRPr="000D091E">
              <w:rPr>
                <w:rFonts w:ascii="Century Gothic" w:hAnsi="Century Gothic"/>
                <w:sz w:val="22"/>
                <w:szCs w:val="22"/>
              </w:rPr>
              <w:t>No existe obligación indemnizatoria a cargo de la EQUIDAD SEGUROS O.C., toda vez que no se ha realizado el riesgo asegurado</w:t>
            </w:r>
          </w:p>
          <w:p w14:paraId="4A9673C7" w14:textId="17E2D21E" w:rsidR="007A2D3E" w:rsidRPr="000D091E" w:rsidRDefault="00B53D33" w:rsidP="007A2D3E">
            <w:pPr>
              <w:pStyle w:val="Prrafodelista"/>
              <w:numPr>
                <w:ilvl w:val="3"/>
                <w:numId w:val="2"/>
              </w:numPr>
              <w:spacing w:after="200"/>
              <w:ind w:left="603" w:right="178" w:hanging="359"/>
              <w:rPr>
                <w:rFonts w:ascii="Century Gothic" w:hAnsi="Century Gothic"/>
                <w:sz w:val="22"/>
                <w:szCs w:val="22"/>
              </w:rPr>
            </w:pPr>
            <w:r w:rsidRPr="000D091E">
              <w:rPr>
                <w:rFonts w:ascii="Century Gothic" w:hAnsi="Century Gothic"/>
                <w:sz w:val="22"/>
                <w:szCs w:val="22"/>
              </w:rPr>
              <w:t>Riesgos expresamente excluidos en la póliza de responsabilidad civil profesional clínicas y hospitales no. Aa195705</w:t>
            </w:r>
          </w:p>
          <w:p w14:paraId="4C2B5302" w14:textId="62295D92" w:rsidR="007A2D3E" w:rsidRPr="000D091E" w:rsidRDefault="00B53D33" w:rsidP="007A2D3E">
            <w:pPr>
              <w:pStyle w:val="Prrafodelista"/>
              <w:numPr>
                <w:ilvl w:val="3"/>
                <w:numId w:val="2"/>
              </w:numPr>
              <w:spacing w:after="200"/>
              <w:ind w:left="603" w:right="178" w:hanging="359"/>
              <w:rPr>
                <w:rFonts w:ascii="Century Gothic" w:hAnsi="Century Gothic"/>
                <w:sz w:val="22"/>
                <w:szCs w:val="22"/>
              </w:rPr>
            </w:pPr>
            <w:r w:rsidRPr="000D091E">
              <w:rPr>
                <w:rFonts w:ascii="Century Gothic" w:hAnsi="Century Gothic"/>
                <w:sz w:val="22"/>
                <w:szCs w:val="22"/>
              </w:rPr>
              <w:t>Carácter meramente indemnizatorio que revisten los contratos de seguros.</w:t>
            </w:r>
          </w:p>
          <w:p w14:paraId="6AEA952C" w14:textId="2AF55B9F" w:rsidR="007A2D3E" w:rsidRPr="000D091E" w:rsidRDefault="00B53D33" w:rsidP="007A2D3E">
            <w:pPr>
              <w:pStyle w:val="Prrafodelista"/>
              <w:numPr>
                <w:ilvl w:val="3"/>
                <w:numId w:val="2"/>
              </w:numPr>
              <w:spacing w:after="200"/>
              <w:ind w:left="603" w:right="178" w:hanging="359"/>
              <w:rPr>
                <w:rFonts w:ascii="Century Gothic" w:hAnsi="Century Gothic"/>
                <w:sz w:val="22"/>
                <w:szCs w:val="22"/>
              </w:rPr>
            </w:pPr>
            <w:r w:rsidRPr="000D091E">
              <w:rPr>
                <w:rFonts w:ascii="Century Gothic" w:hAnsi="Century Gothic"/>
                <w:sz w:val="22"/>
                <w:szCs w:val="22"/>
              </w:rPr>
              <w:t>En cualquier caso, el juzgado deberá tener en cuenta que la póliza aa195705 opera en exceso de la póliza contratada por la IPS.</w:t>
            </w:r>
          </w:p>
          <w:p w14:paraId="332818F6" w14:textId="68C8ECEE" w:rsidR="007A2D3E" w:rsidRPr="000D091E" w:rsidRDefault="00B53D33" w:rsidP="007A2D3E">
            <w:pPr>
              <w:pStyle w:val="Prrafodelista"/>
              <w:numPr>
                <w:ilvl w:val="3"/>
                <w:numId w:val="2"/>
              </w:numPr>
              <w:spacing w:after="200"/>
              <w:ind w:left="603" w:right="178" w:hanging="359"/>
              <w:rPr>
                <w:rFonts w:ascii="Century Gothic" w:hAnsi="Century Gothic"/>
                <w:sz w:val="22"/>
                <w:szCs w:val="22"/>
              </w:rPr>
            </w:pPr>
            <w:r w:rsidRPr="000D091E">
              <w:rPr>
                <w:rFonts w:ascii="Century Gothic" w:hAnsi="Century Gothic"/>
                <w:sz w:val="22"/>
                <w:szCs w:val="22"/>
              </w:rPr>
              <w:t>En cualquier caso, de ninguna forma se podrá exceder el límite del valor asegurado en la póliza no. Aa195705.</w:t>
            </w:r>
          </w:p>
          <w:p w14:paraId="2A29DA39" w14:textId="0C4A4E92" w:rsidR="007A2D3E" w:rsidRPr="000D091E" w:rsidRDefault="00B53D33" w:rsidP="007A2D3E">
            <w:pPr>
              <w:pStyle w:val="Prrafodelista"/>
              <w:numPr>
                <w:ilvl w:val="3"/>
                <w:numId w:val="2"/>
              </w:numPr>
              <w:spacing w:after="200"/>
              <w:ind w:left="603" w:right="178" w:hanging="359"/>
              <w:rPr>
                <w:rFonts w:ascii="Century Gothic" w:hAnsi="Century Gothic"/>
                <w:sz w:val="22"/>
                <w:szCs w:val="22"/>
              </w:rPr>
            </w:pPr>
            <w:r w:rsidRPr="000D091E">
              <w:rPr>
                <w:rFonts w:ascii="Century Gothic" w:hAnsi="Century Gothic"/>
                <w:sz w:val="22"/>
                <w:szCs w:val="22"/>
              </w:rPr>
              <w:t xml:space="preserve">Límites máximos de responsabilidad del asegurador en lo atinente al deducible pactado en la póliza no. Aa195705 – 10% del valor de la pérdida mínimo </w:t>
            </w:r>
            <w:proofErr w:type="spellStart"/>
            <w:r w:rsidRPr="000D091E">
              <w:rPr>
                <w:rFonts w:ascii="Century Gothic" w:hAnsi="Century Gothic"/>
                <w:sz w:val="22"/>
                <w:szCs w:val="22"/>
              </w:rPr>
              <w:t>cop</w:t>
            </w:r>
            <w:proofErr w:type="spellEnd"/>
            <w:r w:rsidRPr="000D091E">
              <w:rPr>
                <w:rFonts w:ascii="Century Gothic" w:hAnsi="Century Gothic"/>
                <w:sz w:val="22"/>
                <w:szCs w:val="22"/>
              </w:rPr>
              <w:t xml:space="preserve"> $150.000.000</w:t>
            </w:r>
          </w:p>
          <w:p w14:paraId="3E3F0A12" w14:textId="3ABA1B69" w:rsidR="007A2D3E" w:rsidRPr="000D091E" w:rsidRDefault="00B53D33" w:rsidP="007A2D3E">
            <w:pPr>
              <w:pStyle w:val="Prrafodelista"/>
              <w:numPr>
                <w:ilvl w:val="3"/>
                <w:numId w:val="2"/>
              </w:numPr>
              <w:spacing w:after="200"/>
              <w:ind w:left="603" w:right="178" w:hanging="359"/>
              <w:rPr>
                <w:rFonts w:ascii="Century Gothic" w:hAnsi="Century Gothic"/>
                <w:sz w:val="22"/>
                <w:szCs w:val="22"/>
              </w:rPr>
            </w:pPr>
            <w:r w:rsidRPr="000D091E">
              <w:rPr>
                <w:rFonts w:ascii="Century Gothic" w:hAnsi="Century Gothic"/>
                <w:sz w:val="22"/>
                <w:szCs w:val="22"/>
              </w:rPr>
              <w:t>Disponibilidad del valor asegurado.</w:t>
            </w:r>
          </w:p>
          <w:p w14:paraId="092756DE" w14:textId="5714C7FF" w:rsidR="007A2D3E" w:rsidRPr="000D091E" w:rsidRDefault="00B53D33" w:rsidP="007A2D3E">
            <w:pPr>
              <w:pStyle w:val="Prrafodelista"/>
              <w:numPr>
                <w:ilvl w:val="3"/>
                <w:numId w:val="2"/>
              </w:numPr>
              <w:spacing w:after="200"/>
              <w:ind w:left="603" w:right="178" w:hanging="359"/>
              <w:rPr>
                <w:rFonts w:ascii="Century Gothic" w:hAnsi="Century Gothic"/>
                <w:sz w:val="22"/>
                <w:szCs w:val="22"/>
              </w:rPr>
            </w:pPr>
            <w:r w:rsidRPr="000D091E">
              <w:rPr>
                <w:rFonts w:ascii="Century Gothic" w:hAnsi="Century Gothic"/>
                <w:sz w:val="22"/>
                <w:szCs w:val="22"/>
              </w:rPr>
              <w:t>Sujeción a las condiciones particulares y generales del contrato de seguro, en la que se identifica la póliza no. Aa195705, el clausulado y los amparos.</w:t>
            </w:r>
          </w:p>
          <w:p w14:paraId="1A657B72" w14:textId="43778444" w:rsidR="007A2D3E" w:rsidRPr="000D091E" w:rsidRDefault="00B53D33" w:rsidP="007A2D3E">
            <w:pPr>
              <w:pStyle w:val="Prrafodelista"/>
              <w:numPr>
                <w:ilvl w:val="3"/>
                <w:numId w:val="2"/>
              </w:numPr>
              <w:spacing w:after="200"/>
              <w:ind w:left="603" w:right="178" w:hanging="359"/>
              <w:rPr>
                <w:rFonts w:ascii="Century Gothic" w:hAnsi="Century Gothic"/>
                <w:sz w:val="22"/>
                <w:szCs w:val="22"/>
              </w:rPr>
            </w:pPr>
            <w:r w:rsidRPr="000D091E">
              <w:rPr>
                <w:rFonts w:ascii="Century Gothic" w:hAnsi="Century Gothic"/>
                <w:sz w:val="22"/>
                <w:szCs w:val="22"/>
              </w:rPr>
              <w:t>Genérica o innominada</w:t>
            </w:r>
          </w:p>
        </w:tc>
      </w:tr>
    </w:tbl>
    <w:p w14:paraId="4AE55ABC" w14:textId="77777777" w:rsidR="00BC14B6" w:rsidRPr="000D091E" w:rsidRDefault="00BC14B6" w:rsidP="00BC14B6">
      <w:pPr>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8A065A" w:rsidRPr="000D091E" w14:paraId="234ADA6C" w14:textId="77777777" w:rsidTr="00210131">
        <w:trPr>
          <w:trHeight w:val="454"/>
        </w:trPr>
        <w:tc>
          <w:tcPr>
            <w:tcW w:w="3266" w:type="dxa"/>
            <w:vAlign w:val="center"/>
            <w:hideMark/>
          </w:tcPr>
          <w:p w14:paraId="5BD6AB9F" w14:textId="77777777" w:rsidR="00BC14B6" w:rsidRPr="000D091E" w:rsidRDefault="00BC14B6" w:rsidP="00210131">
            <w:pPr>
              <w:jc w:val="both"/>
              <w:textAlignment w:val="baseline"/>
              <w:rPr>
                <w:rFonts w:ascii="Century Gothic" w:hAnsi="Century Gothic" w:cs="Segoe UI"/>
                <w:sz w:val="22"/>
                <w:szCs w:val="22"/>
                <w:lang w:eastAsia="es-CO"/>
              </w:rPr>
            </w:pPr>
            <w:r w:rsidRPr="000D091E">
              <w:rPr>
                <w:rFonts w:ascii="Century Gothic" w:hAnsi="Century Gothic"/>
                <w:sz w:val="22"/>
                <w:szCs w:val="22"/>
                <w:shd w:val="clear" w:color="auto" w:fill="FFFFFF"/>
                <w:lang w:eastAsia="es-CO"/>
              </w:rPr>
              <w:t>Siniestro</w:t>
            </w:r>
          </w:p>
        </w:tc>
        <w:tc>
          <w:tcPr>
            <w:tcW w:w="6941" w:type="dxa"/>
            <w:vAlign w:val="center"/>
            <w:hideMark/>
          </w:tcPr>
          <w:p w14:paraId="188AE39E" w14:textId="5AB3E88E" w:rsidR="00BC14B6" w:rsidRPr="000D091E" w:rsidRDefault="00856DD3" w:rsidP="003E43F1">
            <w:pPr>
              <w:jc w:val="both"/>
              <w:rPr>
                <w:rFonts w:ascii="Century Gothic" w:hAnsi="Century Gothic" w:cs="Segoe UI"/>
                <w:sz w:val="22"/>
                <w:szCs w:val="22"/>
                <w:lang w:eastAsia="es-CO"/>
              </w:rPr>
            </w:pPr>
            <w:r w:rsidRPr="000D091E">
              <w:rPr>
                <w:rFonts w:ascii="Century Gothic" w:hAnsi="Century Gothic" w:cs="Segoe UI"/>
                <w:sz w:val="22"/>
                <w:szCs w:val="22"/>
                <w:lang w:eastAsia="es-CO"/>
              </w:rPr>
              <w:t>10223014</w:t>
            </w:r>
          </w:p>
        </w:tc>
      </w:tr>
      <w:tr w:rsidR="008A065A" w:rsidRPr="000D091E" w14:paraId="5D0D19DE" w14:textId="77777777" w:rsidTr="00210131">
        <w:trPr>
          <w:trHeight w:val="454"/>
        </w:trPr>
        <w:tc>
          <w:tcPr>
            <w:tcW w:w="3266" w:type="dxa"/>
            <w:vAlign w:val="center"/>
          </w:tcPr>
          <w:p w14:paraId="09AA39A7" w14:textId="77777777" w:rsidR="00BC14B6" w:rsidRPr="000D091E" w:rsidRDefault="00BC14B6" w:rsidP="00210131">
            <w:pPr>
              <w:jc w:val="both"/>
              <w:textAlignment w:val="baseline"/>
              <w:rPr>
                <w:rFonts w:ascii="Century Gothic" w:hAnsi="Century Gothic"/>
                <w:sz w:val="22"/>
                <w:szCs w:val="22"/>
                <w:shd w:val="clear" w:color="auto" w:fill="FFFFFF"/>
                <w:lang w:val="es-ES" w:eastAsia="es-CO"/>
              </w:rPr>
            </w:pPr>
            <w:r w:rsidRPr="000D091E">
              <w:rPr>
                <w:rFonts w:ascii="Century Gothic" w:hAnsi="Century Gothic"/>
                <w:sz w:val="22"/>
                <w:szCs w:val="22"/>
                <w:shd w:val="clear" w:color="auto" w:fill="FFFFFF"/>
                <w:lang w:val="es-ES" w:eastAsia="es-CO"/>
              </w:rPr>
              <w:t xml:space="preserve">Caso </w:t>
            </w:r>
            <w:proofErr w:type="spellStart"/>
            <w:r w:rsidRPr="000D091E">
              <w:rPr>
                <w:rFonts w:ascii="Century Gothic" w:hAnsi="Century Gothic"/>
                <w:sz w:val="22"/>
                <w:szCs w:val="22"/>
                <w:shd w:val="clear" w:color="auto" w:fill="FFFFFF"/>
                <w:lang w:val="es-ES" w:eastAsia="es-CO"/>
              </w:rPr>
              <w:t>Onbase</w:t>
            </w:r>
            <w:proofErr w:type="spellEnd"/>
          </w:p>
        </w:tc>
        <w:tc>
          <w:tcPr>
            <w:tcW w:w="6941" w:type="dxa"/>
            <w:vAlign w:val="center"/>
          </w:tcPr>
          <w:p w14:paraId="62727C08" w14:textId="1A80894C" w:rsidR="00BC14B6" w:rsidRPr="000D091E" w:rsidRDefault="00835C43" w:rsidP="00210131">
            <w:pPr>
              <w:jc w:val="both"/>
              <w:rPr>
                <w:rFonts w:ascii="Century Gothic" w:hAnsi="Century Gothic" w:cs="Segoe UI"/>
                <w:sz w:val="22"/>
                <w:szCs w:val="22"/>
                <w:lang w:eastAsia="es-CO"/>
              </w:rPr>
            </w:pPr>
            <w:r w:rsidRPr="000D091E">
              <w:rPr>
                <w:rFonts w:ascii="Century Gothic" w:hAnsi="Century Gothic" w:cs="Segoe UI"/>
                <w:sz w:val="22"/>
                <w:szCs w:val="22"/>
                <w:lang w:eastAsia="es-CO"/>
              </w:rPr>
              <w:t>93582</w:t>
            </w:r>
          </w:p>
        </w:tc>
      </w:tr>
      <w:tr w:rsidR="008A065A" w:rsidRPr="000D091E" w14:paraId="6DA9A25F" w14:textId="77777777" w:rsidTr="00210131">
        <w:trPr>
          <w:trHeight w:val="454"/>
        </w:trPr>
        <w:tc>
          <w:tcPr>
            <w:tcW w:w="3266" w:type="dxa"/>
            <w:vAlign w:val="center"/>
            <w:hideMark/>
          </w:tcPr>
          <w:p w14:paraId="5AA6471E" w14:textId="77777777" w:rsidR="00BC14B6" w:rsidRPr="000D091E" w:rsidRDefault="00BC14B6" w:rsidP="00210131">
            <w:pPr>
              <w:jc w:val="both"/>
              <w:textAlignment w:val="baseline"/>
              <w:rPr>
                <w:rFonts w:ascii="Century Gothic" w:hAnsi="Century Gothic" w:cs="Segoe UI"/>
                <w:sz w:val="22"/>
                <w:szCs w:val="22"/>
                <w:lang w:eastAsia="es-CO"/>
              </w:rPr>
            </w:pPr>
            <w:r w:rsidRPr="000D091E">
              <w:rPr>
                <w:rFonts w:ascii="Century Gothic" w:hAnsi="Century Gothic"/>
                <w:sz w:val="22"/>
                <w:szCs w:val="22"/>
                <w:shd w:val="clear" w:color="auto" w:fill="FFFFFF"/>
                <w:lang w:eastAsia="es-CO"/>
              </w:rPr>
              <w:t>Póliza</w:t>
            </w:r>
          </w:p>
        </w:tc>
        <w:tc>
          <w:tcPr>
            <w:tcW w:w="6941" w:type="dxa"/>
            <w:vAlign w:val="center"/>
          </w:tcPr>
          <w:p w14:paraId="38033233" w14:textId="41AF0435" w:rsidR="00BC14B6" w:rsidRPr="000D091E" w:rsidRDefault="00000000" w:rsidP="00210131">
            <w:pPr>
              <w:jc w:val="both"/>
              <w:rPr>
                <w:rFonts w:ascii="Century Gothic" w:hAnsi="Century Gothic" w:cs="Segoe UI"/>
                <w:sz w:val="22"/>
                <w:szCs w:val="22"/>
                <w:lang w:val="es-CO" w:eastAsia="es-CO"/>
              </w:rPr>
            </w:pPr>
            <w:sdt>
              <w:sdtPr>
                <w:rPr>
                  <w:rFonts w:ascii="Century Gothic" w:hAnsi="Century Gothic" w:cs="Segoe UI"/>
                  <w:sz w:val="22"/>
                  <w:szCs w:val="22"/>
                  <w:lang w:val="es-CO" w:eastAsia="es-CO"/>
                </w:rPr>
                <w:alias w:val="PÓLIZA"/>
                <w:tag w:val="PÓLIZA"/>
                <w:id w:val="481668139"/>
                <w:placeholder>
                  <w:docPart w:val="1E48A2D7E2604C9FB1F936BD0863105D"/>
                </w:placeholder>
                <w:text/>
              </w:sdtPr>
              <w:sdtContent>
                <w:r w:rsidR="00BC14B6" w:rsidRPr="000D091E">
                  <w:rPr>
                    <w:rFonts w:ascii="Century Gothic" w:hAnsi="Century Gothic" w:cs="Segoe UI"/>
                    <w:sz w:val="22"/>
                    <w:szCs w:val="22"/>
                    <w:lang w:val="es-CO" w:eastAsia="es-CO"/>
                  </w:rPr>
                  <w:t>AA</w:t>
                </w:r>
                <w:r w:rsidR="00B53D33" w:rsidRPr="000D091E">
                  <w:rPr>
                    <w:rFonts w:ascii="Century Gothic" w:hAnsi="Century Gothic" w:cs="Segoe UI"/>
                    <w:sz w:val="22"/>
                    <w:szCs w:val="22"/>
                    <w:lang w:val="es-CO" w:eastAsia="es-CO"/>
                  </w:rPr>
                  <w:t>195705</w:t>
                </w:r>
                <w:r w:rsidR="00BC14B6" w:rsidRPr="000D091E">
                  <w:rPr>
                    <w:rFonts w:ascii="Century Gothic" w:hAnsi="Century Gothic" w:cs="Segoe UI"/>
                    <w:sz w:val="22"/>
                    <w:szCs w:val="22"/>
                    <w:lang w:val="es-CO" w:eastAsia="es-CO"/>
                  </w:rPr>
                  <w:t xml:space="preserve"> </w:t>
                </w:r>
                <w:r w:rsidR="00B53D33" w:rsidRPr="000D091E">
                  <w:rPr>
                    <w:rFonts w:ascii="Century Gothic" w:hAnsi="Century Gothic" w:cs="Segoe UI"/>
                    <w:sz w:val="22"/>
                    <w:szCs w:val="22"/>
                    <w:lang w:val="es-CO" w:eastAsia="es-CO"/>
                  </w:rPr>
                  <w:t>R.C PROFESIONAL CLINICAS</w:t>
                </w:r>
              </w:sdtContent>
            </w:sdt>
          </w:p>
        </w:tc>
      </w:tr>
      <w:tr w:rsidR="008A065A" w:rsidRPr="000D091E" w14:paraId="2BADA4F5" w14:textId="77777777" w:rsidTr="00210131">
        <w:trPr>
          <w:trHeight w:val="454"/>
        </w:trPr>
        <w:tc>
          <w:tcPr>
            <w:tcW w:w="3266" w:type="dxa"/>
            <w:vAlign w:val="center"/>
            <w:hideMark/>
          </w:tcPr>
          <w:p w14:paraId="1FC6FA2B" w14:textId="77777777" w:rsidR="00BC14B6" w:rsidRPr="000D091E" w:rsidRDefault="00BC14B6" w:rsidP="00210131">
            <w:pPr>
              <w:jc w:val="both"/>
              <w:textAlignment w:val="baseline"/>
              <w:rPr>
                <w:rFonts w:ascii="Century Gothic" w:hAnsi="Century Gothic" w:cs="Segoe UI"/>
                <w:sz w:val="22"/>
                <w:szCs w:val="22"/>
                <w:lang w:eastAsia="es-CO"/>
              </w:rPr>
            </w:pPr>
            <w:r w:rsidRPr="000D091E">
              <w:rPr>
                <w:rFonts w:ascii="Century Gothic" w:hAnsi="Century Gothic"/>
                <w:sz w:val="22"/>
                <w:szCs w:val="22"/>
                <w:shd w:val="clear" w:color="auto" w:fill="FFFFFF"/>
                <w:lang w:eastAsia="es-CO"/>
              </w:rPr>
              <w:lastRenderedPageBreak/>
              <w:t>Certificado</w:t>
            </w:r>
          </w:p>
        </w:tc>
        <w:tc>
          <w:tcPr>
            <w:tcW w:w="6941" w:type="dxa"/>
            <w:vAlign w:val="center"/>
          </w:tcPr>
          <w:p w14:paraId="2F780D94" w14:textId="55FF4FAB" w:rsidR="00BC14B6" w:rsidRPr="000D091E" w:rsidRDefault="00BC14B6" w:rsidP="00210131">
            <w:pPr>
              <w:jc w:val="both"/>
              <w:rPr>
                <w:rFonts w:ascii="Century Gothic" w:hAnsi="Century Gothic" w:cs="Segoe UI"/>
                <w:sz w:val="22"/>
                <w:szCs w:val="22"/>
                <w:lang w:eastAsia="es-CO"/>
              </w:rPr>
            </w:pPr>
            <w:r w:rsidRPr="000D091E">
              <w:rPr>
                <w:rFonts w:ascii="Century Gothic" w:hAnsi="Century Gothic" w:cs="Segoe UI"/>
                <w:sz w:val="22"/>
                <w:szCs w:val="22"/>
                <w:lang w:val="es-CO" w:eastAsia="es-CO"/>
              </w:rPr>
              <w:t>A</w:t>
            </w:r>
            <w:r w:rsidR="00B53D33" w:rsidRPr="000D091E">
              <w:rPr>
                <w:rFonts w:ascii="Century Gothic" w:hAnsi="Century Gothic" w:cs="Segoe UI"/>
                <w:sz w:val="22"/>
                <w:szCs w:val="22"/>
                <w:lang w:val="es-CO" w:eastAsia="es-CO"/>
              </w:rPr>
              <w:t>A905335</w:t>
            </w:r>
          </w:p>
        </w:tc>
      </w:tr>
      <w:tr w:rsidR="008A065A" w:rsidRPr="000D091E" w14:paraId="31CC7BCF" w14:textId="77777777" w:rsidTr="00210131">
        <w:trPr>
          <w:trHeight w:val="454"/>
        </w:trPr>
        <w:tc>
          <w:tcPr>
            <w:tcW w:w="3266" w:type="dxa"/>
            <w:vAlign w:val="center"/>
            <w:hideMark/>
          </w:tcPr>
          <w:p w14:paraId="3F9E1BB4" w14:textId="77777777" w:rsidR="00BC14B6" w:rsidRPr="000D091E" w:rsidRDefault="00BC14B6" w:rsidP="00210131">
            <w:pPr>
              <w:jc w:val="both"/>
              <w:textAlignment w:val="baseline"/>
              <w:rPr>
                <w:rFonts w:ascii="Century Gothic" w:hAnsi="Century Gothic" w:cs="Segoe UI"/>
                <w:sz w:val="22"/>
                <w:szCs w:val="22"/>
                <w:lang w:eastAsia="es-CO"/>
              </w:rPr>
            </w:pPr>
            <w:r w:rsidRPr="000D091E">
              <w:rPr>
                <w:rFonts w:ascii="Century Gothic" w:hAnsi="Century Gothic"/>
                <w:sz w:val="22"/>
                <w:szCs w:val="22"/>
                <w:shd w:val="clear" w:color="auto" w:fill="FFFFFF"/>
                <w:lang w:eastAsia="es-CO"/>
              </w:rPr>
              <w:t>Orden</w:t>
            </w:r>
          </w:p>
        </w:tc>
        <w:tc>
          <w:tcPr>
            <w:tcW w:w="6941" w:type="dxa"/>
            <w:vAlign w:val="center"/>
          </w:tcPr>
          <w:p w14:paraId="2F9993EB" w14:textId="4BB23BD6" w:rsidR="00BC14B6" w:rsidRPr="000D091E" w:rsidRDefault="00BC14B6" w:rsidP="00210131">
            <w:pPr>
              <w:jc w:val="both"/>
              <w:rPr>
                <w:rFonts w:ascii="Century Gothic" w:hAnsi="Century Gothic" w:cs="Segoe UI"/>
                <w:sz w:val="22"/>
                <w:szCs w:val="22"/>
                <w:lang w:eastAsia="es-CO"/>
              </w:rPr>
            </w:pPr>
            <w:r w:rsidRPr="000D091E">
              <w:rPr>
                <w:rFonts w:ascii="Century Gothic" w:hAnsi="Century Gothic" w:cs="Segoe UI"/>
                <w:sz w:val="22"/>
                <w:szCs w:val="22"/>
                <w:lang w:eastAsia="es-CO"/>
              </w:rPr>
              <w:t>1</w:t>
            </w:r>
          </w:p>
        </w:tc>
      </w:tr>
      <w:tr w:rsidR="008A065A" w:rsidRPr="000D091E" w14:paraId="47E6CE63" w14:textId="77777777" w:rsidTr="00210131">
        <w:trPr>
          <w:trHeight w:val="454"/>
        </w:trPr>
        <w:tc>
          <w:tcPr>
            <w:tcW w:w="3266" w:type="dxa"/>
            <w:vAlign w:val="center"/>
          </w:tcPr>
          <w:p w14:paraId="0CB67B16" w14:textId="77777777" w:rsidR="00BC14B6" w:rsidRPr="000D091E" w:rsidRDefault="00BC14B6" w:rsidP="00210131">
            <w:pPr>
              <w:jc w:val="both"/>
              <w:textAlignment w:val="baseline"/>
              <w:rPr>
                <w:rFonts w:ascii="Century Gothic" w:hAnsi="Century Gothic"/>
                <w:sz w:val="22"/>
                <w:szCs w:val="22"/>
                <w:shd w:val="clear" w:color="auto" w:fill="FFFFFF"/>
                <w:lang w:eastAsia="es-CO"/>
              </w:rPr>
            </w:pPr>
            <w:r w:rsidRPr="000D091E">
              <w:rPr>
                <w:rFonts w:ascii="Century Gothic" w:hAnsi="Century Gothic"/>
                <w:sz w:val="22"/>
                <w:szCs w:val="22"/>
                <w:shd w:val="clear" w:color="auto" w:fill="FFFFFF"/>
                <w:lang w:eastAsia="es-CO"/>
              </w:rPr>
              <w:t>Sucursal</w:t>
            </w:r>
          </w:p>
        </w:tc>
        <w:tc>
          <w:tcPr>
            <w:tcW w:w="6941" w:type="dxa"/>
            <w:vAlign w:val="center"/>
          </w:tcPr>
          <w:p w14:paraId="4F9CA806" w14:textId="039C2ED7" w:rsidR="00BC14B6" w:rsidRPr="000D091E" w:rsidRDefault="00A02F97" w:rsidP="00210131">
            <w:pPr>
              <w:jc w:val="both"/>
              <w:rPr>
                <w:rFonts w:ascii="Century Gothic" w:hAnsi="Century Gothic" w:cs="Segoe UI"/>
                <w:sz w:val="22"/>
                <w:szCs w:val="22"/>
                <w:lang w:eastAsia="es-CO"/>
              </w:rPr>
            </w:pPr>
            <w:r w:rsidRPr="000D091E">
              <w:rPr>
                <w:rFonts w:ascii="Century Gothic" w:hAnsi="Century Gothic" w:cs="Segoe UI"/>
                <w:sz w:val="22"/>
                <w:szCs w:val="22"/>
                <w:lang w:eastAsia="es-CO"/>
              </w:rPr>
              <w:t>1</w:t>
            </w:r>
          </w:p>
        </w:tc>
      </w:tr>
      <w:tr w:rsidR="008A065A" w:rsidRPr="000D091E" w14:paraId="3A68AD15" w14:textId="77777777" w:rsidTr="00210131">
        <w:trPr>
          <w:trHeight w:val="454"/>
        </w:trPr>
        <w:tc>
          <w:tcPr>
            <w:tcW w:w="3266" w:type="dxa"/>
            <w:vAlign w:val="center"/>
            <w:hideMark/>
          </w:tcPr>
          <w:p w14:paraId="7C888E7E" w14:textId="77777777" w:rsidR="00BC14B6" w:rsidRPr="000D091E" w:rsidRDefault="00BC14B6" w:rsidP="00210131">
            <w:pPr>
              <w:jc w:val="both"/>
              <w:textAlignment w:val="baseline"/>
              <w:rPr>
                <w:rFonts w:ascii="Century Gothic" w:hAnsi="Century Gothic" w:cs="Segoe UI"/>
                <w:sz w:val="22"/>
                <w:szCs w:val="22"/>
                <w:lang w:eastAsia="es-CO"/>
              </w:rPr>
            </w:pPr>
            <w:r w:rsidRPr="000D091E">
              <w:rPr>
                <w:rFonts w:ascii="Century Gothic" w:hAnsi="Century Gothic"/>
                <w:sz w:val="22"/>
                <w:szCs w:val="22"/>
                <w:shd w:val="clear" w:color="auto" w:fill="FFFFFF"/>
                <w:lang w:eastAsia="es-CO"/>
              </w:rPr>
              <w:t>Placa del vehículo</w:t>
            </w:r>
          </w:p>
        </w:tc>
        <w:tc>
          <w:tcPr>
            <w:tcW w:w="6941" w:type="dxa"/>
            <w:vAlign w:val="center"/>
          </w:tcPr>
          <w:p w14:paraId="1DCF7282" w14:textId="3E2EE807" w:rsidR="00BC14B6" w:rsidRPr="000D091E" w:rsidRDefault="006F538E" w:rsidP="00210131">
            <w:pPr>
              <w:jc w:val="both"/>
              <w:rPr>
                <w:rFonts w:ascii="Century Gothic" w:hAnsi="Century Gothic" w:cs="Segoe UI"/>
                <w:sz w:val="22"/>
                <w:szCs w:val="22"/>
                <w:lang w:eastAsia="es-CO"/>
              </w:rPr>
            </w:pPr>
            <w:r w:rsidRPr="000D091E">
              <w:rPr>
                <w:rFonts w:ascii="Century Gothic" w:hAnsi="Century Gothic" w:cs="Segoe UI"/>
                <w:sz w:val="22"/>
                <w:szCs w:val="22"/>
                <w:lang w:eastAsia="es-CO"/>
              </w:rPr>
              <w:t>N/A</w:t>
            </w:r>
          </w:p>
        </w:tc>
      </w:tr>
      <w:tr w:rsidR="008A065A" w:rsidRPr="000D091E" w14:paraId="7EF60E44" w14:textId="77777777" w:rsidTr="00210131">
        <w:trPr>
          <w:trHeight w:val="454"/>
        </w:trPr>
        <w:tc>
          <w:tcPr>
            <w:tcW w:w="3266" w:type="dxa"/>
            <w:vAlign w:val="center"/>
          </w:tcPr>
          <w:p w14:paraId="5CC4DFE2" w14:textId="77777777" w:rsidR="00BC14B6" w:rsidRPr="000D091E" w:rsidRDefault="00BC14B6" w:rsidP="00210131">
            <w:pPr>
              <w:jc w:val="both"/>
              <w:textAlignment w:val="baseline"/>
              <w:rPr>
                <w:rFonts w:ascii="Century Gothic" w:hAnsi="Century Gothic"/>
                <w:sz w:val="22"/>
                <w:szCs w:val="22"/>
                <w:shd w:val="clear" w:color="auto" w:fill="FFFFFF"/>
                <w:lang w:eastAsia="es-CO"/>
              </w:rPr>
            </w:pPr>
            <w:r w:rsidRPr="000D091E">
              <w:rPr>
                <w:rFonts w:ascii="Century Gothic" w:hAnsi="Century Gothic"/>
                <w:sz w:val="22"/>
                <w:szCs w:val="22"/>
                <w:shd w:val="clear" w:color="auto" w:fill="FFFFFF"/>
                <w:lang w:eastAsia="es-CO"/>
              </w:rPr>
              <w:t>Fecha del siniestro</w:t>
            </w:r>
          </w:p>
        </w:tc>
        <w:tc>
          <w:tcPr>
            <w:tcW w:w="6941" w:type="dxa"/>
            <w:vAlign w:val="center"/>
          </w:tcPr>
          <w:p w14:paraId="07CDD877" w14:textId="13D623D4" w:rsidR="00BC14B6" w:rsidRPr="000D091E" w:rsidRDefault="00B53D33" w:rsidP="00210131">
            <w:pPr>
              <w:jc w:val="both"/>
              <w:rPr>
                <w:rFonts w:ascii="Century Gothic" w:hAnsi="Century Gothic" w:cs="Segoe UI"/>
                <w:sz w:val="22"/>
                <w:szCs w:val="22"/>
                <w:lang w:eastAsia="es-CO"/>
              </w:rPr>
            </w:pPr>
            <w:r w:rsidRPr="000D091E">
              <w:rPr>
                <w:rFonts w:ascii="Century Gothic" w:hAnsi="Century Gothic" w:cs="Segoe UI"/>
                <w:sz w:val="22"/>
                <w:szCs w:val="22"/>
                <w:lang w:eastAsia="es-CO"/>
              </w:rPr>
              <w:t>10</w:t>
            </w:r>
            <w:r w:rsidR="00BC14B6" w:rsidRPr="000D091E">
              <w:rPr>
                <w:rFonts w:ascii="Century Gothic" w:hAnsi="Century Gothic" w:cs="Segoe UI"/>
                <w:sz w:val="22"/>
                <w:szCs w:val="22"/>
                <w:lang w:eastAsia="es-CO"/>
              </w:rPr>
              <w:t>/</w:t>
            </w:r>
            <w:r w:rsidRPr="000D091E">
              <w:rPr>
                <w:rFonts w:ascii="Century Gothic" w:hAnsi="Century Gothic" w:cs="Segoe UI"/>
                <w:sz w:val="22"/>
                <w:szCs w:val="22"/>
                <w:lang w:eastAsia="es-CO"/>
              </w:rPr>
              <w:t>07</w:t>
            </w:r>
            <w:r w:rsidR="00BC14B6" w:rsidRPr="000D091E">
              <w:rPr>
                <w:rFonts w:ascii="Century Gothic" w:hAnsi="Century Gothic" w:cs="Segoe UI"/>
                <w:sz w:val="22"/>
                <w:szCs w:val="22"/>
                <w:lang w:eastAsia="es-CO"/>
              </w:rPr>
              <w:t>/20</w:t>
            </w:r>
            <w:r w:rsidRPr="000D091E">
              <w:rPr>
                <w:rFonts w:ascii="Century Gothic" w:hAnsi="Century Gothic" w:cs="Segoe UI"/>
                <w:sz w:val="22"/>
                <w:szCs w:val="22"/>
                <w:lang w:eastAsia="es-CO"/>
              </w:rPr>
              <w:t>20</w:t>
            </w:r>
          </w:p>
        </w:tc>
      </w:tr>
      <w:tr w:rsidR="008A065A" w:rsidRPr="000D091E" w14:paraId="67AF3BB4" w14:textId="77777777" w:rsidTr="00210131">
        <w:trPr>
          <w:trHeight w:val="454"/>
        </w:trPr>
        <w:tc>
          <w:tcPr>
            <w:tcW w:w="3266" w:type="dxa"/>
            <w:vAlign w:val="center"/>
          </w:tcPr>
          <w:p w14:paraId="408E3A05" w14:textId="77777777" w:rsidR="00BC14B6" w:rsidRPr="000D091E" w:rsidRDefault="00BC14B6" w:rsidP="00210131">
            <w:pPr>
              <w:jc w:val="both"/>
              <w:textAlignment w:val="baseline"/>
              <w:rPr>
                <w:rFonts w:ascii="Century Gothic" w:hAnsi="Century Gothic"/>
                <w:sz w:val="22"/>
                <w:szCs w:val="22"/>
                <w:shd w:val="clear" w:color="auto" w:fill="FFFFFF"/>
                <w:lang w:eastAsia="es-CO"/>
              </w:rPr>
            </w:pPr>
            <w:r w:rsidRPr="000D091E">
              <w:rPr>
                <w:rFonts w:ascii="Century Gothic" w:hAnsi="Century Gothic"/>
                <w:sz w:val="22"/>
                <w:szCs w:val="22"/>
                <w:shd w:val="clear" w:color="auto" w:fill="FFFFFF"/>
                <w:lang w:eastAsia="es-CO"/>
              </w:rPr>
              <w:t>Fecha del aviso</w:t>
            </w:r>
          </w:p>
        </w:tc>
        <w:tc>
          <w:tcPr>
            <w:tcW w:w="6941" w:type="dxa"/>
            <w:vAlign w:val="center"/>
          </w:tcPr>
          <w:p w14:paraId="2B549A46" w14:textId="19FA858B" w:rsidR="00BC14B6" w:rsidRPr="000D091E" w:rsidRDefault="006D388A" w:rsidP="00210131">
            <w:pPr>
              <w:jc w:val="both"/>
              <w:rPr>
                <w:rFonts w:ascii="Century Gothic" w:hAnsi="Century Gothic" w:cs="Segoe UI"/>
                <w:sz w:val="22"/>
                <w:szCs w:val="22"/>
                <w:lang w:eastAsia="es-CO"/>
              </w:rPr>
            </w:pPr>
            <w:r w:rsidRPr="000D091E">
              <w:rPr>
                <w:rFonts w:ascii="Century Gothic" w:hAnsi="Century Gothic" w:cs="Segoe UI"/>
                <w:sz w:val="22"/>
                <w:szCs w:val="22"/>
                <w:lang w:eastAsia="es-CO"/>
              </w:rPr>
              <w:t>6</w:t>
            </w:r>
            <w:r w:rsidR="00B53D33" w:rsidRPr="000D091E">
              <w:rPr>
                <w:rFonts w:ascii="Century Gothic" w:hAnsi="Century Gothic" w:cs="Segoe UI"/>
                <w:sz w:val="22"/>
                <w:szCs w:val="22"/>
                <w:lang w:eastAsia="es-CO"/>
              </w:rPr>
              <w:t>/</w:t>
            </w:r>
            <w:r w:rsidRPr="000D091E">
              <w:rPr>
                <w:rFonts w:ascii="Century Gothic" w:hAnsi="Century Gothic" w:cs="Segoe UI"/>
                <w:sz w:val="22"/>
                <w:szCs w:val="22"/>
                <w:lang w:eastAsia="es-CO"/>
              </w:rPr>
              <w:t>04</w:t>
            </w:r>
            <w:r w:rsidR="00B53D33" w:rsidRPr="000D091E">
              <w:rPr>
                <w:rFonts w:ascii="Century Gothic" w:hAnsi="Century Gothic" w:cs="Segoe UI"/>
                <w:sz w:val="22"/>
                <w:szCs w:val="22"/>
                <w:lang w:eastAsia="es-CO"/>
              </w:rPr>
              <w:t>/202</w:t>
            </w:r>
            <w:r w:rsidRPr="000D091E">
              <w:rPr>
                <w:rFonts w:ascii="Century Gothic" w:hAnsi="Century Gothic" w:cs="Segoe UI"/>
                <w:sz w:val="22"/>
                <w:szCs w:val="22"/>
                <w:lang w:eastAsia="es-CO"/>
              </w:rPr>
              <w:t>1</w:t>
            </w:r>
          </w:p>
        </w:tc>
      </w:tr>
      <w:tr w:rsidR="008A065A" w:rsidRPr="000D091E" w14:paraId="18C1DD40" w14:textId="77777777" w:rsidTr="00210131">
        <w:trPr>
          <w:trHeight w:val="454"/>
        </w:trPr>
        <w:tc>
          <w:tcPr>
            <w:tcW w:w="3266" w:type="dxa"/>
            <w:vAlign w:val="center"/>
          </w:tcPr>
          <w:p w14:paraId="48926525" w14:textId="77777777" w:rsidR="00BC14B6" w:rsidRPr="000D091E" w:rsidRDefault="00BC14B6" w:rsidP="00210131">
            <w:pPr>
              <w:jc w:val="both"/>
              <w:textAlignment w:val="baseline"/>
              <w:rPr>
                <w:rFonts w:ascii="Century Gothic" w:hAnsi="Century Gothic"/>
                <w:sz w:val="22"/>
                <w:szCs w:val="22"/>
                <w:shd w:val="clear" w:color="auto" w:fill="FFFFFF"/>
                <w:lang w:eastAsia="es-CO"/>
              </w:rPr>
            </w:pPr>
            <w:r w:rsidRPr="000D091E">
              <w:rPr>
                <w:rFonts w:ascii="Century Gothic" w:hAnsi="Century Gothic"/>
                <w:sz w:val="22"/>
                <w:szCs w:val="22"/>
                <w:shd w:val="clear" w:color="auto" w:fill="FFFFFF"/>
                <w:lang w:eastAsia="es-CO"/>
              </w:rPr>
              <w:t>Colocación de reaseguro</w:t>
            </w:r>
          </w:p>
        </w:tc>
        <w:tc>
          <w:tcPr>
            <w:tcW w:w="6941" w:type="dxa"/>
            <w:vAlign w:val="center"/>
          </w:tcPr>
          <w:p w14:paraId="333F26D7" w14:textId="38BC9684" w:rsidR="00BC14B6" w:rsidRPr="000D091E" w:rsidRDefault="006D388A" w:rsidP="00210131">
            <w:pPr>
              <w:jc w:val="both"/>
              <w:rPr>
                <w:rFonts w:ascii="Century Gothic" w:hAnsi="Century Gothic" w:cs="Segoe UI"/>
                <w:sz w:val="22"/>
                <w:szCs w:val="22"/>
                <w:lang w:eastAsia="es-CO"/>
              </w:rPr>
            </w:pPr>
            <w:r w:rsidRPr="000D091E">
              <w:rPr>
                <w:rFonts w:ascii="Century Gothic" w:hAnsi="Century Gothic" w:cs="Segoe UI"/>
                <w:sz w:val="22"/>
                <w:szCs w:val="22"/>
                <w:lang w:eastAsia="es-CO"/>
              </w:rPr>
              <w:t>FACULTATIVO</w:t>
            </w:r>
          </w:p>
        </w:tc>
      </w:tr>
      <w:tr w:rsidR="008A065A" w:rsidRPr="000D091E" w14:paraId="3EA66407" w14:textId="77777777" w:rsidTr="00210131">
        <w:trPr>
          <w:trHeight w:val="454"/>
        </w:trPr>
        <w:tc>
          <w:tcPr>
            <w:tcW w:w="3266" w:type="dxa"/>
            <w:vAlign w:val="center"/>
          </w:tcPr>
          <w:p w14:paraId="60519D3D" w14:textId="77777777" w:rsidR="00BC14B6" w:rsidRPr="000D091E" w:rsidRDefault="00BC14B6" w:rsidP="00210131">
            <w:pPr>
              <w:jc w:val="both"/>
              <w:textAlignment w:val="baseline"/>
              <w:rPr>
                <w:rFonts w:ascii="Century Gothic" w:hAnsi="Century Gothic"/>
                <w:sz w:val="22"/>
                <w:szCs w:val="22"/>
                <w:shd w:val="clear" w:color="auto" w:fill="FFFFFF"/>
                <w:lang w:eastAsia="es-CO"/>
              </w:rPr>
            </w:pPr>
            <w:r w:rsidRPr="000D091E">
              <w:rPr>
                <w:rFonts w:ascii="Century Gothic" w:hAnsi="Century Gothic"/>
                <w:sz w:val="22"/>
                <w:szCs w:val="22"/>
                <w:shd w:val="clear" w:color="auto" w:fill="FFFFFF"/>
                <w:lang w:eastAsia="es-CO"/>
              </w:rPr>
              <w:t>Tomador</w:t>
            </w:r>
          </w:p>
        </w:tc>
        <w:tc>
          <w:tcPr>
            <w:tcW w:w="6941" w:type="dxa"/>
            <w:vAlign w:val="center"/>
          </w:tcPr>
          <w:p w14:paraId="360A27D2" w14:textId="25FAFD5C" w:rsidR="00BC14B6" w:rsidRPr="000D091E" w:rsidRDefault="00B53D33" w:rsidP="00210131">
            <w:pPr>
              <w:jc w:val="both"/>
              <w:rPr>
                <w:rFonts w:ascii="Century Gothic" w:hAnsi="Century Gothic" w:cs="Segoe UI"/>
                <w:sz w:val="22"/>
                <w:szCs w:val="22"/>
                <w:lang w:eastAsia="es-CO"/>
              </w:rPr>
            </w:pPr>
            <w:r w:rsidRPr="000D091E">
              <w:rPr>
                <w:rFonts w:ascii="Century Gothic" w:hAnsi="Century Gothic" w:cs="Segoe UI"/>
                <w:sz w:val="22"/>
                <w:szCs w:val="22"/>
                <w:lang w:eastAsia="es-CO"/>
              </w:rPr>
              <w:t xml:space="preserve">COMPAÑÍA DE MEDICINA PREPAGADA COLSANITAS </w:t>
            </w:r>
            <w:proofErr w:type="gramStart"/>
            <w:r w:rsidRPr="000D091E">
              <w:rPr>
                <w:rFonts w:ascii="Century Gothic" w:hAnsi="Century Gothic" w:cs="Segoe UI"/>
                <w:sz w:val="22"/>
                <w:szCs w:val="22"/>
                <w:lang w:eastAsia="es-CO"/>
              </w:rPr>
              <w:t>S.A</w:t>
            </w:r>
            <w:proofErr w:type="gramEnd"/>
          </w:p>
        </w:tc>
      </w:tr>
      <w:tr w:rsidR="008A065A" w:rsidRPr="000D091E" w14:paraId="7E858150" w14:textId="77777777" w:rsidTr="00210131">
        <w:trPr>
          <w:trHeight w:val="454"/>
        </w:trPr>
        <w:tc>
          <w:tcPr>
            <w:tcW w:w="3266" w:type="dxa"/>
            <w:vAlign w:val="center"/>
          </w:tcPr>
          <w:p w14:paraId="105837FD" w14:textId="77777777" w:rsidR="00BC14B6" w:rsidRPr="000D091E" w:rsidRDefault="00BC14B6" w:rsidP="00210131">
            <w:pPr>
              <w:jc w:val="both"/>
              <w:textAlignment w:val="baseline"/>
              <w:rPr>
                <w:rFonts w:ascii="Century Gothic" w:hAnsi="Century Gothic" w:cs="Segoe UI"/>
                <w:sz w:val="22"/>
                <w:szCs w:val="22"/>
                <w:lang w:eastAsia="es-CO"/>
              </w:rPr>
            </w:pPr>
            <w:r w:rsidRPr="000D091E">
              <w:rPr>
                <w:rFonts w:ascii="Century Gothic" w:hAnsi="Century Gothic"/>
                <w:sz w:val="22"/>
                <w:szCs w:val="22"/>
                <w:shd w:val="clear" w:color="auto" w:fill="FFFFFF"/>
                <w:lang w:eastAsia="es-CO"/>
              </w:rPr>
              <w:t>Asegurado</w:t>
            </w:r>
          </w:p>
        </w:tc>
        <w:tc>
          <w:tcPr>
            <w:tcW w:w="6941" w:type="dxa"/>
            <w:vAlign w:val="center"/>
          </w:tcPr>
          <w:p w14:paraId="2368976A" w14:textId="5B8D7AF8" w:rsidR="00BC14B6" w:rsidRPr="000D091E" w:rsidRDefault="00B53D33" w:rsidP="00210131">
            <w:pPr>
              <w:jc w:val="both"/>
              <w:rPr>
                <w:rFonts w:ascii="Century Gothic" w:hAnsi="Century Gothic" w:cs="Segoe UI"/>
                <w:sz w:val="22"/>
                <w:szCs w:val="22"/>
                <w:lang w:eastAsia="es-CO"/>
              </w:rPr>
            </w:pPr>
            <w:r w:rsidRPr="000D091E">
              <w:rPr>
                <w:rFonts w:ascii="Century Gothic" w:hAnsi="Century Gothic" w:cs="Segoe UI"/>
                <w:sz w:val="22"/>
                <w:szCs w:val="22"/>
                <w:lang w:eastAsia="es-CO"/>
              </w:rPr>
              <w:t xml:space="preserve">COMPAÑÍA DE MEDICINA PREPAGADA COLSANITAS </w:t>
            </w:r>
            <w:proofErr w:type="gramStart"/>
            <w:r w:rsidRPr="000D091E">
              <w:rPr>
                <w:rFonts w:ascii="Century Gothic" w:hAnsi="Century Gothic" w:cs="Segoe UI"/>
                <w:sz w:val="22"/>
                <w:szCs w:val="22"/>
                <w:lang w:eastAsia="es-CO"/>
              </w:rPr>
              <w:t>S.A</w:t>
            </w:r>
            <w:proofErr w:type="gramEnd"/>
          </w:p>
        </w:tc>
      </w:tr>
      <w:tr w:rsidR="008A065A" w:rsidRPr="000D091E" w14:paraId="4DBD9CB9" w14:textId="77777777" w:rsidTr="00210131">
        <w:trPr>
          <w:trHeight w:val="454"/>
        </w:trPr>
        <w:tc>
          <w:tcPr>
            <w:tcW w:w="3266" w:type="dxa"/>
            <w:vAlign w:val="center"/>
            <w:hideMark/>
          </w:tcPr>
          <w:p w14:paraId="62BEE906" w14:textId="77777777" w:rsidR="00BC14B6" w:rsidRPr="000D091E" w:rsidRDefault="00BC14B6" w:rsidP="00210131">
            <w:pPr>
              <w:jc w:val="both"/>
              <w:textAlignment w:val="baseline"/>
              <w:rPr>
                <w:rFonts w:ascii="Century Gothic" w:hAnsi="Century Gothic" w:cs="Segoe UI"/>
                <w:sz w:val="22"/>
                <w:szCs w:val="22"/>
                <w:lang w:eastAsia="es-CO"/>
              </w:rPr>
            </w:pPr>
            <w:r w:rsidRPr="000D091E">
              <w:rPr>
                <w:rFonts w:ascii="Century Gothic" w:hAnsi="Century Gothic"/>
                <w:sz w:val="22"/>
                <w:szCs w:val="22"/>
                <w:shd w:val="clear" w:color="auto" w:fill="FFFFFF"/>
                <w:lang w:eastAsia="es-CO"/>
              </w:rPr>
              <w:t>Ramo</w:t>
            </w:r>
          </w:p>
        </w:tc>
        <w:tc>
          <w:tcPr>
            <w:tcW w:w="6941" w:type="dxa"/>
            <w:vAlign w:val="center"/>
          </w:tcPr>
          <w:p w14:paraId="50FE7AE6" w14:textId="6B1DAF94" w:rsidR="00BC14B6" w:rsidRPr="000D091E" w:rsidRDefault="00B53D33" w:rsidP="00210131">
            <w:pPr>
              <w:jc w:val="both"/>
              <w:rPr>
                <w:rFonts w:ascii="Century Gothic" w:hAnsi="Century Gothic" w:cs="Segoe UI"/>
                <w:sz w:val="22"/>
                <w:szCs w:val="22"/>
                <w:lang w:eastAsia="es-CO"/>
              </w:rPr>
            </w:pPr>
            <w:r w:rsidRPr="000D091E">
              <w:rPr>
                <w:rFonts w:ascii="Century Gothic" w:hAnsi="Century Gothic" w:cs="Segoe UI"/>
                <w:sz w:val="22"/>
                <w:szCs w:val="22"/>
                <w:lang w:eastAsia="es-CO"/>
              </w:rPr>
              <w:t>RC PROFESIONAL CLINICAS</w:t>
            </w:r>
          </w:p>
        </w:tc>
      </w:tr>
      <w:tr w:rsidR="008A065A" w:rsidRPr="000D091E" w14:paraId="453F7287" w14:textId="77777777" w:rsidTr="00210131">
        <w:trPr>
          <w:trHeight w:val="454"/>
        </w:trPr>
        <w:tc>
          <w:tcPr>
            <w:tcW w:w="3266" w:type="dxa"/>
            <w:vAlign w:val="center"/>
            <w:hideMark/>
          </w:tcPr>
          <w:p w14:paraId="7E3256DF" w14:textId="77777777" w:rsidR="00BC14B6" w:rsidRPr="000D091E" w:rsidRDefault="00BC14B6" w:rsidP="00210131">
            <w:pPr>
              <w:jc w:val="both"/>
              <w:textAlignment w:val="baseline"/>
              <w:rPr>
                <w:rFonts w:ascii="Century Gothic" w:hAnsi="Century Gothic" w:cs="Segoe UI"/>
                <w:sz w:val="22"/>
                <w:szCs w:val="22"/>
                <w:lang w:eastAsia="es-CO"/>
              </w:rPr>
            </w:pPr>
            <w:r w:rsidRPr="000D091E">
              <w:rPr>
                <w:rFonts w:ascii="Century Gothic" w:hAnsi="Century Gothic"/>
                <w:sz w:val="22"/>
                <w:szCs w:val="22"/>
                <w:shd w:val="clear" w:color="auto" w:fill="FFFFFF"/>
                <w:lang w:eastAsia="es-CO"/>
              </w:rPr>
              <w:t>Cobertura</w:t>
            </w:r>
          </w:p>
        </w:tc>
        <w:tc>
          <w:tcPr>
            <w:tcW w:w="6941" w:type="dxa"/>
            <w:vAlign w:val="center"/>
          </w:tcPr>
          <w:p w14:paraId="6C3B97E7" w14:textId="658A0993" w:rsidR="00BC14B6" w:rsidRPr="000D091E" w:rsidRDefault="00B53D33" w:rsidP="00210131">
            <w:pPr>
              <w:jc w:val="both"/>
              <w:rPr>
                <w:rFonts w:ascii="Century Gothic" w:hAnsi="Century Gothic" w:cs="Segoe UI"/>
                <w:sz w:val="22"/>
                <w:szCs w:val="22"/>
                <w:lang w:eastAsia="es-CO"/>
              </w:rPr>
            </w:pPr>
            <w:r w:rsidRPr="000D091E">
              <w:rPr>
                <w:rFonts w:ascii="Century Gothic" w:hAnsi="Century Gothic" w:cs="Segoe UI"/>
                <w:sz w:val="22"/>
                <w:szCs w:val="22"/>
                <w:lang w:eastAsia="es-CO"/>
              </w:rPr>
              <w:t>Responsabilidad civil</w:t>
            </w:r>
          </w:p>
        </w:tc>
      </w:tr>
      <w:tr w:rsidR="008A065A" w:rsidRPr="000D091E" w14:paraId="5BA2A940" w14:textId="77777777" w:rsidTr="00210131">
        <w:trPr>
          <w:trHeight w:val="454"/>
        </w:trPr>
        <w:tc>
          <w:tcPr>
            <w:tcW w:w="3266" w:type="dxa"/>
            <w:vAlign w:val="center"/>
            <w:hideMark/>
          </w:tcPr>
          <w:p w14:paraId="2E197764" w14:textId="77777777" w:rsidR="00BC14B6" w:rsidRPr="000D091E" w:rsidRDefault="00BC14B6" w:rsidP="00210131">
            <w:pPr>
              <w:jc w:val="both"/>
              <w:textAlignment w:val="baseline"/>
              <w:rPr>
                <w:rFonts w:ascii="Century Gothic" w:hAnsi="Century Gothic" w:cs="Segoe UI"/>
                <w:sz w:val="22"/>
                <w:szCs w:val="22"/>
                <w:lang w:eastAsia="es-CO"/>
              </w:rPr>
            </w:pPr>
            <w:r w:rsidRPr="000D091E">
              <w:rPr>
                <w:rFonts w:ascii="Century Gothic" w:hAnsi="Century Gothic"/>
                <w:sz w:val="22"/>
                <w:szCs w:val="22"/>
                <w:shd w:val="clear" w:color="auto" w:fill="FFFFFF"/>
                <w:lang w:eastAsia="es-CO"/>
              </w:rPr>
              <w:t>Valor asegurado</w:t>
            </w:r>
          </w:p>
        </w:tc>
        <w:tc>
          <w:tcPr>
            <w:tcW w:w="6941" w:type="dxa"/>
            <w:vAlign w:val="center"/>
          </w:tcPr>
          <w:p w14:paraId="220602B5" w14:textId="1BF78007" w:rsidR="00BC14B6" w:rsidRPr="000D091E" w:rsidRDefault="00BC14B6" w:rsidP="00210131">
            <w:pPr>
              <w:jc w:val="both"/>
              <w:rPr>
                <w:rFonts w:ascii="Century Gothic" w:hAnsi="Century Gothic" w:cs="Segoe UI"/>
                <w:sz w:val="22"/>
                <w:szCs w:val="22"/>
                <w:lang w:eastAsia="es-CO"/>
              </w:rPr>
            </w:pPr>
            <w:r w:rsidRPr="000D091E">
              <w:rPr>
                <w:rFonts w:ascii="Century Gothic" w:hAnsi="Century Gothic" w:cs="Segoe UI"/>
                <w:sz w:val="22"/>
                <w:szCs w:val="22"/>
                <w:lang w:eastAsia="es-CO"/>
              </w:rPr>
              <w:t>$</w:t>
            </w:r>
            <w:r w:rsidR="00B53D33" w:rsidRPr="000D091E">
              <w:rPr>
                <w:rFonts w:ascii="Century Gothic" w:hAnsi="Century Gothic" w:cs="Segoe UI"/>
                <w:sz w:val="22"/>
                <w:szCs w:val="22"/>
                <w:lang w:eastAsia="es-CO"/>
              </w:rPr>
              <w:t xml:space="preserve"> 4.530.000.000</w:t>
            </w:r>
          </w:p>
        </w:tc>
      </w:tr>
      <w:tr w:rsidR="008A065A" w:rsidRPr="000D091E" w14:paraId="1BCE4197" w14:textId="77777777" w:rsidTr="00210131">
        <w:trPr>
          <w:trHeight w:val="454"/>
        </w:trPr>
        <w:tc>
          <w:tcPr>
            <w:tcW w:w="3266" w:type="dxa"/>
            <w:vAlign w:val="center"/>
          </w:tcPr>
          <w:p w14:paraId="0A43F1BE" w14:textId="77777777" w:rsidR="00BC14B6" w:rsidRPr="000D091E" w:rsidRDefault="00BC14B6" w:rsidP="00210131">
            <w:pPr>
              <w:jc w:val="both"/>
              <w:textAlignment w:val="baseline"/>
              <w:rPr>
                <w:rFonts w:ascii="Century Gothic" w:hAnsi="Century Gothic"/>
                <w:sz w:val="22"/>
                <w:szCs w:val="22"/>
                <w:shd w:val="clear" w:color="auto" w:fill="FFFFFF"/>
                <w:lang w:eastAsia="es-CO"/>
              </w:rPr>
            </w:pPr>
            <w:r w:rsidRPr="000D091E">
              <w:rPr>
                <w:rFonts w:ascii="Century Gothic" w:hAnsi="Century Gothic"/>
                <w:sz w:val="22"/>
                <w:szCs w:val="22"/>
                <w:shd w:val="clear" w:color="auto" w:fill="FFFFFF"/>
                <w:lang w:eastAsia="es-CO"/>
              </w:rPr>
              <w:t>Audiencia prejudicial</w:t>
            </w:r>
          </w:p>
        </w:tc>
        <w:tc>
          <w:tcPr>
            <w:tcW w:w="6941" w:type="dxa"/>
            <w:vAlign w:val="center"/>
          </w:tcPr>
          <w:p w14:paraId="6B9DB24E" w14:textId="3C4D6D21" w:rsidR="00BC14B6" w:rsidRPr="000D091E" w:rsidRDefault="00B53D33" w:rsidP="00210131">
            <w:pPr>
              <w:jc w:val="both"/>
              <w:rPr>
                <w:rFonts w:ascii="Century Gothic" w:hAnsi="Century Gothic" w:cs="Segoe UI"/>
                <w:sz w:val="22"/>
                <w:szCs w:val="22"/>
                <w:lang w:eastAsia="es-CO"/>
              </w:rPr>
            </w:pPr>
            <w:r w:rsidRPr="000D091E">
              <w:rPr>
                <w:rFonts w:ascii="Century Gothic" w:hAnsi="Century Gothic" w:cs="Segoe UI"/>
                <w:sz w:val="22"/>
                <w:szCs w:val="22"/>
                <w:lang w:eastAsia="es-CO"/>
              </w:rPr>
              <w:t>06</w:t>
            </w:r>
            <w:r w:rsidR="00BC14B6" w:rsidRPr="000D091E">
              <w:rPr>
                <w:rFonts w:ascii="Century Gothic" w:hAnsi="Century Gothic" w:cs="Segoe UI"/>
                <w:sz w:val="22"/>
                <w:szCs w:val="22"/>
                <w:lang w:eastAsia="es-CO"/>
              </w:rPr>
              <w:t>/</w:t>
            </w:r>
            <w:r w:rsidRPr="000D091E">
              <w:rPr>
                <w:rFonts w:ascii="Century Gothic" w:hAnsi="Century Gothic" w:cs="Segoe UI"/>
                <w:sz w:val="22"/>
                <w:szCs w:val="22"/>
                <w:lang w:eastAsia="es-CO"/>
              </w:rPr>
              <w:t>04</w:t>
            </w:r>
            <w:r w:rsidR="00BC14B6" w:rsidRPr="000D091E">
              <w:rPr>
                <w:rFonts w:ascii="Century Gothic" w:hAnsi="Century Gothic" w:cs="Segoe UI"/>
                <w:sz w:val="22"/>
                <w:szCs w:val="22"/>
                <w:lang w:eastAsia="es-CO"/>
              </w:rPr>
              <w:t>/202</w:t>
            </w:r>
            <w:r w:rsidRPr="000D091E">
              <w:rPr>
                <w:rFonts w:ascii="Century Gothic" w:hAnsi="Century Gothic" w:cs="Segoe UI"/>
                <w:sz w:val="22"/>
                <w:szCs w:val="22"/>
                <w:lang w:eastAsia="es-CO"/>
              </w:rPr>
              <w:t>1</w:t>
            </w:r>
          </w:p>
        </w:tc>
      </w:tr>
      <w:tr w:rsidR="008A065A" w:rsidRPr="000D091E" w14:paraId="41F7508E" w14:textId="77777777" w:rsidTr="00210131">
        <w:trPr>
          <w:trHeight w:val="454"/>
        </w:trPr>
        <w:tc>
          <w:tcPr>
            <w:tcW w:w="3266" w:type="dxa"/>
            <w:vAlign w:val="center"/>
            <w:hideMark/>
          </w:tcPr>
          <w:p w14:paraId="52B6FD05" w14:textId="77777777" w:rsidR="00BC14B6" w:rsidRPr="000D091E" w:rsidRDefault="00BC14B6" w:rsidP="00210131">
            <w:pPr>
              <w:jc w:val="both"/>
              <w:textAlignment w:val="baseline"/>
              <w:rPr>
                <w:rFonts w:ascii="Century Gothic" w:hAnsi="Century Gothic" w:cs="Segoe UI"/>
                <w:sz w:val="22"/>
                <w:szCs w:val="22"/>
                <w:lang w:eastAsia="es-CO"/>
              </w:rPr>
            </w:pPr>
            <w:r w:rsidRPr="000D091E">
              <w:rPr>
                <w:rFonts w:ascii="Century Gothic" w:hAnsi="Century Gothic"/>
                <w:sz w:val="22"/>
                <w:szCs w:val="22"/>
                <w:shd w:val="clear" w:color="auto" w:fill="FFFFFF"/>
                <w:lang w:eastAsia="es-CO"/>
              </w:rPr>
              <w:t>Ofrecimiento previo</w:t>
            </w:r>
          </w:p>
        </w:tc>
        <w:tc>
          <w:tcPr>
            <w:tcW w:w="6941" w:type="dxa"/>
            <w:vAlign w:val="center"/>
          </w:tcPr>
          <w:p w14:paraId="51158760" w14:textId="77777777" w:rsidR="00BC14B6" w:rsidRPr="000D091E" w:rsidRDefault="00BC14B6" w:rsidP="00210131">
            <w:pPr>
              <w:jc w:val="both"/>
              <w:rPr>
                <w:rFonts w:ascii="Century Gothic" w:hAnsi="Century Gothic" w:cs="Segoe UI"/>
                <w:sz w:val="22"/>
                <w:szCs w:val="22"/>
                <w:lang w:eastAsia="es-CO"/>
              </w:rPr>
            </w:pPr>
            <w:r w:rsidRPr="000D091E">
              <w:rPr>
                <w:rFonts w:ascii="Century Gothic" w:hAnsi="Century Gothic" w:cs="Segoe UI"/>
                <w:sz w:val="22"/>
                <w:szCs w:val="22"/>
                <w:lang w:eastAsia="es-CO"/>
              </w:rPr>
              <w:t xml:space="preserve"> NO</w:t>
            </w:r>
          </w:p>
        </w:tc>
      </w:tr>
    </w:tbl>
    <w:p w14:paraId="47DA39E4" w14:textId="77777777" w:rsidR="00BC14B6" w:rsidRPr="000D091E" w:rsidRDefault="00BC14B6" w:rsidP="00BC14B6">
      <w:pPr>
        <w:rPr>
          <w:rFonts w:ascii="Century Gothic" w:hAnsi="Century Gothic"/>
          <w:sz w:val="22"/>
          <w:szCs w:val="22"/>
        </w:rPr>
      </w:pPr>
    </w:p>
    <w:p w14:paraId="19EBC5A9" w14:textId="77777777" w:rsidR="00BC14B6" w:rsidRPr="000D091E" w:rsidRDefault="00BC14B6" w:rsidP="00BC14B6">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8A065A" w:rsidRPr="000D091E" w14:paraId="1C789463" w14:textId="77777777" w:rsidTr="00424A16">
        <w:trPr>
          <w:trHeight w:val="504"/>
        </w:trPr>
        <w:tc>
          <w:tcPr>
            <w:tcW w:w="3687" w:type="dxa"/>
          </w:tcPr>
          <w:p w14:paraId="050A921B" w14:textId="77777777" w:rsidR="00BC14B6" w:rsidRPr="000D091E" w:rsidRDefault="00BC14B6" w:rsidP="00210131">
            <w:pPr>
              <w:rPr>
                <w:rFonts w:ascii="Century Gothic" w:hAnsi="Century Gothic"/>
                <w:sz w:val="22"/>
                <w:szCs w:val="22"/>
              </w:rPr>
            </w:pPr>
            <w:r w:rsidRPr="000D091E">
              <w:rPr>
                <w:rFonts w:ascii="Century Gothic" w:hAnsi="Century Gothic"/>
                <w:sz w:val="22"/>
                <w:szCs w:val="22"/>
              </w:rPr>
              <w:t>Calificación de la contingencia</w:t>
            </w:r>
          </w:p>
        </w:tc>
        <w:tc>
          <w:tcPr>
            <w:tcW w:w="6520" w:type="dxa"/>
          </w:tcPr>
          <w:p w14:paraId="0193C1A5" w14:textId="77777777" w:rsidR="00BC14B6" w:rsidRPr="000D091E" w:rsidRDefault="00BC14B6" w:rsidP="00210131">
            <w:pPr>
              <w:rPr>
                <w:rFonts w:ascii="Century Gothic" w:hAnsi="Century Gothic"/>
                <w:sz w:val="22"/>
                <w:szCs w:val="22"/>
              </w:rPr>
            </w:pPr>
            <w:r w:rsidRPr="000D091E">
              <w:rPr>
                <w:rFonts w:ascii="Century Gothic" w:hAnsi="Century Gothic"/>
                <w:sz w:val="22"/>
                <w:szCs w:val="22"/>
              </w:rPr>
              <w:t>Remoto</w:t>
            </w:r>
          </w:p>
        </w:tc>
      </w:tr>
      <w:tr w:rsidR="008A065A" w:rsidRPr="000D091E" w14:paraId="633B6EC4" w14:textId="77777777" w:rsidTr="00424A16">
        <w:trPr>
          <w:trHeight w:val="352"/>
        </w:trPr>
        <w:tc>
          <w:tcPr>
            <w:tcW w:w="3687" w:type="dxa"/>
          </w:tcPr>
          <w:p w14:paraId="58E14B58" w14:textId="77777777" w:rsidR="00BC14B6" w:rsidRPr="000D091E" w:rsidRDefault="00BC14B6" w:rsidP="00210131">
            <w:pPr>
              <w:rPr>
                <w:rFonts w:ascii="Century Gothic" w:hAnsi="Century Gothic"/>
                <w:sz w:val="22"/>
                <w:szCs w:val="22"/>
              </w:rPr>
            </w:pPr>
            <w:r w:rsidRPr="000D091E">
              <w:rPr>
                <w:rFonts w:ascii="Century Gothic" w:hAnsi="Century Gothic"/>
                <w:sz w:val="22"/>
                <w:szCs w:val="22"/>
              </w:rPr>
              <w:t xml:space="preserve">Reserva sugerida: </w:t>
            </w:r>
          </w:p>
        </w:tc>
        <w:tc>
          <w:tcPr>
            <w:tcW w:w="6520" w:type="dxa"/>
          </w:tcPr>
          <w:p w14:paraId="561448D8" w14:textId="3064B403" w:rsidR="00BC14B6" w:rsidRPr="000D091E" w:rsidRDefault="00BC14B6" w:rsidP="00210131">
            <w:pPr>
              <w:rPr>
                <w:rFonts w:ascii="Century Gothic" w:hAnsi="Century Gothic"/>
                <w:sz w:val="22"/>
                <w:szCs w:val="22"/>
              </w:rPr>
            </w:pPr>
            <w:r w:rsidRPr="000D091E">
              <w:rPr>
                <w:rFonts w:ascii="Century Gothic" w:hAnsi="Century Gothic"/>
                <w:sz w:val="22"/>
                <w:szCs w:val="22"/>
              </w:rPr>
              <w:t>$</w:t>
            </w:r>
            <w:r w:rsidR="00A26A6B" w:rsidRPr="000D091E">
              <w:rPr>
                <w:rFonts w:ascii="Century Gothic" w:hAnsi="Century Gothic"/>
                <w:sz w:val="22"/>
                <w:szCs w:val="22"/>
              </w:rPr>
              <w:t>384.132.000</w:t>
            </w:r>
            <w:r w:rsidRPr="000D091E">
              <w:rPr>
                <w:rFonts w:ascii="Century Gothic" w:hAnsi="Century Gothic"/>
                <w:sz w:val="22"/>
                <w:szCs w:val="22"/>
              </w:rPr>
              <w:t xml:space="preserve"> (40% de la liquidación objetiva)</w:t>
            </w:r>
          </w:p>
        </w:tc>
      </w:tr>
      <w:tr w:rsidR="008A065A" w:rsidRPr="000D091E" w14:paraId="1E9452CD" w14:textId="77777777" w:rsidTr="00210131">
        <w:tc>
          <w:tcPr>
            <w:tcW w:w="10207" w:type="dxa"/>
            <w:gridSpan w:val="2"/>
            <w:shd w:val="clear" w:color="auto" w:fill="B3E5A1" w:themeFill="accent6" w:themeFillTint="66"/>
            <w:vAlign w:val="center"/>
          </w:tcPr>
          <w:p w14:paraId="7A154F68" w14:textId="77777777" w:rsidR="00BC14B6" w:rsidRPr="000D091E" w:rsidRDefault="00BC14B6" w:rsidP="00210131">
            <w:pPr>
              <w:jc w:val="center"/>
              <w:rPr>
                <w:rFonts w:ascii="Century Gothic" w:hAnsi="Century Gothic"/>
                <w:sz w:val="22"/>
                <w:szCs w:val="22"/>
              </w:rPr>
            </w:pPr>
            <w:r w:rsidRPr="000D091E">
              <w:rPr>
                <w:rFonts w:ascii="Century Gothic" w:hAnsi="Century Gothic"/>
                <w:sz w:val="22"/>
                <w:szCs w:val="22"/>
              </w:rPr>
              <w:t>Concepto del apoderado</w:t>
            </w:r>
          </w:p>
        </w:tc>
      </w:tr>
      <w:tr w:rsidR="008A065A" w:rsidRPr="000D091E" w14:paraId="04ADF9D1" w14:textId="77777777" w:rsidTr="00210131">
        <w:trPr>
          <w:trHeight w:val="3401"/>
        </w:trPr>
        <w:tc>
          <w:tcPr>
            <w:tcW w:w="10207" w:type="dxa"/>
            <w:gridSpan w:val="2"/>
            <w:vAlign w:val="center"/>
          </w:tcPr>
          <w:p w14:paraId="3B394C6D" w14:textId="77777777" w:rsidR="00BC14B6" w:rsidRPr="000D091E" w:rsidRDefault="00BC14B6" w:rsidP="00210131">
            <w:pPr>
              <w:shd w:val="clear" w:color="auto" w:fill="FFFFFF"/>
              <w:jc w:val="both"/>
              <w:textAlignment w:val="baseline"/>
              <w:rPr>
                <w:rFonts w:ascii="Century Gothic" w:hAnsi="Century Gothic"/>
                <w:sz w:val="22"/>
                <w:szCs w:val="22"/>
              </w:rPr>
            </w:pPr>
          </w:p>
          <w:p w14:paraId="2035D627" w14:textId="77777777" w:rsidR="00BC14B6" w:rsidRPr="000D091E" w:rsidRDefault="00BC14B6" w:rsidP="00210131">
            <w:pPr>
              <w:jc w:val="both"/>
              <w:rPr>
                <w:rFonts w:ascii="Century Gothic" w:hAnsi="Century Gothic"/>
                <w:sz w:val="22"/>
                <w:szCs w:val="22"/>
              </w:rPr>
            </w:pPr>
            <w:r w:rsidRPr="000D091E">
              <w:rPr>
                <w:rFonts w:ascii="Century Gothic" w:hAnsi="Century Gothic"/>
                <w:sz w:val="22"/>
                <w:szCs w:val="22"/>
              </w:rPr>
              <w:t>La contingencia se califica como REMOTA teniendo en cuenta que la acción derivada del contrato de seguro se encuentra prescrita.</w:t>
            </w:r>
          </w:p>
          <w:p w14:paraId="4C6566DE" w14:textId="77777777" w:rsidR="00BC14B6" w:rsidRPr="000D091E" w:rsidRDefault="00BC14B6" w:rsidP="00210131">
            <w:pPr>
              <w:jc w:val="both"/>
              <w:rPr>
                <w:rFonts w:ascii="Century Gothic" w:hAnsi="Century Gothic"/>
                <w:sz w:val="22"/>
                <w:szCs w:val="22"/>
              </w:rPr>
            </w:pPr>
          </w:p>
          <w:p w14:paraId="69281E2D" w14:textId="68F474F9" w:rsidR="00BC14B6" w:rsidRPr="000D091E" w:rsidRDefault="00BC14B6" w:rsidP="00210131">
            <w:pPr>
              <w:jc w:val="both"/>
              <w:rPr>
                <w:rFonts w:ascii="Century Gothic" w:hAnsi="Century Gothic"/>
                <w:sz w:val="22"/>
                <w:szCs w:val="22"/>
              </w:rPr>
            </w:pPr>
            <w:r w:rsidRPr="000D091E">
              <w:rPr>
                <w:rFonts w:ascii="Century Gothic" w:hAnsi="Century Gothic"/>
                <w:sz w:val="22"/>
                <w:szCs w:val="22"/>
              </w:rPr>
              <w:t xml:space="preserve">Lo primero que debe tomarse en consideración, es que en el presente proceso se vinculó a la compañía aseguradora con ocasión al contrato de seguro No. </w:t>
            </w:r>
            <w:r w:rsidR="00B53D33" w:rsidRPr="000D091E">
              <w:rPr>
                <w:rFonts w:ascii="Century Gothic" w:hAnsi="Century Gothic" w:cs="Segoe UI"/>
                <w:sz w:val="22"/>
                <w:szCs w:val="22"/>
                <w:lang w:val="es-CO" w:eastAsia="es-CO"/>
              </w:rPr>
              <w:t>A</w:t>
            </w:r>
            <w:r w:rsidR="0010151E" w:rsidRPr="000D091E">
              <w:rPr>
                <w:rFonts w:ascii="Century Gothic" w:hAnsi="Century Gothic" w:cs="Segoe UI"/>
                <w:sz w:val="22"/>
                <w:szCs w:val="22"/>
                <w:lang w:val="es-CO" w:eastAsia="es-CO"/>
              </w:rPr>
              <w:t>A195705</w:t>
            </w:r>
            <w:r w:rsidR="00B53D33" w:rsidRPr="000D091E">
              <w:rPr>
                <w:rFonts w:ascii="Century Gothic" w:hAnsi="Century Gothic" w:cs="Segoe UI"/>
                <w:sz w:val="22"/>
                <w:szCs w:val="22"/>
                <w:lang w:val="es-CO" w:eastAsia="es-CO"/>
              </w:rPr>
              <w:t xml:space="preserve"> </w:t>
            </w:r>
            <w:r w:rsidRPr="000D091E">
              <w:rPr>
                <w:rFonts w:ascii="Century Gothic" w:hAnsi="Century Gothic"/>
                <w:sz w:val="22"/>
                <w:szCs w:val="22"/>
              </w:rPr>
              <w:t xml:space="preserve">cuyo tomador es </w:t>
            </w:r>
            <w:r w:rsidR="00B53D33" w:rsidRPr="000D091E">
              <w:rPr>
                <w:rFonts w:ascii="Century Gothic" w:hAnsi="Century Gothic" w:cs="Segoe UI"/>
                <w:bCs/>
                <w:sz w:val="22"/>
                <w:szCs w:val="22"/>
                <w:lang w:eastAsia="es-CO"/>
              </w:rPr>
              <w:t xml:space="preserve">la COMPAÑÍA DE MEDICINA PREPAGADA COLSANITAS SA </w:t>
            </w:r>
            <w:r w:rsidRPr="000D091E">
              <w:rPr>
                <w:rFonts w:ascii="Century Gothic" w:hAnsi="Century Gothic"/>
                <w:sz w:val="22"/>
                <w:szCs w:val="22"/>
              </w:rPr>
              <w:t>y como asegurada</w:t>
            </w:r>
            <w:r w:rsidR="00B53D33" w:rsidRPr="000D091E">
              <w:rPr>
                <w:rFonts w:ascii="Century Gothic" w:hAnsi="Century Gothic"/>
                <w:sz w:val="22"/>
                <w:szCs w:val="22"/>
              </w:rPr>
              <w:t xml:space="preserve"> la misma entidad</w:t>
            </w:r>
            <w:r w:rsidRPr="000D091E">
              <w:rPr>
                <w:rFonts w:ascii="Century Gothic" w:hAnsi="Century Gothic"/>
                <w:sz w:val="22"/>
                <w:szCs w:val="22"/>
              </w:rPr>
              <w:t xml:space="preserve">. Dicha póliza presta cobertura material y temporal, de conformidad con los hechos y pretensiones de la demanda. Frente a la cobertura temporal debe señalarse que </w:t>
            </w:r>
            <w:r w:rsidR="00B53D33" w:rsidRPr="000D091E">
              <w:rPr>
                <w:rFonts w:ascii="Century Gothic" w:hAnsi="Century Gothic"/>
                <w:sz w:val="22"/>
                <w:szCs w:val="22"/>
              </w:rPr>
              <w:t>la</w:t>
            </w:r>
            <w:r w:rsidR="00106BE8" w:rsidRPr="000D091E">
              <w:rPr>
                <w:rFonts w:ascii="Century Gothic" w:hAnsi="Century Gothic"/>
                <w:sz w:val="22"/>
                <w:szCs w:val="22"/>
              </w:rPr>
              <w:t xml:space="preserve"> </w:t>
            </w:r>
            <w:r w:rsidR="00DE4DE0" w:rsidRPr="000D091E">
              <w:rPr>
                <w:rFonts w:ascii="Century Gothic" w:hAnsi="Century Gothic"/>
                <w:sz w:val="22"/>
                <w:szCs w:val="22"/>
              </w:rPr>
              <w:t xml:space="preserve">póliza se </w:t>
            </w:r>
            <w:r w:rsidR="00106BE8" w:rsidRPr="000D091E">
              <w:rPr>
                <w:rFonts w:ascii="Century Gothic" w:hAnsi="Century Gothic"/>
                <w:sz w:val="22"/>
                <w:szCs w:val="22"/>
              </w:rPr>
              <w:t xml:space="preserve">expidió bajo la modalidad </w:t>
            </w:r>
            <w:proofErr w:type="spellStart"/>
            <w:r w:rsidR="00106BE8" w:rsidRPr="000D091E">
              <w:rPr>
                <w:rFonts w:ascii="Century Gothic" w:hAnsi="Century Gothic"/>
                <w:sz w:val="22"/>
                <w:szCs w:val="22"/>
              </w:rPr>
              <w:t>claims</w:t>
            </w:r>
            <w:proofErr w:type="spellEnd"/>
            <w:r w:rsidR="00106BE8" w:rsidRPr="000D091E">
              <w:rPr>
                <w:rFonts w:ascii="Century Gothic" w:hAnsi="Century Gothic"/>
                <w:sz w:val="22"/>
                <w:szCs w:val="22"/>
              </w:rPr>
              <w:t xml:space="preserve"> </w:t>
            </w:r>
            <w:proofErr w:type="spellStart"/>
            <w:r w:rsidR="00106BE8" w:rsidRPr="000D091E">
              <w:rPr>
                <w:rFonts w:ascii="Century Gothic" w:hAnsi="Century Gothic"/>
                <w:sz w:val="22"/>
                <w:szCs w:val="22"/>
              </w:rPr>
              <w:t>made</w:t>
            </w:r>
            <w:proofErr w:type="spellEnd"/>
            <w:r w:rsidR="00DE4DE0" w:rsidRPr="000D091E">
              <w:rPr>
                <w:rFonts w:ascii="Century Gothic" w:hAnsi="Century Gothic"/>
                <w:sz w:val="22"/>
                <w:szCs w:val="22"/>
              </w:rPr>
              <w:t xml:space="preserve"> y en este caso se reúnen los dos presupuestos de cobertura, teni</w:t>
            </w:r>
            <w:r w:rsidR="00FB1E9F" w:rsidRPr="000D091E">
              <w:rPr>
                <w:rFonts w:ascii="Century Gothic" w:hAnsi="Century Gothic"/>
                <w:sz w:val="22"/>
                <w:szCs w:val="22"/>
              </w:rPr>
              <w:t>en</w:t>
            </w:r>
            <w:r w:rsidR="00DE4DE0" w:rsidRPr="000D091E">
              <w:rPr>
                <w:rFonts w:ascii="Century Gothic" w:hAnsi="Century Gothic"/>
                <w:sz w:val="22"/>
                <w:szCs w:val="22"/>
              </w:rPr>
              <w:t xml:space="preserve">do en </w:t>
            </w:r>
            <w:r w:rsidR="00FB1E9F" w:rsidRPr="000D091E">
              <w:rPr>
                <w:rFonts w:ascii="Century Gothic" w:hAnsi="Century Gothic"/>
                <w:sz w:val="22"/>
                <w:szCs w:val="22"/>
              </w:rPr>
              <w:t xml:space="preserve">cuenta </w:t>
            </w:r>
            <w:r w:rsidR="00DE4DE0" w:rsidRPr="000D091E">
              <w:rPr>
                <w:rFonts w:ascii="Century Gothic" w:hAnsi="Century Gothic"/>
                <w:sz w:val="22"/>
                <w:szCs w:val="22"/>
              </w:rPr>
              <w:t>que</w:t>
            </w:r>
            <w:r w:rsidR="00FB1E9F" w:rsidRPr="000D091E">
              <w:rPr>
                <w:rFonts w:ascii="Century Gothic" w:hAnsi="Century Gothic"/>
                <w:sz w:val="22"/>
                <w:szCs w:val="22"/>
              </w:rPr>
              <w:t xml:space="preserve"> el hecho, esto es, las</w:t>
            </w:r>
            <w:r w:rsidR="00DE4DE0" w:rsidRPr="000D091E">
              <w:rPr>
                <w:rFonts w:ascii="Century Gothic" w:hAnsi="Century Gothic"/>
                <w:sz w:val="22"/>
                <w:szCs w:val="22"/>
              </w:rPr>
              <w:t xml:space="preserve"> </w:t>
            </w:r>
            <w:r w:rsidR="00B53D33" w:rsidRPr="000D091E">
              <w:rPr>
                <w:rFonts w:ascii="Century Gothic" w:hAnsi="Century Gothic"/>
                <w:sz w:val="22"/>
                <w:szCs w:val="22"/>
              </w:rPr>
              <w:t xml:space="preserve">lesiones de la señora YEIKA PATRICIA SUAREZ AGAMEZ </w:t>
            </w:r>
            <w:r w:rsidR="0076455D" w:rsidRPr="000D091E">
              <w:rPr>
                <w:rFonts w:ascii="Century Gothic" w:hAnsi="Century Gothic"/>
                <w:sz w:val="22"/>
                <w:szCs w:val="22"/>
              </w:rPr>
              <w:t xml:space="preserve">ocurrieron </w:t>
            </w:r>
            <w:r w:rsidR="00766DF1" w:rsidRPr="000D091E">
              <w:rPr>
                <w:rFonts w:ascii="Century Gothic" w:hAnsi="Century Gothic"/>
                <w:sz w:val="22"/>
                <w:szCs w:val="22"/>
              </w:rPr>
              <w:t xml:space="preserve">el </w:t>
            </w:r>
            <w:r w:rsidR="00B53D33" w:rsidRPr="000D091E">
              <w:rPr>
                <w:rFonts w:ascii="Century Gothic" w:hAnsi="Century Gothic"/>
                <w:sz w:val="22"/>
                <w:szCs w:val="22"/>
              </w:rPr>
              <w:t>10 de julio de 2020</w:t>
            </w:r>
            <w:r w:rsidRPr="000D091E">
              <w:rPr>
                <w:rFonts w:ascii="Century Gothic" w:hAnsi="Century Gothic"/>
                <w:sz w:val="22"/>
                <w:szCs w:val="22"/>
              </w:rPr>
              <w:t>,</w:t>
            </w:r>
            <w:r w:rsidR="00B53D33" w:rsidRPr="000D091E">
              <w:rPr>
                <w:rFonts w:ascii="Century Gothic" w:hAnsi="Century Gothic"/>
                <w:sz w:val="22"/>
                <w:szCs w:val="22"/>
              </w:rPr>
              <w:t xml:space="preserve"> </w:t>
            </w:r>
            <w:r w:rsidR="0072744A" w:rsidRPr="000D091E">
              <w:rPr>
                <w:rFonts w:ascii="Century Gothic" w:hAnsi="Century Gothic"/>
                <w:sz w:val="22"/>
                <w:szCs w:val="22"/>
              </w:rPr>
              <w:t xml:space="preserve">dentro del periodo de retroactividad, </w:t>
            </w:r>
            <w:r w:rsidR="00B53D33" w:rsidRPr="000D091E">
              <w:rPr>
                <w:rFonts w:ascii="Century Gothic" w:hAnsi="Century Gothic"/>
                <w:sz w:val="22"/>
                <w:szCs w:val="22"/>
              </w:rPr>
              <w:t>así mismo, la reclamación de la demandante ante SANITAS EPS ocurrió el día 25 de marzo de 2021</w:t>
            </w:r>
            <w:r w:rsidR="00BB3F78" w:rsidRPr="000D091E">
              <w:rPr>
                <w:rFonts w:ascii="Century Gothic" w:hAnsi="Century Gothic"/>
                <w:sz w:val="22"/>
                <w:szCs w:val="22"/>
              </w:rPr>
              <w:t>, es decir, dentro</w:t>
            </w:r>
            <w:r w:rsidRPr="000D091E">
              <w:rPr>
                <w:rFonts w:ascii="Century Gothic" w:hAnsi="Century Gothic"/>
                <w:sz w:val="22"/>
                <w:szCs w:val="22"/>
              </w:rPr>
              <w:t xml:space="preserve"> de la vigencia de la póliza</w:t>
            </w:r>
            <w:r w:rsidR="00BB3F78" w:rsidRPr="000D091E">
              <w:rPr>
                <w:rFonts w:ascii="Century Gothic" w:hAnsi="Century Gothic"/>
                <w:sz w:val="22"/>
                <w:szCs w:val="22"/>
              </w:rPr>
              <w:t xml:space="preserve"> comprendida</w:t>
            </w:r>
            <w:r w:rsidR="00B53D33" w:rsidRPr="000D091E">
              <w:rPr>
                <w:rFonts w:ascii="Century Gothic" w:hAnsi="Century Gothic"/>
                <w:sz w:val="22"/>
                <w:szCs w:val="22"/>
              </w:rPr>
              <w:t xml:space="preserve"> </w:t>
            </w:r>
            <w:r w:rsidR="00BB3F78" w:rsidRPr="000D091E">
              <w:rPr>
                <w:rFonts w:ascii="Century Gothic" w:hAnsi="Century Gothic"/>
                <w:sz w:val="22"/>
                <w:szCs w:val="22"/>
              </w:rPr>
              <w:t xml:space="preserve">entre </w:t>
            </w:r>
            <w:r w:rsidR="00B53D33" w:rsidRPr="000D091E">
              <w:rPr>
                <w:rFonts w:ascii="Century Gothic" w:hAnsi="Century Gothic"/>
                <w:sz w:val="22"/>
                <w:szCs w:val="22"/>
              </w:rPr>
              <w:t>14 de septiembre de 2020 al 14 de septiembre de 2021</w:t>
            </w:r>
            <w:r w:rsidR="0072744A" w:rsidRPr="000D091E">
              <w:rPr>
                <w:rFonts w:ascii="Century Gothic" w:hAnsi="Century Gothic"/>
                <w:sz w:val="22"/>
                <w:szCs w:val="22"/>
              </w:rPr>
              <w:t>.</w:t>
            </w:r>
            <w:r w:rsidRPr="000D091E">
              <w:rPr>
                <w:rFonts w:ascii="Century Gothic" w:hAnsi="Century Gothic"/>
                <w:sz w:val="22"/>
                <w:szCs w:val="22"/>
              </w:rPr>
              <w:t xml:space="preserve"> Aunado a ello, presta cobertura material en tanto ampara la</w:t>
            </w:r>
            <w:r w:rsidR="00B53D33" w:rsidRPr="000D091E">
              <w:rPr>
                <w:rFonts w:ascii="Century Gothic" w:hAnsi="Century Gothic"/>
                <w:sz w:val="22"/>
                <w:szCs w:val="22"/>
              </w:rPr>
              <w:t xml:space="preserve"> responsabilidad civil de clínicas </w:t>
            </w:r>
            <w:r w:rsidR="00766DF1" w:rsidRPr="000D091E">
              <w:rPr>
                <w:rFonts w:ascii="Century Gothic" w:hAnsi="Century Gothic"/>
                <w:sz w:val="22"/>
                <w:szCs w:val="22"/>
              </w:rPr>
              <w:t>hospitales,</w:t>
            </w:r>
            <w:r w:rsidRPr="000D091E">
              <w:rPr>
                <w:rFonts w:ascii="Century Gothic" w:hAnsi="Century Gothic"/>
                <w:sz w:val="22"/>
                <w:szCs w:val="22"/>
              </w:rPr>
              <w:t xml:space="preserve"> pretensión que se endilga en la demanda.</w:t>
            </w:r>
          </w:p>
          <w:p w14:paraId="431A81C9" w14:textId="77777777" w:rsidR="00BC14B6" w:rsidRPr="000D091E" w:rsidRDefault="00BC14B6" w:rsidP="00210131">
            <w:pPr>
              <w:jc w:val="both"/>
              <w:rPr>
                <w:rFonts w:ascii="Century Gothic" w:hAnsi="Century Gothic"/>
                <w:sz w:val="22"/>
                <w:szCs w:val="22"/>
              </w:rPr>
            </w:pPr>
          </w:p>
          <w:p w14:paraId="6C50D318" w14:textId="5881DC25" w:rsidR="000F768F" w:rsidRPr="000D091E" w:rsidRDefault="00BC14B6" w:rsidP="00210131">
            <w:pPr>
              <w:jc w:val="both"/>
              <w:rPr>
                <w:rFonts w:ascii="Century Gothic" w:hAnsi="Century Gothic"/>
                <w:sz w:val="22"/>
                <w:szCs w:val="22"/>
              </w:rPr>
            </w:pPr>
            <w:r w:rsidRPr="000D091E">
              <w:rPr>
                <w:rFonts w:ascii="Century Gothic" w:hAnsi="Century Gothic"/>
                <w:sz w:val="22"/>
                <w:szCs w:val="22"/>
              </w:rPr>
              <w:lastRenderedPageBreak/>
              <w:t>Pese a lo anterior, Equidad Seguros de Vida O.C. no tendrá obligación de pago en este caso, como quiera que la acción derivada del contrato de seguro se encuentra prescrita</w:t>
            </w:r>
            <w:r w:rsidR="00B53D33" w:rsidRPr="000D091E">
              <w:rPr>
                <w:rFonts w:ascii="Century Gothic" w:hAnsi="Century Gothic"/>
                <w:sz w:val="22"/>
                <w:szCs w:val="22"/>
              </w:rPr>
              <w:t xml:space="preserve">, dado que, la victima presentó la solicitud de conciliación extrajudicial  y la audiencia se llevó </w:t>
            </w:r>
            <w:r w:rsidR="0076455D" w:rsidRPr="000D091E">
              <w:rPr>
                <w:rFonts w:ascii="Century Gothic" w:hAnsi="Century Gothic"/>
                <w:sz w:val="22"/>
                <w:szCs w:val="22"/>
              </w:rPr>
              <w:t>a cabo</w:t>
            </w:r>
            <w:r w:rsidR="00B53D33" w:rsidRPr="000D091E">
              <w:rPr>
                <w:rFonts w:ascii="Century Gothic" w:hAnsi="Century Gothic"/>
                <w:sz w:val="22"/>
                <w:szCs w:val="22"/>
              </w:rPr>
              <w:t xml:space="preserve"> el 6 de abril de 2021, donde se convocó a la </w:t>
            </w:r>
            <w:r w:rsidR="009A2F56" w:rsidRPr="000D091E">
              <w:rPr>
                <w:rFonts w:ascii="Century Gothic" w:hAnsi="Century Gothic"/>
                <w:sz w:val="22"/>
                <w:szCs w:val="22"/>
              </w:rPr>
              <w:t>EM</w:t>
            </w:r>
            <w:r w:rsidR="00B53D33" w:rsidRPr="000D091E">
              <w:rPr>
                <w:rFonts w:ascii="Century Gothic" w:hAnsi="Century Gothic"/>
                <w:sz w:val="22"/>
                <w:szCs w:val="22"/>
              </w:rPr>
              <w:t xml:space="preserve">PRESA PROMOTORA DE SALUD- SANITAS EPS por lo que, es claro que desde la precitada fecha el asegurado tuvo conocimiento de la ocurrencia del siniestro, según lo regulado en el </w:t>
            </w:r>
            <w:r w:rsidR="0076455D" w:rsidRPr="000D091E">
              <w:rPr>
                <w:rFonts w:ascii="Century Gothic" w:hAnsi="Century Gothic"/>
                <w:sz w:val="22"/>
                <w:szCs w:val="22"/>
              </w:rPr>
              <w:t>artículo</w:t>
            </w:r>
            <w:r w:rsidR="00B53D33" w:rsidRPr="000D091E">
              <w:rPr>
                <w:rFonts w:ascii="Century Gothic" w:hAnsi="Century Gothic"/>
                <w:sz w:val="22"/>
                <w:szCs w:val="22"/>
              </w:rPr>
              <w:t xml:space="preserve"> 1131 del código  de comercio, fecha y circunstancia que marca el hito de la prescripción bienal regulada, por lo que el asegurado tenía hasta el 6 de abril de 202</w:t>
            </w:r>
            <w:r w:rsidR="000F768F" w:rsidRPr="000D091E">
              <w:rPr>
                <w:rFonts w:ascii="Century Gothic" w:hAnsi="Century Gothic"/>
                <w:sz w:val="22"/>
                <w:szCs w:val="22"/>
              </w:rPr>
              <w:t>3</w:t>
            </w:r>
            <w:r w:rsidR="00B53D33" w:rsidRPr="000D091E">
              <w:rPr>
                <w:rFonts w:ascii="Century Gothic" w:hAnsi="Century Gothic"/>
                <w:sz w:val="22"/>
                <w:szCs w:val="22"/>
              </w:rPr>
              <w:t xml:space="preserve">, para presentar la reclamación ante mi representada. No obstante, el llamamiento en garantía solo se realizó </w:t>
            </w:r>
            <w:r w:rsidR="000F768F" w:rsidRPr="000D091E">
              <w:rPr>
                <w:rFonts w:ascii="Century Gothic" w:hAnsi="Century Gothic"/>
                <w:sz w:val="22"/>
                <w:szCs w:val="22"/>
              </w:rPr>
              <w:t>h</w:t>
            </w:r>
            <w:r w:rsidR="00B53D33" w:rsidRPr="000D091E">
              <w:rPr>
                <w:rFonts w:ascii="Century Gothic" w:hAnsi="Century Gothic"/>
                <w:sz w:val="22"/>
                <w:szCs w:val="22"/>
              </w:rPr>
              <w:t>ast</w:t>
            </w:r>
            <w:r w:rsidR="000F768F" w:rsidRPr="000D091E">
              <w:rPr>
                <w:rFonts w:ascii="Century Gothic" w:hAnsi="Century Gothic"/>
                <w:sz w:val="22"/>
                <w:szCs w:val="22"/>
              </w:rPr>
              <w:t>a</w:t>
            </w:r>
            <w:r w:rsidR="00B53D33" w:rsidRPr="000D091E">
              <w:rPr>
                <w:rFonts w:ascii="Century Gothic" w:hAnsi="Century Gothic"/>
                <w:sz w:val="22"/>
                <w:szCs w:val="22"/>
              </w:rPr>
              <w:t xml:space="preserve"> el 19 de noviembre de 2024, es decir un año y siete meses después, dando lugar a la configuración del fenómeno prescriptivo</w:t>
            </w:r>
            <w:r w:rsidR="000F768F" w:rsidRPr="000D091E">
              <w:rPr>
                <w:rFonts w:ascii="Century Gothic" w:hAnsi="Century Gothic"/>
                <w:sz w:val="22"/>
                <w:szCs w:val="22"/>
              </w:rPr>
              <w:t>.</w:t>
            </w:r>
          </w:p>
          <w:p w14:paraId="2610B28D" w14:textId="77777777" w:rsidR="00BC14B6" w:rsidRPr="000D091E" w:rsidRDefault="00BC14B6" w:rsidP="00210131">
            <w:pPr>
              <w:jc w:val="both"/>
              <w:rPr>
                <w:rFonts w:ascii="Century Gothic" w:hAnsi="Century Gothic"/>
                <w:sz w:val="22"/>
                <w:szCs w:val="22"/>
              </w:rPr>
            </w:pPr>
          </w:p>
          <w:p w14:paraId="699E9B05" w14:textId="282B4BAE" w:rsidR="002057AA" w:rsidRPr="000D091E" w:rsidRDefault="00BC14B6" w:rsidP="002057AA">
            <w:pPr>
              <w:jc w:val="both"/>
              <w:rPr>
                <w:rFonts w:ascii="Century Gothic" w:hAnsi="Century Gothic"/>
                <w:sz w:val="22"/>
                <w:szCs w:val="22"/>
              </w:rPr>
            </w:pPr>
            <w:r w:rsidRPr="000D091E">
              <w:rPr>
                <w:rFonts w:ascii="Century Gothic" w:hAnsi="Century Gothic"/>
                <w:sz w:val="22"/>
                <w:szCs w:val="22"/>
              </w:rPr>
              <w:t xml:space="preserve">Lo anterior sin perjuicio del carácter contingente del proceso.  </w:t>
            </w:r>
          </w:p>
        </w:tc>
      </w:tr>
      <w:tr w:rsidR="008A065A" w:rsidRPr="000D091E" w14:paraId="76E1921C" w14:textId="77777777" w:rsidTr="00210131">
        <w:trPr>
          <w:trHeight w:val="1104"/>
        </w:trPr>
        <w:tc>
          <w:tcPr>
            <w:tcW w:w="10207" w:type="dxa"/>
            <w:gridSpan w:val="2"/>
            <w:vAlign w:val="center"/>
          </w:tcPr>
          <w:p w14:paraId="21558917" w14:textId="77777777" w:rsidR="00BC14B6" w:rsidRPr="000D091E" w:rsidRDefault="00BC14B6" w:rsidP="00210131">
            <w:pPr>
              <w:jc w:val="center"/>
              <w:rPr>
                <w:rFonts w:ascii="Century Gothic" w:hAnsi="Century Gothic"/>
                <w:sz w:val="22"/>
                <w:szCs w:val="22"/>
              </w:rPr>
            </w:pPr>
            <w:r w:rsidRPr="000D091E">
              <w:rPr>
                <w:rFonts w:ascii="Century Gothic" w:hAnsi="Century Gothic"/>
                <w:sz w:val="22"/>
                <w:szCs w:val="22"/>
              </w:rPr>
              <w:lastRenderedPageBreak/>
              <w:t>GUSTAVO ALBERTO HERRERA ÁVILA</w:t>
            </w:r>
          </w:p>
          <w:p w14:paraId="6978F9BD" w14:textId="77777777" w:rsidR="00BC14B6" w:rsidRPr="000D091E" w:rsidRDefault="00BC14B6" w:rsidP="00210131">
            <w:pPr>
              <w:jc w:val="center"/>
              <w:rPr>
                <w:rFonts w:ascii="Century Gothic" w:hAnsi="Century Gothic"/>
                <w:sz w:val="22"/>
                <w:szCs w:val="22"/>
              </w:rPr>
            </w:pPr>
            <w:r w:rsidRPr="000D091E">
              <w:rPr>
                <w:rFonts w:ascii="Century Gothic" w:hAnsi="Century Gothic"/>
                <w:sz w:val="22"/>
                <w:szCs w:val="22"/>
              </w:rPr>
              <w:t xml:space="preserve">C.C. </w:t>
            </w:r>
            <w:proofErr w:type="spellStart"/>
            <w:r w:rsidRPr="000D091E">
              <w:rPr>
                <w:rFonts w:ascii="Century Gothic" w:hAnsi="Century Gothic"/>
                <w:sz w:val="22"/>
                <w:szCs w:val="22"/>
              </w:rPr>
              <w:t>Nº</w:t>
            </w:r>
            <w:proofErr w:type="spellEnd"/>
            <w:r w:rsidRPr="000D091E">
              <w:rPr>
                <w:rFonts w:ascii="Century Gothic" w:hAnsi="Century Gothic"/>
                <w:sz w:val="22"/>
                <w:szCs w:val="22"/>
              </w:rPr>
              <w:t xml:space="preserve"> 19.395.114 de Bogotá</w:t>
            </w:r>
          </w:p>
          <w:p w14:paraId="6111C550" w14:textId="77777777" w:rsidR="00BC14B6" w:rsidRPr="000D091E" w:rsidRDefault="00BC14B6" w:rsidP="00210131">
            <w:pPr>
              <w:jc w:val="center"/>
              <w:rPr>
                <w:rFonts w:ascii="Century Gothic" w:hAnsi="Century Gothic"/>
                <w:sz w:val="22"/>
                <w:szCs w:val="22"/>
              </w:rPr>
            </w:pPr>
            <w:r w:rsidRPr="000D091E">
              <w:rPr>
                <w:rFonts w:ascii="Century Gothic" w:hAnsi="Century Gothic"/>
                <w:sz w:val="22"/>
                <w:szCs w:val="22"/>
              </w:rPr>
              <w:t xml:space="preserve">T.P. </w:t>
            </w:r>
            <w:proofErr w:type="spellStart"/>
            <w:r w:rsidRPr="000D091E">
              <w:rPr>
                <w:rFonts w:ascii="Century Gothic" w:hAnsi="Century Gothic"/>
                <w:sz w:val="22"/>
                <w:szCs w:val="22"/>
              </w:rPr>
              <w:t>N°</w:t>
            </w:r>
            <w:proofErr w:type="spellEnd"/>
            <w:r w:rsidRPr="000D091E">
              <w:rPr>
                <w:rFonts w:ascii="Century Gothic" w:hAnsi="Century Gothic"/>
                <w:sz w:val="22"/>
                <w:szCs w:val="22"/>
              </w:rPr>
              <w:t xml:space="preserve"> 39.116 del C. S. de la J.</w:t>
            </w:r>
          </w:p>
          <w:p w14:paraId="01CB7F5C" w14:textId="77777777" w:rsidR="00BC14B6" w:rsidRPr="000D091E" w:rsidRDefault="00BC14B6" w:rsidP="00210131">
            <w:pPr>
              <w:jc w:val="center"/>
              <w:rPr>
                <w:rFonts w:ascii="Century Gothic" w:hAnsi="Century Gothic"/>
                <w:sz w:val="22"/>
                <w:szCs w:val="22"/>
              </w:rPr>
            </w:pPr>
          </w:p>
        </w:tc>
      </w:tr>
    </w:tbl>
    <w:p w14:paraId="46AF2406" w14:textId="77777777" w:rsidR="00BC14B6" w:rsidRPr="008A065A" w:rsidRDefault="00BC14B6" w:rsidP="00BC14B6">
      <w:pPr>
        <w:rPr>
          <w:rFonts w:ascii="Century Gothic" w:hAnsi="Century Gothic"/>
          <w:sz w:val="22"/>
          <w:szCs w:val="22"/>
        </w:rPr>
      </w:pPr>
    </w:p>
    <w:p w14:paraId="4805E1A8" w14:textId="77777777" w:rsidR="00BC14B6" w:rsidRPr="008A065A" w:rsidRDefault="00BC14B6" w:rsidP="00BC14B6">
      <w:pPr>
        <w:rPr>
          <w:rFonts w:ascii="Century Gothic" w:hAnsi="Century Gothic"/>
          <w:sz w:val="22"/>
          <w:szCs w:val="22"/>
        </w:rPr>
      </w:pPr>
    </w:p>
    <w:p w14:paraId="43D1A279" w14:textId="77777777" w:rsidR="001B7CA7" w:rsidRPr="008A065A" w:rsidRDefault="001B7CA7"/>
    <w:sectPr w:rsidR="001B7CA7" w:rsidRPr="008A06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E43D2"/>
    <w:multiLevelType w:val="hybridMultilevel"/>
    <w:tmpl w:val="7E90DC62"/>
    <w:lvl w:ilvl="0" w:tplc="203AC214">
      <w:start w:val="1"/>
      <w:numFmt w:val="decimal"/>
      <w:lvlText w:val="%1."/>
      <w:lvlJc w:val="left"/>
      <w:pPr>
        <w:ind w:left="1065" w:hanging="705"/>
      </w:pPr>
      <w:rPr>
        <w:rFonts w:ascii="Century Gothic" w:eastAsiaTheme="minorHAnsi" w:hAnsi="Century Gothic" w:cstheme="minorHAnsi"/>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92968B7"/>
    <w:multiLevelType w:val="hybridMultilevel"/>
    <w:tmpl w:val="904E8FE0"/>
    <w:lvl w:ilvl="0" w:tplc="FFFFFFFF">
      <w:start w:val="1"/>
      <w:numFmt w:val="decimal"/>
      <w:lvlText w:val="%1."/>
      <w:lvlJc w:val="left"/>
      <w:pPr>
        <w:ind w:left="644" w:hanging="360"/>
      </w:pPr>
      <w:rPr>
        <w:rFonts w:ascii="Helvetica" w:eastAsia="Times New Roman" w:hAnsi="Helvetica" w:cs="Times New Roman"/>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 w15:restartNumberingAfterBreak="0">
    <w:nsid w:val="4EAE3400"/>
    <w:multiLevelType w:val="hybridMultilevel"/>
    <w:tmpl w:val="CE0896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22B7A9B"/>
    <w:multiLevelType w:val="hybridMultilevel"/>
    <w:tmpl w:val="558C531C"/>
    <w:lvl w:ilvl="0" w:tplc="240A0001">
      <w:start w:val="1"/>
      <w:numFmt w:val="bullet"/>
      <w:lvlText w:val=""/>
      <w:lvlJc w:val="left"/>
      <w:pPr>
        <w:ind w:left="1850" w:hanging="360"/>
      </w:pPr>
      <w:rPr>
        <w:rFonts w:ascii="Symbol" w:hAnsi="Symbol" w:hint="default"/>
      </w:rPr>
    </w:lvl>
    <w:lvl w:ilvl="1" w:tplc="240A0003" w:tentative="1">
      <w:start w:val="1"/>
      <w:numFmt w:val="bullet"/>
      <w:lvlText w:val="o"/>
      <w:lvlJc w:val="left"/>
      <w:pPr>
        <w:ind w:left="2570" w:hanging="360"/>
      </w:pPr>
      <w:rPr>
        <w:rFonts w:ascii="Courier New" w:hAnsi="Courier New" w:cs="Courier New" w:hint="default"/>
      </w:rPr>
    </w:lvl>
    <w:lvl w:ilvl="2" w:tplc="240A0005" w:tentative="1">
      <w:start w:val="1"/>
      <w:numFmt w:val="bullet"/>
      <w:lvlText w:val=""/>
      <w:lvlJc w:val="left"/>
      <w:pPr>
        <w:ind w:left="3290" w:hanging="360"/>
      </w:pPr>
      <w:rPr>
        <w:rFonts w:ascii="Wingdings" w:hAnsi="Wingdings" w:hint="default"/>
      </w:rPr>
    </w:lvl>
    <w:lvl w:ilvl="3" w:tplc="240A0001" w:tentative="1">
      <w:start w:val="1"/>
      <w:numFmt w:val="bullet"/>
      <w:lvlText w:val=""/>
      <w:lvlJc w:val="left"/>
      <w:pPr>
        <w:ind w:left="4010" w:hanging="360"/>
      </w:pPr>
      <w:rPr>
        <w:rFonts w:ascii="Symbol" w:hAnsi="Symbol" w:hint="default"/>
      </w:rPr>
    </w:lvl>
    <w:lvl w:ilvl="4" w:tplc="240A0003" w:tentative="1">
      <w:start w:val="1"/>
      <w:numFmt w:val="bullet"/>
      <w:lvlText w:val="o"/>
      <w:lvlJc w:val="left"/>
      <w:pPr>
        <w:ind w:left="4730" w:hanging="360"/>
      </w:pPr>
      <w:rPr>
        <w:rFonts w:ascii="Courier New" w:hAnsi="Courier New" w:cs="Courier New" w:hint="default"/>
      </w:rPr>
    </w:lvl>
    <w:lvl w:ilvl="5" w:tplc="240A0005" w:tentative="1">
      <w:start w:val="1"/>
      <w:numFmt w:val="bullet"/>
      <w:lvlText w:val=""/>
      <w:lvlJc w:val="left"/>
      <w:pPr>
        <w:ind w:left="5450" w:hanging="360"/>
      </w:pPr>
      <w:rPr>
        <w:rFonts w:ascii="Wingdings" w:hAnsi="Wingdings" w:hint="default"/>
      </w:rPr>
    </w:lvl>
    <w:lvl w:ilvl="6" w:tplc="240A0001" w:tentative="1">
      <w:start w:val="1"/>
      <w:numFmt w:val="bullet"/>
      <w:lvlText w:val=""/>
      <w:lvlJc w:val="left"/>
      <w:pPr>
        <w:ind w:left="6170" w:hanging="360"/>
      </w:pPr>
      <w:rPr>
        <w:rFonts w:ascii="Symbol" w:hAnsi="Symbol" w:hint="default"/>
      </w:rPr>
    </w:lvl>
    <w:lvl w:ilvl="7" w:tplc="240A0003" w:tentative="1">
      <w:start w:val="1"/>
      <w:numFmt w:val="bullet"/>
      <w:lvlText w:val="o"/>
      <w:lvlJc w:val="left"/>
      <w:pPr>
        <w:ind w:left="6890" w:hanging="360"/>
      </w:pPr>
      <w:rPr>
        <w:rFonts w:ascii="Courier New" w:hAnsi="Courier New" w:cs="Courier New" w:hint="default"/>
      </w:rPr>
    </w:lvl>
    <w:lvl w:ilvl="8" w:tplc="240A0005" w:tentative="1">
      <w:start w:val="1"/>
      <w:numFmt w:val="bullet"/>
      <w:lvlText w:val=""/>
      <w:lvlJc w:val="left"/>
      <w:pPr>
        <w:ind w:left="7610" w:hanging="360"/>
      </w:pPr>
      <w:rPr>
        <w:rFonts w:ascii="Wingdings" w:hAnsi="Wingdings" w:hint="default"/>
      </w:rPr>
    </w:lvl>
  </w:abstractNum>
  <w:num w:numId="1" w16cid:durableId="1271736808">
    <w:abstractNumId w:val="0"/>
  </w:num>
  <w:num w:numId="2" w16cid:durableId="1869294398">
    <w:abstractNumId w:val="1"/>
  </w:num>
  <w:num w:numId="3" w16cid:durableId="613756933">
    <w:abstractNumId w:val="2"/>
  </w:num>
  <w:num w:numId="4" w16cid:durableId="1426656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B6"/>
    <w:rsid w:val="00055EBB"/>
    <w:rsid w:val="000B4EAD"/>
    <w:rsid w:val="000D091E"/>
    <w:rsid w:val="000F768F"/>
    <w:rsid w:val="0010151E"/>
    <w:rsid w:val="00106BE8"/>
    <w:rsid w:val="00182B0E"/>
    <w:rsid w:val="00184E53"/>
    <w:rsid w:val="00190E74"/>
    <w:rsid w:val="001B7CA7"/>
    <w:rsid w:val="001E2C23"/>
    <w:rsid w:val="001F4989"/>
    <w:rsid w:val="002057AA"/>
    <w:rsid w:val="00210131"/>
    <w:rsid w:val="002126B9"/>
    <w:rsid w:val="002B2F92"/>
    <w:rsid w:val="0031520D"/>
    <w:rsid w:val="003321FF"/>
    <w:rsid w:val="0034449F"/>
    <w:rsid w:val="003B3FD6"/>
    <w:rsid w:val="003C68B0"/>
    <w:rsid w:val="003D50C0"/>
    <w:rsid w:val="003E43F1"/>
    <w:rsid w:val="0041516C"/>
    <w:rsid w:val="004152E7"/>
    <w:rsid w:val="00424A16"/>
    <w:rsid w:val="004B7F5F"/>
    <w:rsid w:val="00517F2A"/>
    <w:rsid w:val="005505BE"/>
    <w:rsid w:val="00612842"/>
    <w:rsid w:val="0064729B"/>
    <w:rsid w:val="0067501E"/>
    <w:rsid w:val="006B6106"/>
    <w:rsid w:val="006D01EE"/>
    <w:rsid w:val="006D388A"/>
    <w:rsid w:val="006F303D"/>
    <w:rsid w:val="006F538E"/>
    <w:rsid w:val="006F6364"/>
    <w:rsid w:val="0072744A"/>
    <w:rsid w:val="0076455D"/>
    <w:rsid w:val="00766860"/>
    <w:rsid w:val="00766DF1"/>
    <w:rsid w:val="007A2D3E"/>
    <w:rsid w:val="007F39D6"/>
    <w:rsid w:val="00835C43"/>
    <w:rsid w:val="00856DD3"/>
    <w:rsid w:val="00861A26"/>
    <w:rsid w:val="00882112"/>
    <w:rsid w:val="00890405"/>
    <w:rsid w:val="008A065A"/>
    <w:rsid w:val="008B05A2"/>
    <w:rsid w:val="008F007D"/>
    <w:rsid w:val="0093040C"/>
    <w:rsid w:val="0093602D"/>
    <w:rsid w:val="00952A2B"/>
    <w:rsid w:val="009875E9"/>
    <w:rsid w:val="009A2F56"/>
    <w:rsid w:val="009C5365"/>
    <w:rsid w:val="009E3B4C"/>
    <w:rsid w:val="009E3F41"/>
    <w:rsid w:val="009E4F59"/>
    <w:rsid w:val="009E7305"/>
    <w:rsid w:val="00A02F97"/>
    <w:rsid w:val="00A1502B"/>
    <w:rsid w:val="00A26A6B"/>
    <w:rsid w:val="00A41F5A"/>
    <w:rsid w:val="00A5572D"/>
    <w:rsid w:val="00A74F96"/>
    <w:rsid w:val="00AD2C53"/>
    <w:rsid w:val="00B27A57"/>
    <w:rsid w:val="00B53D33"/>
    <w:rsid w:val="00B71E95"/>
    <w:rsid w:val="00B93C97"/>
    <w:rsid w:val="00BB3F78"/>
    <w:rsid w:val="00BB6A12"/>
    <w:rsid w:val="00BC0B21"/>
    <w:rsid w:val="00BC14B6"/>
    <w:rsid w:val="00D5279B"/>
    <w:rsid w:val="00DA1527"/>
    <w:rsid w:val="00DC4E28"/>
    <w:rsid w:val="00DD0CE8"/>
    <w:rsid w:val="00DE4DE0"/>
    <w:rsid w:val="00E26226"/>
    <w:rsid w:val="00E46B07"/>
    <w:rsid w:val="00E61DB4"/>
    <w:rsid w:val="00E76023"/>
    <w:rsid w:val="00E8478D"/>
    <w:rsid w:val="00F35F85"/>
    <w:rsid w:val="00FB1E9F"/>
    <w:rsid w:val="00FC2357"/>
    <w:rsid w:val="00FD5C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889B"/>
  <w15:chartTrackingRefBased/>
  <w15:docId w15:val="{A52927C7-80D2-48A1-A0D6-621DDDEC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4B6"/>
    <w:pPr>
      <w:spacing w:after="0" w:line="240" w:lineRule="auto"/>
    </w:pPr>
    <w:rPr>
      <w:kern w:val="0"/>
      <w:lang w:val="es-ES_tradnl"/>
      <w14:ligatures w14:val="none"/>
    </w:rPr>
  </w:style>
  <w:style w:type="paragraph" w:styleId="Ttulo1">
    <w:name w:val="heading 1"/>
    <w:basedOn w:val="Normal"/>
    <w:next w:val="Normal"/>
    <w:link w:val="Ttulo1Car"/>
    <w:uiPriority w:val="9"/>
    <w:qFormat/>
    <w:rsid w:val="00BC1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C1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C14B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C14B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C14B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C14B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C14B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C14B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C14B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14B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C14B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C14B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C14B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C14B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C14B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C14B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C14B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C14B6"/>
    <w:rPr>
      <w:rFonts w:eastAsiaTheme="majorEastAsia" w:cstheme="majorBidi"/>
      <w:color w:val="272727" w:themeColor="text1" w:themeTint="D8"/>
    </w:rPr>
  </w:style>
  <w:style w:type="paragraph" w:styleId="Ttulo">
    <w:name w:val="Title"/>
    <w:basedOn w:val="Normal"/>
    <w:next w:val="Normal"/>
    <w:link w:val="TtuloCar"/>
    <w:uiPriority w:val="10"/>
    <w:qFormat/>
    <w:rsid w:val="00BC14B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14B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C14B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C14B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C14B6"/>
    <w:pPr>
      <w:spacing w:before="160"/>
      <w:jc w:val="center"/>
    </w:pPr>
    <w:rPr>
      <w:i/>
      <w:iCs/>
      <w:color w:val="404040" w:themeColor="text1" w:themeTint="BF"/>
    </w:rPr>
  </w:style>
  <w:style w:type="character" w:customStyle="1" w:styleId="CitaCar">
    <w:name w:val="Cita Car"/>
    <w:basedOn w:val="Fuentedeprrafopredeter"/>
    <w:link w:val="Cita"/>
    <w:uiPriority w:val="29"/>
    <w:rsid w:val="00BC14B6"/>
    <w:rPr>
      <w:i/>
      <w:iCs/>
      <w:color w:val="404040" w:themeColor="text1" w:themeTint="BF"/>
    </w:rPr>
  </w:style>
  <w:style w:type="paragraph" w:styleId="Prrafodelista">
    <w:name w:val="List Paragraph"/>
    <w:basedOn w:val="Normal"/>
    <w:uiPriority w:val="34"/>
    <w:qFormat/>
    <w:rsid w:val="00BC14B6"/>
    <w:pPr>
      <w:ind w:left="720"/>
      <w:contextualSpacing/>
    </w:pPr>
  </w:style>
  <w:style w:type="character" w:styleId="nfasisintenso">
    <w:name w:val="Intense Emphasis"/>
    <w:basedOn w:val="Fuentedeprrafopredeter"/>
    <w:uiPriority w:val="21"/>
    <w:qFormat/>
    <w:rsid w:val="00BC14B6"/>
    <w:rPr>
      <w:i/>
      <w:iCs/>
      <w:color w:val="0F4761" w:themeColor="accent1" w:themeShade="BF"/>
    </w:rPr>
  </w:style>
  <w:style w:type="paragraph" w:styleId="Citadestacada">
    <w:name w:val="Intense Quote"/>
    <w:basedOn w:val="Normal"/>
    <w:next w:val="Normal"/>
    <w:link w:val="CitadestacadaCar"/>
    <w:uiPriority w:val="30"/>
    <w:qFormat/>
    <w:rsid w:val="00BC1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C14B6"/>
    <w:rPr>
      <w:i/>
      <w:iCs/>
      <w:color w:val="0F4761" w:themeColor="accent1" w:themeShade="BF"/>
    </w:rPr>
  </w:style>
  <w:style w:type="character" w:styleId="Referenciaintensa">
    <w:name w:val="Intense Reference"/>
    <w:basedOn w:val="Fuentedeprrafopredeter"/>
    <w:uiPriority w:val="32"/>
    <w:qFormat/>
    <w:rsid w:val="00BC14B6"/>
    <w:rPr>
      <w:b/>
      <w:bCs/>
      <w:smallCaps/>
      <w:color w:val="0F4761" w:themeColor="accent1" w:themeShade="BF"/>
      <w:spacing w:val="5"/>
    </w:rPr>
  </w:style>
  <w:style w:type="table" w:styleId="Tablaconcuadrcula">
    <w:name w:val="Table Grid"/>
    <w:basedOn w:val="Tablanormal"/>
    <w:uiPriority w:val="39"/>
    <w:rsid w:val="00BC14B6"/>
    <w:pPr>
      <w:spacing w:after="0" w:line="240" w:lineRule="auto"/>
    </w:pPr>
    <w:rPr>
      <w:kern w:val="0"/>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14B6"/>
    <w:pPr>
      <w:autoSpaceDE w:val="0"/>
      <w:autoSpaceDN w:val="0"/>
      <w:adjustRightInd w:val="0"/>
      <w:spacing w:after="0" w:line="240" w:lineRule="auto"/>
    </w:pPr>
    <w:rPr>
      <w:rFonts w:ascii="Bookman Old Style" w:hAnsi="Bookman Old Style" w:cs="Bookman Old Style"/>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7294">
      <w:bodyDiv w:val="1"/>
      <w:marLeft w:val="0"/>
      <w:marRight w:val="0"/>
      <w:marTop w:val="0"/>
      <w:marBottom w:val="0"/>
      <w:divBdr>
        <w:top w:val="none" w:sz="0" w:space="0" w:color="auto"/>
        <w:left w:val="none" w:sz="0" w:space="0" w:color="auto"/>
        <w:bottom w:val="none" w:sz="0" w:space="0" w:color="auto"/>
        <w:right w:val="none" w:sz="0" w:space="0" w:color="auto"/>
      </w:divBdr>
    </w:div>
    <w:div w:id="180625586">
      <w:bodyDiv w:val="1"/>
      <w:marLeft w:val="0"/>
      <w:marRight w:val="0"/>
      <w:marTop w:val="0"/>
      <w:marBottom w:val="0"/>
      <w:divBdr>
        <w:top w:val="none" w:sz="0" w:space="0" w:color="auto"/>
        <w:left w:val="none" w:sz="0" w:space="0" w:color="auto"/>
        <w:bottom w:val="none" w:sz="0" w:space="0" w:color="auto"/>
        <w:right w:val="none" w:sz="0" w:space="0" w:color="auto"/>
      </w:divBdr>
    </w:div>
    <w:div w:id="514224075">
      <w:bodyDiv w:val="1"/>
      <w:marLeft w:val="0"/>
      <w:marRight w:val="0"/>
      <w:marTop w:val="0"/>
      <w:marBottom w:val="0"/>
      <w:divBdr>
        <w:top w:val="none" w:sz="0" w:space="0" w:color="auto"/>
        <w:left w:val="none" w:sz="0" w:space="0" w:color="auto"/>
        <w:bottom w:val="none" w:sz="0" w:space="0" w:color="auto"/>
        <w:right w:val="none" w:sz="0" w:space="0" w:color="auto"/>
      </w:divBdr>
    </w:div>
    <w:div w:id="630212423">
      <w:bodyDiv w:val="1"/>
      <w:marLeft w:val="0"/>
      <w:marRight w:val="0"/>
      <w:marTop w:val="0"/>
      <w:marBottom w:val="0"/>
      <w:divBdr>
        <w:top w:val="none" w:sz="0" w:space="0" w:color="auto"/>
        <w:left w:val="none" w:sz="0" w:space="0" w:color="auto"/>
        <w:bottom w:val="none" w:sz="0" w:space="0" w:color="auto"/>
        <w:right w:val="none" w:sz="0" w:space="0" w:color="auto"/>
      </w:divBdr>
    </w:div>
    <w:div w:id="679627350">
      <w:bodyDiv w:val="1"/>
      <w:marLeft w:val="0"/>
      <w:marRight w:val="0"/>
      <w:marTop w:val="0"/>
      <w:marBottom w:val="0"/>
      <w:divBdr>
        <w:top w:val="none" w:sz="0" w:space="0" w:color="auto"/>
        <w:left w:val="none" w:sz="0" w:space="0" w:color="auto"/>
        <w:bottom w:val="none" w:sz="0" w:space="0" w:color="auto"/>
        <w:right w:val="none" w:sz="0" w:space="0" w:color="auto"/>
      </w:divBdr>
    </w:div>
    <w:div w:id="842889871">
      <w:bodyDiv w:val="1"/>
      <w:marLeft w:val="0"/>
      <w:marRight w:val="0"/>
      <w:marTop w:val="0"/>
      <w:marBottom w:val="0"/>
      <w:divBdr>
        <w:top w:val="none" w:sz="0" w:space="0" w:color="auto"/>
        <w:left w:val="none" w:sz="0" w:space="0" w:color="auto"/>
        <w:bottom w:val="none" w:sz="0" w:space="0" w:color="auto"/>
        <w:right w:val="none" w:sz="0" w:space="0" w:color="auto"/>
      </w:divBdr>
    </w:div>
    <w:div w:id="1140028421">
      <w:bodyDiv w:val="1"/>
      <w:marLeft w:val="0"/>
      <w:marRight w:val="0"/>
      <w:marTop w:val="0"/>
      <w:marBottom w:val="0"/>
      <w:divBdr>
        <w:top w:val="none" w:sz="0" w:space="0" w:color="auto"/>
        <w:left w:val="none" w:sz="0" w:space="0" w:color="auto"/>
        <w:bottom w:val="none" w:sz="0" w:space="0" w:color="auto"/>
        <w:right w:val="none" w:sz="0" w:space="0" w:color="auto"/>
      </w:divBdr>
    </w:div>
    <w:div w:id="2041201837">
      <w:bodyDiv w:val="1"/>
      <w:marLeft w:val="0"/>
      <w:marRight w:val="0"/>
      <w:marTop w:val="0"/>
      <w:marBottom w:val="0"/>
      <w:divBdr>
        <w:top w:val="none" w:sz="0" w:space="0" w:color="auto"/>
        <w:left w:val="none" w:sz="0" w:space="0" w:color="auto"/>
        <w:bottom w:val="none" w:sz="0" w:space="0" w:color="auto"/>
        <w:right w:val="none" w:sz="0" w:space="0" w:color="auto"/>
      </w:divBdr>
    </w:div>
    <w:div w:id="21041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48A2D7E2604C9FB1F936BD0863105D"/>
        <w:category>
          <w:name w:val="General"/>
          <w:gallery w:val="placeholder"/>
        </w:category>
        <w:types>
          <w:type w:val="bbPlcHdr"/>
        </w:types>
        <w:behaviors>
          <w:behavior w:val="content"/>
        </w:behaviors>
        <w:guid w:val="{89C070E7-1EA6-4B82-996C-D2C006D1285D}"/>
      </w:docPartPr>
      <w:docPartBody>
        <w:p w:rsidR="00C068CD" w:rsidRDefault="00C068CD" w:rsidP="00C068CD">
          <w:pPr>
            <w:pStyle w:val="1E48A2D7E2604C9FB1F936BD0863105D"/>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CD"/>
    <w:rsid w:val="00136B5E"/>
    <w:rsid w:val="0034449F"/>
    <w:rsid w:val="004152E7"/>
    <w:rsid w:val="004844B8"/>
    <w:rsid w:val="005E027C"/>
    <w:rsid w:val="006F6364"/>
    <w:rsid w:val="00A74F96"/>
    <w:rsid w:val="00C068CD"/>
    <w:rsid w:val="00FB5A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068CD"/>
  </w:style>
  <w:style w:type="paragraph" w:customStyle="1" w:styleId="1E48A2D7E2604C9FB1F936BD0863105D">
    <w:name w:val="1E48A2D7E2604C9FB1F936BD0863105D"/>
    <w:rsid w:val="00C06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1610</Words>
  <Characters>8861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ortiz</dc:creator>
  <cp:keywords/>
  <dc:description/>
  <cp:lastModifiedBy>Joseph Esneyder Pinto Gonzalez</cp:lastModifiedBy>
  <cp:revision>2</cp:revision>
  <dcterms:created xsi:type="dcterms:W3CDTF">2025-06-17T20:33:00Z</dcterms:created>
  <dcterms:modified xsi:type="dcterms:W3CDTF">2025-06-17T20:33:00Z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2025-06-17T20:33:40Z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1d6063c2-9934-432f-afae-ae48666d9049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