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351B62" w14:paraId="077F9E4D" w14:textId="77777777" w:rsidTr="003827E1">
        <w:trPr>
          <w:trHeight w:val="454"/>
        </w:trPr>
        <w:tc>
          <w:tcPr>
            <w:tcW w:w="4537" w:type="dxa"/>
            <w:vAlign w:val="center"/>
          </w:tcPr>
          <w:p w14:paraId="239BC5A7" w14:textId="7E10D35F" w:rsidR="00F67EF8" w:rsidRPr="00351B62" w:rsidRDefault="00F67EF8" w:rsidP="003B7F1A">
            <w:pPr>
              <w:spacing w:line="360" w:lineRule="auto"/>
              <w:rPr>
                <w:rFonts w:ascii="Century Gothic" w:hAnsi="Century Gothic"/>
                <w:b/>
                <w:bCs/>
                <w:sz w:val="22"/>
                <w:szCs w:val="22"/>
              </w:rPr>
            </w:pPr>
            <w:r w:rsidRPr="00351B62">
              <w:rPr>
                <w:rFonts w:ascii="Century Gothic" w:hAnsi="Century Gothic"/>
                <w:b/>
                <w:bCs/>
                <w:sz w:val="22"/>
                <w:szCs w:val="22"/>
              </w:rPr>
              <w:t>Fecha de presentación</w:t>
            </w:r>
          </w:p>
        </w:tc>
        <w:tc>
          <w:tcPr>
            <w:tcW w:w="5670" w:type="dxa"/>
          </w:tcPr>
          <w:p w14:paraId="29FA6EF6" w14:textId="3E6BBE41" w:rsidR="00F67EF8" w:rsidRPr="00351B62" w:rsidRDefault="00D77386" w:rsidP="00F67EF8">
            <w:pPr>
              <w:spacing w:line="276" w:lineRule="auto"/>
              <w:jc w:val="both"/>
              <w:rPr>
                <w:rFonts w:ascii="Century Gothic" w:hAnsi="Century Gothic"/>
                <w:sz w:val="22"/>
                <w:szCs w:val="22"/>
              </w:rPr>
            </w:pPr>
            <w:r w:rsidRPr="00351B62">
              <w:rPr>
                <w:rFonts w:ascii="Century Gothic" w:hAnsi="Century Gothic"/>
                <w:sz w:val="22"/>
                <w:szCs w:val="22"/>
              </w:rPr>
              <w:t>2</w:t>
            </w:r>
            <w:r w:rsidR="00272083" w:rsidRPr="00351B62">
              <w:rPr>
                <w:rFonts w:ascii="Century Gothic" w:hAnsi="Century Gothic"/>
                <w:sz w:val="22"/>
                <w:szCs w:val="22"/>
              </w:rPr>
              <w:t>6</w:t>
            </w:r>
            <w:r w:rsidR="00496C7D" w:rsidRPr="00351B62">
              <w:rPr>
                <w:rFonts w:ascii="Century Gothic" w:hAnsi="Century Gothic"/>
                <w:sz w:val="22"/>
                <w:szCs w:val="22"/>
              </w:rPr>
              <w:t xml:space="preserve"> de</w:t>
            </w:r>
            <w:r w:rsidRPr="00351B62">
              <w:rPr>
                <w:rFonts w:ascii="Century Gothic" w:hAnsi="Century Gothic"/>
                <w:sz w:val="22"/>
                <w:szCs w:val="22"/>
              </w:rPr>
              <w:t xml:space="preserve"> mayo de</w:t>
            </w:r>
            <w:r w:rsidR="00496C7D" w:rsidRPr="00351B62">
              <w:rPr>
                <w:rFonts w:ascii="Century Gothic" w:hAnsi="Century Gothic"/>
                <w:sz w:val="22"/>
                <w:szCs w:val="22"/>
              </w:rPr>
              <w:t xml:space="preserve"> 2025</w:t>
            </w:r>
          </w:p>
        </w:tc>
      </w:tr>
      <w:tr w:rsidR="00F67EF8" w:rsidRPr="00351B62" w14:paraId="6959AD48" w14:textId="77777777" w:rsidTr="003827E1">
        <w:trPr>
          <w:trHeight w:val="454"/>
        </w:trPr>
        <w:tc>
          <w:tcPr>
            <w:tcW w:w="4537" w:type="dxa"/>
            <w:vAlign w:val="center"/>
          </w:tcPr>
          <w:p w14:paraId="45E895A9" w14:textId="1E20E681" w:rsidR="00F67EF8" w:rsidRPr="00351B62" w:rsidRDefault="00F67EF8" w:rsidP="003B7F1A">
            <w:pPr>
              <w:spacing w:line="360" w:lineRule="auto"/>
              <w:rPr>
                <w:rFonts w:ascii="Century Gothic" w:hAnsi="Century Gothic"/>
                <w:b/>
                <w:bCs/>
                <w:sz w:val="22"/>
                <w:szCs w:val="22"/>
              </w:rPr>
            </w:pPr>
            <w:r w:rsidRPr="00351B62">
              <w:rPr>
                <w:rFonts w:ascii="Century Gothic" w:hAnsi="Century Gothic"/>
                <w:b/>
                <w:bCs/>
                <w:sz w:val="22"/>
                <w:szCs w:val="22"/>
              </w:rPr>
              <w:t>Tipo de abogado</w:t>
            </w:r>
          </w:p>
        </w:tc>
        <w:tc>
          <w:tcPr>
            <w:tcW w:w="5670" w:type="dxa"/>
          </w:tcPr>
          <w:p w14:paraId="06C25C40" w14:textId="172B2BFE" w:rsidR="00F67EF8" w:rsidRPr="00351B62" w:rsidRDefault="00496C7D" w:rsidP="00F67EF8">
            <w:pPr>
              <w:spacing w:line="276" w:lineRule="auto"/>
              <w:jc w:val="both"/>
              <w:rPr>
                <w:rFonts w:ascii="Century Gothic" w:hAnsi="Century Gothic"/>
                <w:sz w:val="22"/>
                <w:szCs w:val="22"/>
              </w:rPr>
            </w:pPr>
            <w:r w:rsidRPr="00351B62">
              <w:rPr>
                <w:rFonts w:ascii="Century Gothic" w:hAnsi="Century Gothic"/>
                <w:sz w:val="22"/>
                <w:szCs w:val="22"/>
              </w:rPr>
              <w:t>Externo</w:t>
            </w:r>
          </w:p>
        </w:tc>
      </w:tr>
      <w:tr w:rsidR="00F67EF8" w:rsidRPr="00351B62" w14:paraId="2F6DA3B0" w14:textId="77777777" w:rsidTr="003827E1">
        <w:trPr>
          <w:trHeight w:val="454"/>
        </w:trPr>
        <w:tc>
          <w:tcPr>
            <w:tcW w:w="4537" w:type="dxa"/>
            <w:vAlign w:val="center"/>
          </w:tcPr>
          <w:p w14:paraId="30599F8A" w14:textId="674A8832" w:rsidR="00F67EF8" w:rsidRPr="00351B62" w:rsidRDefault="00F67EF8" w:rsidP="003B7F1A">
            <w:pPr>
              <w:spacing w:line="360" w:lineRule="auto"/>
              <w:rPr>
                <w:rFonts w:ascii="Century Gothic" w:hAnsi="Century Gothic"/>
                <w:sz w:val="22"/>
                <w:szCs w:val="22"/>
              </w:rPr>
            </w:pPr>
            <w:r w:rsidRPr="00351B62">
              <w:rPr>
                <w:rFonts w:ascii="Century Gothic" w:hAnsi="Century Gothic"/>
                <w:b/>
                <w:bCs/>
                <w:sz w:val="22"/>
                <w:szCs w:val="22"/>
              </w:rPr>
              <w:t>Aseguradora vinculada al proceso</w:t>
            </w:r>
          </w:p>
        </w:tc>
        <w:tc>
          <w:tcPr>
            <w:tcW w:w="5670" w:type="dxa"/>
          </w:tcPr>
          <w:p w14:paraId="794A38B0" w14:textId="07EB3642" w:rsidR="00F67EF8" w:rsidRPr="00351B62" w:rsidRDefault="00496C7D" w:rsidP="00F67EF8">
            <w:pPr>
              <w:spacing w:line="276" w:lineRule="auto"/>
              <w:jc w:val="both"/>
              <w:rPr>
                <w:rFonts w:ascii="Century Gothic" w:hAnsi="Century Gothic"/>
                <w:sz w:val="22"/>
                <w:szCs w:val="22"/>
              </w:rPr>
            </w:pPr>
            <w:r w:rsidRPr="00351B62">
              <w:rPr>
                <w:rFonts w:ascii="Century Gothic" w:hAnsi="Century Gothic"/>
                <w:sz w:val="22"/>
                <w:szCs w:val="22"/>
              </w:rPr>
              <w:t>EQUIDAD SEGUROS GENERALES ORGANISMO COOPERATIVO</w:t>
            </w:r>
          </w:p>
        </w:tc>
      </w:tr>
      <w:tr w:rsidR="00F67EF8" w:rsidRPr="00351B62" w14:paraId="490540BB" w14:textId="77777777" w:rsidTr="003827E1">
        <w:trPr>
          <w:trHeight w:val="454"/>
        </w:trPr>
        <w:tc>
          <w:tcPr>
            <w:tcW w:w="4537" w:type="dxa"/>
            <w:vAlign w:val="center"/>
          </w:tcPr>
          <w:p w14:paraId="1C2D5235" w14:textId="2B4007F3" w:rsidR="00F67EF8" w:rsidRPr="00351B62" w:rsidRDefault="00992368" w:rsidP="003B7F1A">
            <w:pPr>
              <w:spacing w:line="276" w:lineRule="auto"/>
              <w:rPr>
                <w:rFonts w:ascii="Century Gothic" w:hAnsi="Century Gothic"/>
                <w:b/>
                <w:bCs/>
                <w:sz w:val="22"/>
                <w:szCs w:val="22"/>
              </w:rPr>
            </w:pPr>
            <w:r w:rsidRPr="00351B62">
              <w:rPr>
                <w:rFonts w:ascii="Century Gothic" w:hAnsi="Century Gothic"/>
                <w:b/>
                <w:bCs/>
                <w:sz w:val="22"/>
                <w:szCs w:val="22"/>
              </w:rPr>
              <w:t>SGC</w:t>
            </w:r>
          </w:p>
        </w:tc>
        <w:tc>
          <w:tcPr>
            <w:tcW w:w="5670" w:type="dxa"/>
          </w:tcPr>
          <w:p w14:paraId="11B788BC" w14:textId="682BD3A2" w:rsidR="00F67EF8" w:rsidRPr="00351B62" w:rsidRDefault="00351B62" w:rsidP="00F67EF8">
            <w:pPr>
              <w:spacing w:line="276" w:lineRule="auto"/>
              <w:jc w:val="both"/>
              <w:rPr>
                <w:rFonts w:ascii="Century Gothic" w:hAnsi="Century Gothic"/>
                <w:sz w:val="22"/>
                <w:szCs w:val="22"/>
                <w:lang w:val="es-CO"/>
              </w:rPr>
            </w:pPr>
            <w:r w:rsidRPr="00351B62">
              <w:rPr>
                <w:rFonts w:ascii="Century Gothic" w:hAnsi="Century Gothic"/>
                <w:sz w:val="22"/>
                <w:szCs w:val="22"/>
                <w:lang w:val="es-CO"/>
              </w:rPr>
              <w:t>10744</w:t>
            </w:r>
          </w:p>
        </w:tc>
      </w:tr>
      <w:tr w:rsidR="00F67EF8" w:rsidRPr="00351B62" w14:paraId="1D86DF69" w14:textId="77777777" w:rsidTr="003827E1">
        <w:trPr>
          <w:trHeight w:val="454"/>
        </w:trPr>
        <w:tc>
          <w:tcPr>
            <w:tcW w:w="4537" w:type="dxa"/>
            <w:vAlign w:val="center"/>
          </w:tcPr>
          <w:p w14:paraId="699114C2" w14:textId="0BB9EC2F" w:rsidR="00F67EF8" w:rsidRPr="00351B62" w:rsidRDefault="00992368" w:rsidP="003B7F1A">
            <w:pPr>
              <w:spacing w:line="276" w:lineRule="auto"/>
              <w:rPr>
                <w:rFonts w:ascii="Century Gothic" w:hAnsi="Century Gothic"/>
                <w:b/>
                <w:bCs/>
                <w:sz w:val="22"/>
                <w:szCs w:val="22"/>
              </w:rPr>
            </w:pPr>
            <w:r w:rsidRPr="00351B62">
              <w:rPr>
                <w:rFonts w:ascii="Century Gothic" w:hAnsi="Century Gothic"/>
                <w:b/>
                <w:bCs/>
                <w:sz w:val="22"/>
                <w:szCs w:val="22"/>
              </w:rPr>
              <w:t>Despacho/Juzgado/ Tribunal</w:t>
            </w:r>
          </w:p>
        </w:tc>
        <w:tc>
          <w:tcPr>
            <w:tcW w:w="5670" w:type="dxa"/>
          </w:tcPr>
          <w:p w14:paraId="7DD6339C" w14:textId="322D6087" w:rsidR="00F67EF8" w:rsidRPr="00351B62" w:rsidRDefault="00272083" w:rsidP="00F67EF8">
            <w:pPr>
              <w:spacing w:line="276" w:lineRule="auto"/>
              <w:jc w:val="both"/>
              <w:rPr>
                <w:rFonts w:ascii="Century Gothic" w:hAnsi="Century Gothic"/>
                <w:b/>
                <w:bCs/>
                <w:sz w:val="22"/>
                <w:szCs w:val="22"/>
              </w:rPr>
            </w:pPr>
            <w:r w:rsidRPr="00351B62">
              <w:rPr>
                <w:rStyle w:val="Estilo3"/>
                <w:b w:val="0"/>
                <w:bCs/>
                <w:sz w:val="22"/>
                <w:szCs w:val="22"/>
              </w:rPr>
              <w:t>TRIBUNAL ADMINISTRATIVO DEL META</w:t>
            </w:r>
          </w:p>
        </w:tc>
      </w:tr>
      <w:tr w:rsidR="00F67EF8" w:rsidRPr="00351B62" w14:paraId="54742FD8" w14:textId="77777777" w:rsidTr="003827E1">
        <w:trPr>
          <w:trHeight w:val="454"/>
        </w:trPr>
        <w:tc>
          <w:tcPr>
            <w:tcW w:w="4537" w:type="dxa"/>
            <w:vAlign w:val="center"/>
          </w:tcPr>
          <w:p w14:paraId="5A357CCF" w14:textId="3C7FFC83" w:rsidR="00F67EF8" w:rsidRPr="00351B62" w:rsidRDefault="00992368" w:rsidP="003B7F1A">
            <w:pPr>
              <w:spacing w:line="276" w:lineRule="auto"/>
              <w:rPr>
                <w:rFonts w:ascii="Century Gothic" w:hAnsi="Century Gothic"/>
                <w:b/>
                <w:bCs/>
                <w:sz w:val="22"/>
                <w:szCs w:val="22"/>
              </w:rPr>
            </w:pPr>
            <w:r w:rsidRPr="00351B62">
              <w:rPr>
                <w:rFonts w:ascii="Century Gothic" w:hAnsi="Century Gothic"/>
                <w:b/>
                <w:bCs/>
                <w:sz w:val="22"/>
                <w:szCs w:val="22"/>
              </w:rPr>
              <w:t xml:space="preserve">Ciudad </w:t>
            </w:r>
          </w:p>
        </w:tc>
        <w:tc>
          <w:tcPr>
            <w:tcW w:w="5670" w:type="dxa"/>
          </w:tcPr>
          <w:p w14:paraId="5101FDD8" w14:textId="543A5E06" w:rsidR="00F67EF8" w:rsidRPr="00351B62" w:rsidRDefault="00272083" w:rsidP="00F67EF8">
            <w:pPr>
              <w:spacing w:line="276" w:lineRule="auto"/>
              <w:jc w:val="both"/>
              <w:rPr>
                <w:rFonts w:ascii="Century Gothic" w:hAnsi="Century Gothic"/>
                <w:sz w:val="22"/>
                <w:szCs w:val="22"/>
              </w:rPr>
            </w:pPr>
            <w:r w:rsidRPr="00351B62">
              <w:rPr>
                <w:rFonts w:ascii="Century Gothic" w:hAnsi="Century Gothic"/>
                <w:sz w:val="22"/>
                <w:szCs w:val="22"/>
              </w:rPr>
              <w:t>BOGOTÁ</w:t>
            </w:r>
          </w:p>
        </w:tc>
      </w:tr>
      <w:tr w:rsidR="00992368" w:rsidRPr="00351B62" w14:paraId="3983A9CE" w14:textId="77777777" w:rsidTr="003827E1">
        <w:trPr>
          <w:trHeight w:val="454"/>
        </w:trPr>
        <w:tc>
          <w:tcPr>
            <w:tcW w:w="4537" w:type="dxa"/>
            <w:vAlign w:val="center"/>
          </w:tcPr>
          <w:p w14:paraId="7EC7EF81" w14:textId="3CF9A0A9" w:rsidR="00992368" w:rsidRPr="00351B62" w:rsidRDefault="008E249B" w:rsidP="003B7F1A">
            <w:pPr>
              <w:spacing w:line="276" w:lineRule="auto"/>
              <w:rPr>
                <w:rFonts w:ascii="Century Gothic" w:hAnsi="Century Gothic"/>
                <w:b/>
                <w:bCs/>
                <w:sz w:val="22"/>
                <w:szCs w:val="22"/>
              </w:rPr>
            </w:pPr>
            <w:r w:rsidRPr="00351B62">
              <w:rPr>
                <w:rFonts w:ascii="Century Gothic" w:hAnsi="Century Gothic"/>
                <w:b/>
                <w:bCs/>
                <w:sz w:val="22"/>
                <w:szCs w:val="22"/>
              </w:rPr>
              <w:t>Radicado completo 23 dígitos</w:t>
            </w:r>
          </w:p>
        </w:tc>
        <w:tc>
          <w:tcPr>
            <w:tcW w:w="5670" w:type="dxa"/>
          </w:tcPr>
          <w:p w14:paraId="573C25D1" w14:textId="502F555C" w:rsidR="00992368" w:rsidRPr="00351B62" w:rsidRDefault="00272083" w:rsidP="00F67EF8">
            <w:pPr>
              <w:spacing w:line="276" w:lineRule="auto"/>
              <w:jc w:val="both"/>
              <w:rPr>
                <w:rFonts w:ascii="Century Gothic" w:hAnsi="Century Gothic"/>
                <w:sz w:val="22"/>
                <w:szCs w:val="22"/>
              </w:rPr>
            </w:pPr>
            <w:r w:rsidRPr="00351B62">
              <w:rPr>
                <w:rStyle w:val="Estilo3"/>
                <w:b w:val="0"/>
                <w:sz w:val="22"/>
                <w:szCs w:val="22"/>
              </w:rPr>
              <w:t>50001233300020240037400</w:t>
            </w:r>
            <w:r w:rsidR="00351B62" w:rsidRPr="00351B62">
              <w:rPr>
                <w:rStyle w:val="Estilo3"/>
                <w:b w:val="0"/>
                <w:sz w:val="22"/>
                <w:szCs w:val="22"/>
              </w:rPr>
              <w:t>*</w:t>
            </w:r>
          </w:p>
        </w:tc>
      </w:tr>
      <w:tr w:rsidR="00992368" w:rsidRPr="00351B62" w14:paraId="4A0D8041" w14:textId="77777777" w:rsidTr="003827E1">
        <w:trPr>
          <w:trHeight w:val="454"/>
        </w:trPr>
        <w:tc>
          <w:tcPr>
            <w:tcW w:w="4537" w:type="dxa"/>
            <w:vAlign w:val="center"/>
          </w:tcPr>
          <w:p w14:paraId="6BA2EEB5" w14:textId="7369F36B" w:rsidR="00992368" w:rsidRPr="00351B62" w:rsidRDefault="00B2787D" w:rsidP="003B7F1A">
            <w:pPr>
              <w:spacing w:line="276" w:lineRule="auto"/>
              <w:rPr>
                <w:rFonts w:ascii="Century Gothic" w:hAnsi="Century Gothic"/>
                <w:b/>
                <w:bCs/>
                <w:sz w:val="22"/>
                <w:szCs w:val="22"/>
              </w:rPr>
            </w:pPr>
            <w:r w:rsidRPr="00351B62">
              <w:rPr>
                <w:rFonts w:ascii="Century Gothic" w:hAnsi="Century Gothic"/>
                <w:b/>
                <w:bCs/>
                <w:sz w:val="22"/>
                <w:szCs w:val="22"/>
              </w:rPr>
              <w:t>Fecha de notificación</w:t>
            </w:r>
          </w:p>
        </w:tc>
        <w:tc>
          <w:tcPr>
            <w:tcW w:w="5670" w:type="dxa"/>
          </w:tcPr>
          <w:p w14:paraId="64AC88EB" w14:textId="5C36C770" w:rsidR="00992368" w:rsidRPr="00351B62" w:rsidRDefault="00000000" w:rsidP="00F67EF8">
            <w:pPr>
              <w:spacing w:line="276" w:lineRule="auto"/>
              <w:jc w:val="both"/>
              <w:rPr>
                <w:rFonts w:ascii="Century Gothic" w:hAnsi="Century Gothic"/>
                <w:sz w:val="22"/>
                <w:szCs w:val="22"/>
              </w:rPr>
            </w:pPr>
            <w:sdt>
              <w:sdtPr>
                <w:rPr>
                  <w:rStyle w:val="Estilo3"/>
                  <w:b w:val="0"/>
                  <w:bCs/>
                  <w:sz w:val="22"/>
                  <w:szCs w:val="22"/>
                </w:rPr>
                <w:alias w:val="FECHA NOTIFICACION"/>
                <w:tag w:val="FECHA NOTIFICACION"/>
                <w:id w:val="173383097"/>
                <w:placeholder>
                  <w:docPart w:val="312DADA7018F44F193481BFA488488AE"/>
                </w:placeholder>
                <w:date w:fullDate="2025-03-20T00:00:00Z">
                  <w:dateFormat w:val="dd/MM/yyyy"/>
                  <w:lid w:val="es-CO"/>
                  <w:storeMappedDataAs w:val="dateTime"/>
                  <w:calendar w:val="gregorian"/>
                </w:date>
              </w:sdtPr>
              <w:sdtEndPr>
                <w:rPr>
                  <w:rStyle w:val="Fuentedeprrafopredeter"/>
                  <w:rFonts w:asciiTheme="minorHAnsi" w:hAnsiTheme="minorHAnsi"/>
                  <w:b/>
                  <w:caps w:val="0"/>
                </w:rPr>
              </w:sdtEndPr>
              <w:sdtContent>
                <w:r w:rsidR="00272083" w:rsidRPr="00351B62">
                  <w:rPr>
                    <w:rStyle w:val="Estilo3"/>
                    <w:b w:val="0"/>
                    <w:bCs/>
                    <w:sz w:val="22"/>
                    <w:szCs w:val="22"/>
                  </w:rPr>
                  <w:t>20/03/2025</w:t>
                </w:r>
              </w:sdtContent>
            </w:sdt>
          </w:p>
        </w:tc>
      </w:tr>
      <w:tr w:rsidR="00992368" w:rsidRPr="00351B62" w14:paraId="028BDD81" w14:textId="77777777" w:rsidTr="003827E1">
        <w:trPr>
          <w:trHeight w:val="454"/>
        </w:trPr>
        <w:tc>
          <w:tcPr>
            <w:tcW w:w="4537" w:type="dxa"/>
            <w:vAlign w:val="center"/>
          </w:tcPr>
          <w:p w14:paraId="74AA3CB7" w14:textId="0154798B" w:rsidR="00992368" w:rsidRPr="00351B62" w:rsidRDefault="00B2787D" w:rsidP="003B7F1A">
            <w:pPr>
              <w:spacing w:line="276" w:lineRule="auto"/>
              <w:rPr>
                <w:rFonts w:ascii="Century Gothic" w:hAnsi="Century Gothic"/>
                <w:b/>
                <w:bCs/>
                <w:sz w:val="22"/>
                <w:szCs w:val="22"/>
              </w:rPr>
            </w:pPr>
            <w:r w:rsidRPr="00351B62">
              <w:rPr>
                <w:rFonts w:ascii="Century Gothic" w:hAnsi="Century Gothic"/>
                <w:b/>
                <w:bCs/>
                <w:sz w:val="22"/>
                <w:szCs w:val="22"/>
              </w:rPr>
              <w:t>Fecha vencimiento del término</w:t>
            </w:r>
          </w:p>
        </w:tc>
        <w:tc>
          <w:tcPr>
            <w:tcW w:w="5670" w:type="dxa"/>
          </w:tcPr>
          <w:p w14:paraId="41E82979" w14:textId="63653EEB" w:rsidR="00992368" w:rsidRPr="00351B62" w:rsidRDefault="00000000" w:rsidP="00F67EF8">
            <w:pPr>
              <w:spacing w:line="276" w:lineRule="auto"/>
              <w:jc w:val="both"/>
              <w:rPr>
                <w:rFonts w:ascii="Century Gothic" w:hAnsi="Century Gothic"/>
                <w:sz w:val="22"/>
                <w:szCs w:val="22"/>
              </w:rPr>
            </w:pPr>
            <w:sdt>
              <w:sdtPr>
                <w:rPr>
                  <w:rFonts w:ascii="Century Gothic" w:hAnsi="Century Gothic"/>
                  <w:sz w:val="22"/>
                  <w:szCs w:val="22"/>
                </w:rPr>
                <w:id w:val="-62026635"/>
                <w:placeholder>
                  <w:docPart w:val="A34D889C6A444BF091A7A6EB42143C40"/>
                </w:placeholder>
                <w:date w:fullDate="2025-05-15T00:00:00Z">
                  <w:dateFormat w:val="dd/MM/yyyy"/>
                  <w:lid w:val="es-CO"/>
                  <w:storeMappedDataAs w:val="dateTime"/>
                  <w:calendar w:val="gregorian"/>
                </w:date>
              </w:sdtPr>
              <w:sdtContent>
                <w:r w:rsidR="00272083" w:rsidRPr="00351B62">
                  <w:rPr>
                    <w:rFonts w:ascii="Century Gothic" w:hAnsi="Century Gothic"/>
                    <w:sz w:val="22"/>
                    <w:szCs w:val="22"/>
                  </w:rPr>
                  <w:t>15/05/2025</w:t>
                </w:r>
              </w:sdtContent>
            </w:sdt>
          </w:p>
        </w:tc>
      </w:tr>
    </w:tbl>
    <w:p w14:paraId="619AE562" w14:textId="77777777" w:rsidR="00BA1E5F" w:rsidRPr="00351B62" w:rsidRDefault="00BA1E5F">
      <w:pPr>
        <w:rPr>
          <w:sz w:val="22"/>
          <w:szCs w:val="22"/>
        </w:rPr>
      </w:pPr>
    </w:p>
    <w:p w14:paraId="64A76143" w14:textId="77777777" w:rsidR="00BA1E5F" w:rsidRPr="00351B62" w:rsidRDefault="00BA1E5F">
      <w:pPr>
        <w:rPr>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351B62" w14:paraId="55765E90" w14:textId="77777777" w:rsidTr="0095378E">
        <w:tc>
          <w:tcPr>
            <w:tcW w:w="10207" w:type="dxa"/>
            <w:shd w:val="clear" w:color="auto" w:fill="C5E0B3" w:themeFill="accent6" w:themeFillTint="66"/>
            <w:vAlign w:val="center"/>
          </w:tcPr>
          <w:p w14:paraId="7B465D4D" w14:textId="5CAE6B68" w:rsidR="00B2787D" w:rsidRPr="00351B62" w:rsidRDefault="00B2787D" w:rsidP="00B2787D">
            <w:pPr>
              <w:spacing w:line="276" w:lineRule="auto"/>
              <w:jc w:val="center"/>
              <w:rPr>
                <w:rFonts w:ascii="Century Gothic" w:hAnsi="Century Gothic"/>
                <w:sz w:val="22"/>
                <w:szCs w:val="22"/>
              </w:rPr>
            </w:pPr>
            <w:r w:rsidRPr="00351B62">
              <w:rPr>
                <w:rFonts w:ascii="Century Gothic" w:hAnsi="Century Gothic"/>
                <w:b/>
                <w:bCs/>
                <w:sz w:val="22"/>
                <w:szCs w:val="22"/>
              </w:rPr>
              <w:t>Hechos</w:t>
            </w:r>
            <w:r w:rsidR="007C37D7" w:rsidRPr="00351B62">
              <w:rPr>
                <w:rFonts w:ascii="Century Gothic" w:hAnsi="Century Gothic"/>
                <w:b/>
                <w:bCs/>
                <w:sz w:val="22"/>
                <w:szCs w:val="22"/>
              </w:rPr>
              <w:t xml:space="preserve"> </w:t>
            </w:r>
            <w:r w:rsidR="007C37D7" w:rsidRPr="00351B62">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351B62" w14:paraId="59EA92D0" w14:textId="77777777" w:rsidTr="006056E7">
        <w:tc>
          <w:tcPr>
            <w:tcW w:w="10207" w:type="dxa"/>
            <w:vAlign w:val="center"/>
          </w:tcPr>
          <w:p w14:paraId="7D5C850F" w14:textId="77777777" w:rsidR="00B2787D" w:rsidRPr="00351B62" w:rsidRDefault="00B2787D" w:rsidP="007C37D7">
            <w:pPr>
              <w:spacing w:line="276" w:lineRule="auto"/>
              <w:jc w:val="center"/>
              <w:rPr>
                <w:rFonts w:ascii="Century Gothic" w:hAnsi="Century Gothic"/>
                <w:sz w:val="22"/>
                <w:szCs w:val="22"/>
              </w:rPr>
            </w:pPr>
          </w:p>
          <w:p w14:paraId="49C02C6D"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Proceso de selección y adjudicación: El 5 de mayo de 2021, TGI inició un proceso competitivo cerrado (solicitud 2021-225) para adjudicar un contrato de ingeniería, compras y construcción de tres cruces subfluviales para gasoductos. Montajes JM participó, presentó oferta y, tras mejora de condiciones, el 27 de octubre de 2021 se le adjudicó el contrato No. 551000128.</w:t>
            </w:r>
          </w:p>
          <w:p w14:paraId="6C751B1A"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 xml:space="preserve">Celebración del contrato: El 25 de noviembre de 2021 se celebró formalmente el contrato entre TGI y Montajes JM por un valor de $10.880.256.056. El objeto incluía la ejecución de tres cruces: Guayuriba, </w:t>
            </w:r>
            <w:proofErr w:type="spellStart"/>
            <w:r w:rsidRPr="00351B62">
              <w:rPr>
                <w:rFonts w:ascii="Century Gothic" w:hAnsi="Century Gothic"/>
                <w:sz w:val="22"/>
                <w:szCs w:val="22"/>
              </w:rPr>
              <w:t>Ocoa</w:t>
            </w:r>
            <w:proofErr w:type="spellEnd"/>
            <w:r w:rsidRPr="00351B62">
              <w:rPr>
                <w:rFonts w:ascii="Century Gothic" w:hAnsi="Century Gothic"/>
                <w:sz w:val="22"/>
                <w:szCs w:val="22"/>
              </w:rPr>
              <w:t xml:space="preserve"> y El Venado. El plazo inicial era de 9 meses para el primer cruce y 6 meses para los otros dos.</w:t>
            </w:r>
          </w:p>
          <w:p w14:paraId="639D958D"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Expedición de la póliza: El 29 de noviembre de 2021, La Equidad Seguros expidió la Póliza de Cumplimiento No. AA002235, contratada por Montajes JM, para garantizar el cumplimiento del contrato a favor de TGI.</w:t>
            </w:r>
          </w:p>
          <w:p w14:paraId="2F7F2BA6"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Inicio del contrato y modificaciones: El acta de inicio se firmó el 28 de diciembre de 2021. Durante 2022, las partes suscribieron cuatro modificaciones al contrato, principalmente para ampliar plazos, reconocer pagos y ajustar especificaciones técnicas. Se reconocieron compensaciones a favor de TGI por valores cercanos a $166 millones.</w:t>
            </w:r>
          </w:p>
          <w:p w14:paraId="3CBA4896"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lastRenderedPageBreak/>
              <w:t>Incumplimiento del hito No. 3: Según el contrato, el hito No. 3 era la puesta en operación del cruce PHD del río Guayuriba. A pesar de una ampliación de plazo de 3 meses y 10 días (Modificación No. 4), Montajes JM no cumplió, evidenciando un retraso de -14,63% al 29 de noviembre de 2022</w:t>
            </w:r>
          </w:p>
          <w:p w14:paraId="517F6EB2"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Cláusula penal de apremio: El 30 de noviembre de 2022, TGI notificó la apertura del procedimiento de cláusula penal por incumplimiento. Para el 20 de diciembre de 2022, el retraso llegaba al 31,18%, lo cual justificó la imposición de sanciones contractuales.</w:t>
            </w:r>
          </w:p>
          <w:p w14:paraId="20C67217"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Terminación unilateral del contrato: Ante el incumplimiento grave, TGI terminó unilateralmente el contrato el 26 de diciembre de 2022, conforme a la cláusula penal de apremio pactada.</w:t>
            </w:r>
          </w:p>
          <w:p w14:paraId="7813A482"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Inicio de la liquidación del contrato: El 3 de abril de 2023, TGI envió el proyecto de acta de liquidación a Montajes JM. Esta última presentó comunicaciones autorizando pagos directos a trabajadores y proveedores, y se convocó reunión para el 25 de abril.</w:t>
            </w:r>
          </w:p>
          <w:p w14:paraId="249B0C5C"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Reunión y liquidación unilateral: En la reunión del 25 de abril de 2023 no se logró acuerdo. Al día siguiente, TGI procedió a liquidar unilateralmente el contrato. Se determinó un saldo a favor de TGI por $2.352.473.569 y un valor a favor de Montajes JM por $430.579.358.</w:t>
            </w:r>
          </w:p>
          <w:p w14:paraId="6B35E615"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Compensación de valores: Tras compensar las sumas mencionadas, resultó un saldo neto a favor de TGI por $1.921.894.211, que debía ser pagado por Montajes JM dentro de los cinco días siguientes.</w:t>
            </w:r>
          </w:p>
          <w:p w14:paraId="0DC8AA78"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Reclamación del seguro: El 28 de diciembre de 2022, TGI notificó el siniestro a La Equidad. Posteriormente, el 15 de octubre de 2024, presentó formal reclamación de indemnización por el incumplimiento de Montajes JM.</w:t>
            </w:r>
          </w:p>
          <w:p w14:paraId="6640745D"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Respuesta de La Equidad: El 6 de noviembre de 2024, La Equidad objetó la reclamación, negándose a pagar la indemnización por el siniestro. Esto motivó que TGI incluyera a La Equidad como parte demandada en este proceso.</w:t>
            </w:r>
          </w:p>
          <w:p w14:paraId="51BD0B85"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Interés moratorio y responsabilidad subsidiaria: TGI solicita la condena a Montajes JM por el saldo adeudado más intereses moratorios desde mayo de 2023. Subsidiariamente, en caso de que no se reconozca la validez del acta de liquidación, TGI pide que se declare el incumplimiento del contrato y se condene a Montajes JM al pago por cláusulas penales.</w:t>
            </w:r>
          </w:p>
          <w:p w14:paraId="285181BA" w14:textId="5C6FD132" w:rsidR="00B2787D" w:rsidRPr="00351B62" w:rsidRDefault="00AD3B34" w:rsidP="00AD3B34">
            <w:pPr>
              <w:spacing w:line="276" w:lineRule="auto"/>
              <w:rPr>
                <w:rFonts w:ascii="Century Gothic" w:hAnsi="Century Gothic"/>
                <w:sz w:val="22"/>
                <w:szCs w:val="22"/>
              </w:rPr>
            </w:pPr>
            <w:r w:rsidRPr="00351B62">
              <w:rPr>
                <w:rFonts w:ascii="Century Gothic" w:hAnsi="Century Gothic"/>
                <w:sz w:val="22"/>
                <w:szCs w:val="22"/>
              </w:rPr>
              <w:t>Responsabilidad de La Equidad: TGI solicita que, como consecuencia del siniestro cubierto por la póliza, se condene a La Equidad a responder por las sumas debidas hasta el límite de la cobertura pactada en el contrato de seguro.</w:t>
            </w:r>
          </w:p>
        </w:tc>
      </w:tr>
    </w:tbl>
    <w:p w14:paraId="20C76EE3" w14:textId="77777777" w:rsidR="003827E1" w:rsidRPr="00351B62" w:rsidRDefault="003827E1">
      <w:pPr>
        <w:rPr>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351B62" w14:paraId="2BD14B8D" w14:textId="77777777" w:rsidTr="0095378E">
        <w:tc>
          <w:tcPr>
            <w:tcW w:w="10207" w:type="dxa"/>
            <w:gridSpan w:val="2"/>
            <w:shd w:val="clear" w:color="auto" w:fill="C5E0B3" w:themeFill="accent6" w:themeFillTint="66"/>
            <w:vAlign w:val="center"/>
          </w:tcPr>
          <w:p w14:paraId="00111EA5" w14:textId="08575358" w:rsidR="007C37D7" w:rsidRPr="00351B62" w:rsidRDefault="007C37D7" w:rsidP="007C37D7">
            <w:pPr>
              <w:spacing w:line="276" w:lineRule="auto"/>
              <w:jc w:val="center"/>
              <w:rPr>
                <w:rFonts w:ascii="Century Gothic" w:hAnsi="Century Gothic"/>
                <w:sz w:val="22"/>
                <w:szCs w:val="22"/>
              </w:rPr>
            </w:pPr>
            <w:r w:rsidRPr="00351B62">
              <w:rPr>
                <w:rFonts w:ascii="Century Gothic" w:hAnsi="Century Gothic"/>
                <w:b/>
                <w:bCs/>
                <w:sz w:val="22"/>
                <w:szCs w:val="22"/>
              </w:rPr>
              <w:lastRenderedPageBreak/>
              <w:t xml:space="preserve">Pretensiones </w:t>
            </w:r>
            <w:r w:rsidRPr="00351B62">
              <w:rPr>
                <w:rFonts w:ascii="Century Gothic" w:hAnsi="Century Gothic"/>
                <w:sz w:val="22"/>
                <w:szCs w:val="22"/>
              </w:rPr>
              <w:t>(haga un relato o enliste las pretensiones de la demanda/llamamiento en garantía)</w:t>
            </w:r>
          </w:p>
        </w:tc>
      </w:tr>
      <w:tr w:rsidR="007C37D7" w:rsidRPr="00351B62" w14:paraId="2B7256CB" w14:textId="77777777" w:rsidTr="006056E7">
        <w:tc>
          <w:tcPr>
            <w:tcW w:w="10207" w:type="dxa"/>
            <w:gridSpan w:val="2"/>
            <w:vAlign w:val="center"/>
          </w:tcPr>
          <w:p w14:paraId="5C0DBA63" w14:textId="1356355A" w:rsidR="00F07DE9" w:rsidRPr="00351B62" w:rsidRDefault="00F07DE9" w:rsidP="00F07DE9">
            <w:pPr>
              <w:pStyle w:val="Prrafodelista"/>
              <w:spacing w:line="276" w:lineRule="auto"/>
              <w:jc w:val="both"/>
              <w:rPr>
                <w:rFonts w:ascii="Century Gothic" w:hAnsi="Century Gothic"/>
                <w:sz w:val="22"/>
                <w:szCs w:val="22"/>
              </w:rPr>
            </w:pPr>
            <w:r w:rsidRPr="00351B62">
              <w:rPr>
                <w:rFonts w:ascii="Century Gothic" w:hAnsi="Century Gothic"/>
                <w:sz w:val="22"/>
                <w:szCs w:val="22"/>
              </w:rPr>
              <w:t>Pretensiones del demandante:</w:t>
            </w:r>
          </w:p>
          <w:p w14:paraId="37FFDA35" w14:textId="77777777" w:rsidR="00F07DE9" w:rsidRPr="00351B62" w:rsidRDefault="00F07DE9" w:rsidP="00F07DE9">
            <w:pPr>
              <w:pStyle w:val="Prrafodelista"/>
              <w:spacing w:line="276" w:lineRule="auto"/>
              <w:jc w:val="both"/>
              <w:rPr>
                <w:rFonts w:ascii="Century Gothic" w:hAnsi="Century Gothic"/>
                <w:sz w:val="22"/>
                <w:szCs w:val="22"/>
              </w:rPr>
            </w:pPr>
          </w:p>
          <w:p w14:paraId="2CCE3F26"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Declarar</w:t>
            </w:r>
            <w:proofErr w:type="gramEnd"/>
            <w:r w:rsidRPr="00351B62">
              <w:rPr>
                <w:rFonts w:ascii="Century Gothic" w:hAnsi="Century Gothic"/>
                <w:sz w:val="22"/>
                <w:szCs w:val="22"/>
              </w:rPr>
              <w:t xml:space="preserve"> que no hubo liquidación bilateral del contrato No. 551000128 por falta de consenso entre TGI y Montajes JM, en la reunión del 25 de abril de 2023.</w:t>
            </w:r>
          </w:p>
          <w:p w14:paraId="7F5961E7"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Declarar</w:t>
            </w:r>
            <w:proofErr w:type="gramEnd"/>
            <w:r w:rsidRPr="00351B62">
              <w:rPr>
                <w:rFonts w:ascii="Century Gothic" w:hAnsi="Century Gothic"/>
                <w:sz w:val="22"/>
                <w:szCs w:val="22"/>
              </w:rPr>
              <w:t xml:space="preserve"> que TGI agotó el procedimiento de liquidación contractual previsto en la cláusula 28 del contrato.</w:t>
            </w:r>
          </w:p>
          <w:p w14:paraId="230DD79A"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Declarar</w:t>
            </w:r>
            <w:proofErr w:type="gramEnd"/>
            <w:r w:rsidRPr="00351B62">
              <w:rPr>
                <w:rFonts w:ascii="Century Gothic" w:hAnsi="Century Gothic"/>
                <w:sz w:val="22"/>
                <w:szCs w:val="22"/>
              </w:rPr>
              <w:t xml:space="preserve"> que TGI tenía derecho a liquidar unilateralmente el contrato ante la falta de acuerdo con Montajes JM.</w:t>
            </w:r>
          </w:p>
          <w:p w14:paraId="6514EC03"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Declarar</w:t>
            </w:r>
            <w:proofErr w:type="gramEnd"/>
            <w:r w:rsidRPr="00351B62">
              <w:rPr>
                <w:rFonts w:ascii="Century Gothic" w:hAnsi="Century Gothic"/>
                <w:sz w:val="22"/>
                <w:szCs w:val="22"/>
              </w:rPr>
              <w:t xml:space="preserve"> que el Acta de Liquidación Unilateral del 26 de abril de 2023 es vinculante para ambas partes.</w:t>
            </w:r>
          </w:p>
          <w:p w14:paraId="6EAF0A5A"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Declarar</w:t>
            </w:r>
            <w:proofErr w:type="gramEnd"/>
            <w:r w:rsidRPr="00351B62">
              <w:rPr>
                <w:rFonts w:ascii="Century Gothic" w:hAnsi="Century Gothic"/>
                <w:sz w:val="22"/>
                <w:szCs w:val="22"/>
              </w:rPr>
              <w:t xml:space="preserve"> que Montajes JM debe pagar a TGI la suma de $2.352.473.569, de conformidad con lo consignado en el numeral </w:t>
            </w:r>
            <w:proofErr w:type="spellStart"/>
            <w:r w:rsidRPr="00351B62">
              <w:rPr>
                <w:rFonts w:ascii="Century Gothic" w:hAnsi="Century Gothic"/>
                <w:sz w:val="22"/>
                <w:szCs w:val="22"/>
              </w:rPr>
              <w:t>ii</w:t>
            </w:r>
            <w:proofErr w:type="spellEnd"/>
            <w:r w:rsidRPr="00351B62">
              <w:rPr>
                <w:rFonts w:ascii="Century Gothic" w:hAnsi="Century Gothic"/>
                <w:sz w:val="22"/>
                <w:szCs w:val="22"/>
              </w:rPr>
              <w:t>) de la cláusula segunda del acta de liquidación.</w:t>
            </w:r>
          </w:p>
          <w:p w14:paraId="4C2D01AD"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Reconocer</w:t>
            </w:r>
            <w:proofErr w:type="gramEnd"/>
            <w:r w:rsidRPr="00351B62">
              <w:rPr>
                <w:rFonts w:ascii="Century Gothic" w:hAnsi="Century Gothic"/>
                <w:sz w:val="22"/>
                <w:szCs w:val="22"/>
              </w:rPr>
              <w:t xml:space="preserve"> que TGI reconoció a Montajes JM el valor de $430.579.358, según el numeral </w:t>
            </w:r>
            <w:proofErr w:type="spellStart"/>
            <w:r w:rsidRPr="00351B62">
              <w:rPr>
                <w:rFonts w:ascii="Century Gothic" w:hAnsi="Century Gothic"/>
                <w:sz w:val="22"/>
                <w:szCs w:val="22"/>
              </w:rPr>
              <w:t>iii</w:t>
            </w:r>
            <w:proofErr w:type="spellEnd"/>
            <w:r w:rsidRPr="00351B62">
              <w:rPr>
                <w:rFonts w:ascii="Century Gothic" w:hAnsi="Century Gothic"/>
                <w:sz w:val="22"/>
                <w:szCs w:val="22"/>
              </w:rPr>
              <w:t>) del acta de liquidación.</w:t>
            </w:r>
          </w:p>
          <w:p w14:paraId="75A621BC"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Declarar</w:t>
            </w:r>
            <w:proofErr w:type="gramEnd"/>
            <w:r w:rsidRPr="00351B62">
              <w:rPr>
                <w:rFonts w:ascii="Century Gothic" w:hAnsi="Century Gothic"/>
                <w:sz w:val="22"/>
                <w:szCs w:val="22"/>
              </w:rPr>
              <w:t xml:space="preserve"> que opera la compensación de valores entre lo adeudado por Montajes JM y lo reconocido por TGI, resultando un saldo a favor de TGI por $1.921.894.211.</w:t>
            </w:r>
          </w:p>
          <w:p w14:paraId="01692BFA"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Condenar a Montajes JM al pago de intereses moratorios sobre la suma anterior, desde el 1 de mayo de 2023 hasta el pago efectivo.</w:t>
            </w:r>
          </w:p>
          <w:p w14:paraId="3AC8C0E8"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Subsidiariamente a lo anterior, solicitar el pago de intereses desde la notificación de la demanda hasta el pago efectivo.</w:t>
            </w:r>
          </w:p>
          <w:p w14:paraId="429D48C4"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Declarar ocurrido el siniestro cubierto por la póliza de cumplimiento No. AA002235, expedida por La Equidad, como consecuencia del incumplimiento contractual de Montajes JM.</w:t>
            </w:r>
          </w:p>
          <w:p w14:paraId="26FD6D42"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Declarar</w:t>
            </w:r>
            <w:proofErr w:type="gramEnd"/>
            <w:r w:rsidRPr="00351B62">
              <w:rPr>
                <w:rFonts w:ascii="Century Gothic" w:hAnsi="Century Gothic"/>
                <w:sz w:val="22"/>
                <w:szCs w:val="22"/>
              </w:rPr>
              <w:t xml:space="preserve"> que La Equidad es responsable por las condenas impuestas a Montajes JM, hasta el límite asegurado en la póliza.</w:t>
            </w:r>
          </w:p>
          <w:p w14:paraId="63553F96"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Condenar a La Equidad a pagar a TGI el valor por el cual Montajes JM sea condenado</w:t>
            </w:r>
          </w:p>
          <w:p w14:paraId="587549B0"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Condenar a La Equidad al pago de intereses moratorios sobre la suma anterior, conforme al artículo 1080 del Código de Comercio</w:t>
            </w:r>
          </w:p>
          <w:p w14:paraId="2698C9DE"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lastRenderedPageBreak/>
              <w:t>Condenar a Montajes JM y a La Equidad al pago de costas procesales y agencias en derecho, conforme al CPACA y el CGP</w:t>
            </w:r>
          </w:p>
          <w:p w14:paraId="4E8516D3" w14:textId="77777777" w:rsidR="00AD3B34" w:rsidRPr="00351B62" w:rsidRDefault="00AD3B34" w:rsidP="00AD3B34">
            <w:pPr>
              <w:spacing w:line="360" w:lineRule="auto"/>
              <w:jc w:val="both"/>
              <w:rPr>
                <w:rFonts w:ascii="Century Gothic" w:hAnsi="Century Gothic"/>
                <w:sz w:val="22"/>
                <w:szCs w:val="22"/>
              </w:rPr>
            </w:pPr>
            <w:r w:rsidRPr="00351B62">
              <w:rPr>
                <w:rFonts w:ascii="Century Gothic" w:hAnsi="Century Gothic"/>
                <w:sz w:val="22"/>
                <w:szCs w:val="22"/>
              </w:rPr>
              <w:t xml:space="preserve">Pretensiones subsidiarias de la demanda:  </w:t>
            </w:r>
          </w:p>
          <w:p w14:paraId="62C979F0"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proofErr w:type="gramStart"/>
            <w:r w:rsidRPr="00351B62">
              <w:rPr>
                <w:rFonts w:ascii="Century Gothic" w:hAnsi="Century Gothic"/>
                <w:sz w:val="22"/>
                <w:szCs w:val="22"/>
              </w:rPr>
              <w:t>Declarar</w:t>
            </w:r>
            <w:proofErr w:type="gramEnd"/>
            <w:r w:rsidRPr="00351B62">
              <w:rPr>
                <w:rFonts w:ascii="Century Gothic" w:hAnsi="Century Gothic"/>
                <w:sz w:val="22"/>
                <w:szCs w:val="22"/>
              </w:rPr>
              <w:t xml:space="preserve"> que Montajes JM incumplió gravemente el contrato No. 551000128 por no cumplir el hito No. 3 (puesta en operación del cruce PHD del río Guayuriba).</w:t>
            </w:r>
          </w:p>
          <w:p w14:paraId="6657CB7F"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Solicitar la liquidación judicial del contrato, teniendo en cuenta las consecuencias del incumplimiento</w:t>
            </w:r>
          </w:p>
          <w:p w14:paraId="5126A2C6"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Condenar a Montajes JM al pago de $2.352.473.569, incluyendo compensaciones pactadas y penalidades contractuales</w:t>
            </w:r>
          </w:p>
          <w:p w14:paraId="523F6563"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Reconocer a Montajes JM sumas por $430.579.358, que TGI no ha compensado: $112.946.222 por actas de entrega parcial y $317.633.136 del fondo de reserva</w:t>
            </w:r>
          </w:p>
          <w:p w14:paraId="65217089"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Declarar la compensación de valores entre TGI y Montajes JM</w:t>
            </w:r>
          </w:p>
          <w:p w14:paraId="4EE73559" w14:textId="77777777" w:rsidR="00AD3B34"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Condenar a Montajes JM a pagar el saldo a favor de TGI resultante de esa compensación.</w:t>
            </w:r>
          </w:p>
          <w:p w14:paraId="77C06868" w14:textId="72AED5B2" w:rsidR="00430BED" w:rsidRPr="00351B62" w:rsidRDefault="00AD3B34" w:rsidP="00AD3B34">
            <w:pPr>
              <w:pStyle w:val="Prrafodelista"/>
              <w:numPr>
                <w:ilvl w:val="0"/>
                <w:numId w:val="12"/>
              </w:numPr>
              <w:spacing w:after="160" w:line="360" w:lineRule="auto"/>
              <w:jc w:val="both"/>
              <w:rPr>
                <w:rFonts w:ascii="Century Gothic" w:hAnsi="Century Gothic"/>
                <w:sz w:val="22"/>
                <w:szCs w:val="22"/>
              </w:rPr>
            </w:pPr>
            <w:r w:rsidRPr="00351B62">
              <w:rPr>
                <w:rFonts w:ascii="Century Gothic" w:hAnsi="Century Gothic"/>
                <w:sz w:val="22"/>
                <w:szCs w:val="22"/>
              </w:rPr>
              <w:t>Condenar a Montajes JM al pago de intereses moratorios sobre el saldo, desde el 1 de mayo de 2023 hasta la fecha efectiva de pago</w:t>
            </w:r>
            <w:r w:rsidR="00430BED" w:rsidRPr="00351B62">
              <w:rPr>
                <w:rFonts w:ascii="Century Gothic" w:hAnsi="Century Gothic"/>
                <w:sz w:val="22"/>
                <w:szCs w:val="22"/>
              </w:rPr>
              <w:t>.</w:t>
            </w:r>
          </w:p>
        </w:tc>
      </w:tr>
      <w:tr w:rsidR="00992368" w:rsidRPr="00351B62" w14:paraId="50D1C7A7" w14:textId="77777777" w:rsidTr="003827E1">
        <w:trPr>
          <w:trHeight w:val="510"/>
        </w:trPr>
        <w:tc>
          <w:tcPr>
            <w:tcW w:w="4537" w:type="dxa"/>
            <w:vAlign w:val="center"/>
          </w:tcPr>
          <w:p w14:paraId="013247F4" w14:textId="68D4118C" w:rsidR="00992368" w:rsidRPr="00351B62" w:rsidRDefault="001E1616" w:rsidP="003B7F1A">
            <w:pPr>
              <w:spacing w:line="276" w:lineRule="auto"/>
              <w:rPr>
                <w:rFonts w:ascii="Century Gothic" w:hAnsi="Century Gothic"/>
                <w:b/>
                <w:bCs/>
                <w:sz w:val="22"/>
                <w:szCs w:val="22"/>
              </w:rPr>
            </w:pPr>
            <w:r w:rsidRPr="00351B62">
              <w:rPr>
                <w:rFonts w:ascii="Century Gothic" w:hAnsi="Century Gothic"/>
                <w:b/>
                <w:bCs/>
                <w:sz w:val="22"/>
                <w:szCs w:val="22"/>
              </w:rPr>
              <w:lastRenderedPageBreak/>
              <w:t xml:space="preserve">Valor total de las pretensiones </w:t>
            </w:r>
          </w:p>
        </w:tc>
        <w:tc>
          <w:tcPr>
            <w:tcW w:w="5670" w:type="dxa"/>
            <w:vAlign w:val="center"/>
          </w:tcPr>
          <w:p w14:paraId="00FEFA37" w14:textId="2A5E3291" w:rsidR="00992368" w:rsidRPr="00351B62" w:rsidRDefault="001E1616" w:rsidP="003827E1">
            <w:pPr>
              <w:spacing w:line="276" w:lineRule="auto"/>
              <w:rPr>
                <w:rFonts w:ascii="Century Gothic" w:hAnsi="Century Gothic"/>
                <w:sz w:val="22"/>
                <w:szCs w:val="22"/>
              </w:rPr>
            </w:pPr>
            <w:r w:rsidRPr="00351B62">
              <w:rPr>
                <w:rFonts w:ascii="Century Gothic" w:hAnsi="Century Gothic"/>
                <w:sz w:val="22"/>
                <w:szCs w:val="22"/>
              </w:rPr>
              <w:t>$</w:t>
            </w:r>
            <w:r w:rsidR="00AD3B34" w:rsidRPr="00351B62">
              <w:rPr>
                <w:rFonts w:ascii="Century Gothic" w:hAnsi="Century Gothic"/>
                <w:sz w:val="22"/>
                <w:szCs w:val="22"/>
              </w:rPr>
              <w:t xml:space="preserve"> </w:t>
            </w:r>
            <w:r w:rsidR="00AD3B34" w:rsidRPr="00351B62">
              <w:rPr>
                <w:rFonts w:ascii="Century Gothic" w:hAnsi="Century Gothic"/>
                <w:bCs/>
                <w:sz w:val="22"/>
                <w:szCs w:val="22"/>
              </w:rPr>
              <w:t>2.352.473.569</w:t>
            </w:r>
          </w:p>
        </w:tc>
      </w:tr>
      <w:tr w:rsidR="00992368" w:rsidRPr="00351B62" w14:paraId="668F9413" w14:textId="77777777" w:rsidTr="003827E1">
        <w:trPr>
          <w:trHeight w:val="510"/>
        </w:trPr>
        <w:tc>
          <w:tcPr>
            <w:tcW w:w="4537" w:type="dxa"/>
            <w:vAlign w:val="center"/>
          </w:tcPr>
          <w:p w14:paraId="34E17619" w14:textId="7EF66606" w:rsidR="00992368" w:rsidRPr="00351B62" w:rsidRDefault="00FD53B3" w:rsidP="003B7F1A">
            <w:pPr>
              <w:spacing w:line="276" w:lineRule="auto"/>
              <w:rPr>
                <w:rFonts w:ascii="Century Gothic" w:hAnsi="Century Gothic"/>
                <w:b/>
                <w:bCs/>
                <w:sz w:val="22"/>
                <w:szCs w:val="22"/>
              </w:rPr>
            </w:pPr>
            <w:r w:rsidRPr="00351B62">
              <w:rPr>
                <w:rFonts w:ascii="Century Gothic" w:hAnsi="Century Gothic"/>
                <w:b/>
                <w:bCs/>
                <w:sz w:val="22"/>
                <w:szCs w:val="22"/>
              </w:rPr>
              <w:t>Valor total de las pretensiones objetivadas</w:t>
            </w:r>
          </w:p>
        </w:tc>
        <w:tc>
          <w:tcPr>
            <w:tcW w:w="5670" w:type="dxa"/>
            <w:vAlign w:val="center"/>
          </w:tcPr>
          <w:p w14:paraId="487C6084" w14:textId="59B7A1C0" w:rsidR="00992368" w:rsidRPr="00351B62" w:rsidRDefault="00AD3B34" w:rsidP="003827E1">
            <w:pPr>
              <w:spacing w:line="276" w:lineRule="auto"/>
              <w:rPr>
                <w:rFonts w:ascii="Century Gothic" w:hAnsi="Century Gothic"/>
                <w:sz w:val="22"/>
                <w:szCs w:val="22"/>
              </w:rPr>
            </w:pPr>
            <w:r w:rsidRPr="00351B62">
              <w:rPr>
                <w:rFonts w:ascii="Century Gothic" w:hAnsi="Century Gothic"/>
                <w:bCs/>
                <w:sz w:val="22"/>
                <w:szCs w:val="22"/>
              </w:rPr>
              <w:t>$ 1.921.894.211</w:t>
            </w:r>
          </w:p>
        </w:tc>
      </w:tr>
    </w:tbl>
    <w:p w14:paraId="146E9C6D" w14:textId="77777777" w:rsidR="0095378E" w:rsidRPr="00351B62" w:rsidRDefault="0095378E">
      <w:pPr>
        <w:rPr>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351B62" w14:paraId="77F9F71B" w14:textId="77777777" w:rsidTr="0095378E">
        <w:trPr>
          <w:trHeight w:val="285"/>
        </w:trPr>
        <w:tc>
          <w:tcPr>
            <w:tcW w:w="10191" w:type="dxa"/>
            <w:shd w:val="clear" w:color="auto" w:fill="C5E0B3" w:themeFill="accent6" w:themeFillTint="66"/>
            <w:vAlign w:val="center"/>
          </w:tcPr>
          <w:p w14:paraId="10E33877" w14:textId="0E982702" w:rsidR="00E802BC" w:rsidRPr="00351B62" w:rsidRDefault="00E802BC" w:rsidP="00E802BC">
            <w:pPr>
              <w:spacing w:line="276" w:lineRule="auto"/>
              <w:jc w:val="center"/>
              <w:rPr>
                <w:rFonts w:ascii="Century Gothic" w:hAnsi="Century Gothic"/>
                <w:sz w:val="22"/>
                <w:szCs w:val="22"/>
              </w:rPr>
            </w:pPr>
            <w:r w:rsidRPr="00351B62">
              <w:rPr>
                <w:rFonts w:ascii="Century Gothic" w:hAnsi="Century Gothic"/>
                <w:b/>
                <w:bCs/>
                <w:sz w:val="22"/>
                <w:szCs w:val="22"/>
              </w:rPr>
              <w:t>Liquidación de las pretensiones objetivadas</w:t>
            </w:r>
          </w:p>
        </w:tc>
      </w:tr>
      <w:tr w:rsidR="00E802BC" w:rsidRPr="00351B62" w14:paraId="33786C43" w14:textId="77777777" w:rsidTr="0095378E">
        <w:trPr>
          <w:trHeight w:val="6406"/>
        </w:trPr>
        <w:tc>
          <w:tcPr>
            <w:tcW w:w="10191" w:type="dxa"/>
            <w:vAlign w:val="center"/>
          </w:tcPr>
          <w:p w14:paraId="69F60FC4" w14:textId="77777777" w:rsidR="007B3CF8" w:rsidRPr="00351B62" w:rsidRDefault="007B3CF8" w:rsidP="000837E7">
            <w:pPr>
              <w:spacing w:line="276" w:lineRule="auto"/>
              <w:rPr>
                <w:rFonts w:ascii="Century Gothic" w:hAnsi="Century Gothic"/>
                <w:sz w:val="22"/>
                <w:szCs w:val="22"/>
              </w:rPr>
            </w:pPr>
          </w:p>
          <w:p w14:paraId="70A7BDE7" w14:textId="77777777" w:rsidR="00AD3B34" w:rsidRPr="00351B62" w:rsidRDefault="00AD3B34" w:rsidP="00AD3B34">
            <w:pPr>
              <w:spacing w:line="360" w:lineRule="auto"/>
              <w:jc w:val="both"/>
              <w:rPr>
                <w:rFonts w:ascii="Century Gothic" w:hAnsi="Century Gothic"/>
                <w:b/>
                <w:sz w:val="22"/>
                <w:szCs w:val="22"/>
              </w:rPr>
            </w:pPr>
            <w:r w:rsidRPr="00351B62">
              <w:rPr>
                <w:rFonts w:ascii="Century Gothic" w:hAnsi="Century Gothic"/>
                <w:b/>
                <w:sz w:val="22"/>
                <w:szCs w:val="22"/>
              </w:rPr>
              <w:t xml:space="preserve">$ </w:t>
            </w:r>
            <w:r w:rsidRPr="00351B62">
              <w:rPr>
                <w:rFonts w:ascii="Century Gothic" w:hAnsi="Century Gothic"/>
                <w:bCs/>
                <w:sz w:val="22"/>
                <w:szCs w:val="22"/>
              </w:rPr>
              <w:t>1.921.894.211, a este valor se llegó de la siguiente manera:</w:t>
            </w:r>
          </w:p>
          <w:p w14:paraId="6E2D471E" w14:textId="77777777" w:rsidR="00AD3B34" w:rsidRPr="00351B62" w:rsidRDefault="00AD3B34" w:rsidP="00AD3B34">
            <w:pPr>
              <w:pStyle w:val="Prrafodelista"/>
              <w:numPr>
                <w:ilvl w:val="0"/>
                <w:numId w:val="12"/>
              </w:numPr>
              <w:spacing w:after="160" w:line="360" w:lineRule="auto"/>
              <w:jc w:val="both"/>
              <w:rPr>
                <w:rFonts w:ascii="Century Gothic" w:hAnsi="Century Gothic"/>
                <w:b/>
                <w:sz w:val="22"/>
                <w:szCs w:val="22"/>
              </w:rPr>
            </w:pPr>
            <w:r w:rsidRPr="00351B62">
              <w:rPr>
                <w:rFonts w:ascii="Century Gothic" w:hAnsi="Century Gothic"/>
                <w:b/>
                <w:sz w:val="22"/>
                <w:szCs w:val="22"/>
              </w:rPr>
              <w:t xml:space="preserve">Valor asegurado en la póliza de cumplimiento No. AA002235 (Amparo de cumplimiento): </w:t>
            </w:r>
            <w:r w:rsidRPr="00351B62">
              <w:rPr>
                <w:rFonts w:ascii="Century Gothic" w:hAnsi="Century Gothic"/>
                <w:bCs/>
                <w:sz w:val="22"/>
                <w:szCs w:val="22"/>
              </w:rPr>
              <w:t>$ 3,264,076,816</w:t>
            </w:r>
          </w:p>
          <w:p w14:paraId="5A0E4202" w14:textId="77777777" w:rsidR="00AD3B34" w:rsidRPr="00351B62" w:rsidRDefault="00AD3B34" w:rsidP="00AD3B34">
            <w:pPr>
              <w:pStyle w:val="Prrafodelista"/>
              <w:numPr>
                <w:ilvl w:val="0"/>
                <w:numId w:val="12"/>
              </w:numPr>
              <w:spacing w:after="160" w:line="360" w:lineRule="auto"/>
              <w:jc w:val="both"/>
              <w:rPr>
                <w:rFonts w:ascii="Century Gothic" w:hAnsi="Century Gothic"/>
                <w:b/>
                <w:sz w:val="22"/>
                <w:szCs w:val="22"/>
              </w:rPr>
            </w:pPr>
            <w:r w:rsidRPr="00351B62">
              <w:rPr>
                <w:rFonts w:ascii="Century Gothic" w:hAnsi="Century Gothic"/>
                <w:b/>
                <w:sz w:val="22"/>
                <w:szCs w:val="22"/>
              </w:rPr>
              <w:t xml:space="preserve">Valor total adeudado por Montajes JM (pretensión quinta): </w:t>
            </w:r>
            <w:r w:rsidRPr="00351B62">
              <w:rPr>
                <w:rFonts w:ascii="Century Gothic" w:hAnsi="Century Gothic"/>
                <w:bCs/>
                <w:sz w:val="22"/>
                <w:szCs w:val="22"/>
              </w:rPr>
              <w:t>$ 2.352.473.569</w:t>
            </w:r>
            <w:r w:rsidRPr="00351B62">
              <w:rPr>
                <w:rFonts w:ascii="Century Gothic" w:hAnsi="Century Gothic"/>
                <w:b/>
                <w:sz w:val="22"/>
                <w:szCs w:val="22"/>
              </w:rPr>
              <w:t xml:space="preserve"> </w:t>
            </w:r>
          </w:p>
          <w:p w14:paraId="70072728" w14:textId="77777777" w:rsidR="00AD3B34" w:rsidRPr="00351B62" w:rsidRDefault="00AD3B34" w:rsidP="00AD3B34">
            <w:pPr>
              <w:pStyle w:val="Prrafodelista"/>
              <w:numPr>
                <w:ilvl w:val="0"/>
                <w:numId w:val="12"/>
              </w:numPr>
              <w:spacing w:after="160" w:line="360" w:lineRule="auto"/>
              <w:jc w:val="both"/>
              <w:rPr>
                <w:rFonts w:ascii="Century Gothic" w:hAnsi="Century Gothic"/>
                <w:b/>
                <w:sz w:val="22"/>
                <w:szCs w:val="22"/>
              </w:rPr>
            </w:pPr>
            <w:r w:rsidRPr="00351B62">
              <w:rPr>
                <w:rFonts w:ascii="Century Gothic" w:hAnsi="Century Gothic"/>
                <w:b/>
                <w:sz w:val="22"/>
                <w:szCs w:val="22"/>
              </w:rPr>
              <w:t xml:space="preserve">Valor reconocido por TGI a Montajes JM (pretensión sexta): </w:t>
            </w:r>
            <w:r w:rsidRPr="00351B62">
              <w:rPr>
                <w:rFonts w:ascii="Century Gothic" w:hAnsi="Century Gothic"/>
                <w:bCs/>
                <w:sz w:val="22"/>
                <w:szCs w:val="22"/>
              </w:rPr>
              <w:t>$ 430.579.358</w:t>
            </w:r>
          </w:p>
          <w:p w14:paraId="5D7620F7" w14:textId="77777777" w:rsidR="00AD3B34" w:rsidRPr="00351B62" w:rsidRDefault="00AD3B34" w:rsidP="00AD3B34">
            <w:pPr>
              <w:pStyle w:val="Prrafodelista"/>
              <w:numPr>
                <w:ilvl w:val="0"/>
                <w:numId w:val="12"/>
              </w:numPr>
              <w:spacing w:after="160" w:line="360" w:lineRule="auto"/>
              <w:jc w:val="both"/>
              <w:rPr>
                <w:rFonts w:ascii="Century Gothic" w:hAnsi="Century Gothic"/>
                <w:b/>
                <w:sz w:val="22"/>
                <w:szCs w:val="22"/>
              </w:rPr>
            </w:pPr>
            <w:r w:rsidRPr="00351B62">
              <w:rPr>
                <w:rFonts w:ascii="Century Gothic" w:hAnsi="Century Gothic"/>
                <w:b/>
                <w:sz w:val="22"/>
                <w:szCs w:val="22"/>
              </w:rPr>
              <w:t>Sin deducible pactado</w:t>
            </w:r>
          </w:p>
          <w:p w14:paraId="17DB9241" w14:textId="77777777" w:rsidR="00AD3B34" w:rsidRPr="00351B62" w:rsidRDefault="00AD3B34" w:rsidP="00AD3B34">
            <w:pPr>
              <w:pStyle w:val="Prrafodelista"/>
              <w:numPr>
                <w:ilvl w:val="0"/>
                <w:numId w:val="12"/>
              </w:numPr>
              <w:spacing w:after="160" w:line="360" w:lineRule="auto"/>
              <w:jc w:val="both"/>
              <w:rPr>
                <w:rFonts w:ascii="Century Gothic" w:hAnsi="Century Gothic"/>
                <w:b/>
                <w:sz w:val="22"/>
                <w:szCs w:val="22"/>
              </w:rPr>
            </w:pPr>
            <w:r w:rsidRPr="00351B62">
              <w:rPr>
                <w:rFonts w:ascii="Century Gothic" w:hAnsi="Century Gothic"/>
                <w:b/>
                <w:sz w:val="22"/>
                <w:szCs w:val="22"/>
              </w:rPr>
              <w:t>Sin coaseguro</w:t>
            </w:r>
          </w:p>
          <w:p w14:paraId="5D867804" w14:textId="77777777" w:rsidR="00AD3B34" w:rsidRPr="00351B62" w:rsidRDefault="00AD3B34" w:rsidP="00AD3B34">
            <w:pPr>
              <w:spacing w:line="360" w:lineRule="auto"/>
              <w:jc w:val="both"/>
              <w:rPr>
                <w:rFonts w:ascii="Century Gothic" w:hAnsi="Century Gothic"/>
                <w:b/>
                <w:sz w:val="22"/>
                <w:szCs w:val="22"/>
              </w:rPr>
            </w:pPr>
            <w:r w:rsidRPr="00351B62">
              <w:rPr>
                <w:rFonts w:ascii="Century Gothic" w:hAnsi="Century Gothic"/>
                <w:b/>
                <w:sz w:val="22"/>
                <w:szCs w:val="22"/>
              </w:rPr>
              <w:t>Formula: (Valor adeudado por Montajes JM - Valor reconocido por TGI a Montajes JM =Perdida que debería asumir la compañía)</w:t>
            </w:r>
          </w:p>
          <w:p w14:paraId="0AB71855" w14:textId="77777777" w:rsidR="00AD3B34" w:rsidRPr="00351B62" w:rsidRDefault="00AD3B34" w:rsidP="00AD3B34">
            <w:pPr>
              <w:spacing w:line="360" w:lineRule="auto"/>
              <w:jc w:val="both"/>
              <w:rPr>
                <w:rFonts w:ascii="Century Gothic" w:hAnsi="Century Gothic"/>
                <w:bCs/>
                <w:sz w:val="22"/>
                <w:szCs w:val="22"/>
              </w:rPr>
            </w:pPr>
            <w:r w:rsidRPr="00351B62">
              <w:rPr>
                <w:rFonts w:ascii="Century Gothic" w:hAnsi="Century Gothic"/>
                <w:b/>
                <w:sz w:val="22"/>
                <w:szCs w:val="22"/>
              </w:rPr>
              <w:t xml:space="preserve">   (</w:t>
            </w:r>
            <w:r w:rsidRPr="00351B62">
              <w:rPr>
                <w:rFonts w:ascii="Century Gothic" w:hAnsi="Century Gothic"/>
                <w:bCs/>
                <w:sz w:val="22"/>
                <w:szCs w:val="22"/>
              </w:rPr>
              <w:t>2.352.473.569 - 430.579.358 = 1.921.894.211</w:t>
            </w:r>
            <w:r w:rsidRPr="00351B62">
              <w:rPr>
                <w:rFonts w:ascii="Century Gothic" w:hAnsi="Century Gothic"/>
                <w:b/>
                <w:sz w:val="22"/>
                <w:szCs w:val="22"/>
              </w:rPr>
              <w:t>)</w:t>
            </w:r>
          </w:p>
          <w:p w14:paraId="31FF8AB1" w14:textId="75A9CDF4" w:rsidR="00B61EAC" w:rsidRPr="00351B62" w:rsidRDefault="00AD3B34" w:rsidP="00AD3B34">
            <w:pPr>
              <w:spacing w:line="360" w:lineRule="auto"/>
              <w:jc w:val="both"/>
              <w:rPr>
                <w:rFonts w:ascii="Century Gothic" w:hAnsi="Century Gothic"/>
                <w:b/>
                <w:sz w:val="22"/>
                <w:szCs w:val="22"/>
              </w:rPr>
            </w:pPr>
            <w:proofErr w:type="gramStart"/>
            <w:r w:rsidRPr="00351B62">
              <w:rPr>
                <w:rFonts w:ascii="Century Gothic" w:hAnsi="Century Gothic"/>
                <w:b/>
                <w:sz w:val="22"/>
                <w:szCs w:val="22"/>
              </w:rPr>
              <w:t>Total</w:t>
            </w:r>
            <w:proofErr w:type="gramEnd"/>
            <w:r w:rsidRPr="00351B62">
              <w:rPr>
                <w:rFonts w:ascii="Century Gothic" w:hAnsi="Century Gothic"/>
                <w:b/>
                <w:sz w:val="22"/>
                <w:szCs w:val="22"/>
              </w:rPr>
              <w:t xml:space="preserve"> perdida que debería asumir la compañía: </w:t>
            </w:r>
            <w:r w:rsidRPr="00351B62">
              <w:rPr>
                <w:rFonts w:ascii="Century Gothic" w:hAnsi="Century Gothic"/>
                <w:bCs/>
                <w:sz w:val="22"/>
                <w:szCs w:val="22"/>
              </w:rPr>
              <w:t>$ 1.921.894.211</w:t>
            </w:r>
          </w:p>
        </w:tc>
      </w:tr>
    </w:tbl>
    <w:p w14:paraId="7273C5A1" w14:textId="77777777" w:rsidR="0095378E" w:rsidRPr="00351B62" w:rsidRDefault="0095378E">
      <w:pPr>
        <w:rPr>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351B62" w14:paraId="05674BEA" w14:textId="77777777" w:rsidTr="0095378E">
        <w:trPr>
          <w:trHeight w:val="321"/>
        </w:trPr>
        <w:tc>
          <w:tcPr>
            <w:tcW w:w="10207" w:type="dxa"/>
            <w:shd w:val="clear" w:color="auto" w:fill="C5E0B3" w:themeFill="accent6" w:themeFillTint="66"/>
            <w:vAlign w:val="center"/>
          </w:tcPr>
          <w:p w14:paraId="2BB97918" w14:textId="52E94393" w:rsidR="003B7F1A" w:rsidRPr="00351B62" w:rsidRDefault="003B7F1A" w:rsidP="003B7F1A">
            <w:pPr>
              <w:spacing w:line="276" w:lineRule="auto"/>
              <w:jc w:val="center"/>
              <w:rPr>
                <w:rFonts w:ascii="Century Gothic" w:hAnsi="Century Gothic"/>
                <w:sz w:val="22"/>
                <w:szCs w:val="22"/>
              </w:rPr>
            </w:pPr>
            <w:r w:rsidRPr="00351B62">
              <w:rPr>
                <w:rFonts w:ascii="Century Gothic" w:hAnsi="Century Gothic"/>
                <w:b/>
                <w:bCs/>
                <w:sz w:val="22"/>
                <w:szCs w:val="22"/>
              </w:rPr>
              <w:t>Excepciones</w:t>
            </w:r>
          </w:p>
        </w:tc>
      </w:tr>
      <w:tr w:rsidR="003B7F1A" w:rsidRPr="00351B62" w14:paraId="4AAD7549" w14:textId="77777777" w:rsidTr="0095378E">
        <w:trPr>
          <w:trHeight w:val="3906"/>
        </w:trPr>
        <w:tc>
          <w:tcPr>
            <w:tcW w:w="10207" w:type="dxa"/>
            <w:vAlign w:val="center"/>
          </w:tcPr>
          <w:p w14:paraId="277ACCA4" w14:textId="77777777" w:rsidR="003B7F1A" w:rsidRPr="00351B62" w:rsidRDefault="00496C7D" w:rsidP="00496C7D">
            <w:pPr>
              <w:pStyle w:val="Prrafodelista"/>
              <w:numPr>
                <w:ilvl w:val="0"/>
                <w:numId w:val="2"/>
              </w:numPr>
              <w:spacing w:line="276" w:lineRule="auto"/>
              <w:rPr>
                <w:rFonts w:ascii="Century Gothic" w:hAnsi="Century Gothic"/>
                <w:sz w:val="22"/>
                <w:szCs w:val="22"/>
              </w:rPr>
            </w:pPr>
            <w:r w:rsidRPr="00351B62">
              <w:rPr>
                <w:rFonts w:ascii="Century Gothic" w:hAnsi="Century Gothic"/>
                <w:sz w:val="22"/>
                <w:szCs w:val="22"/>
              </w:rPr>
              <w:t>Excepciones frente a la demanda:</w:t>
            </w:r>
          </w:p>
          <w:p w14:paraId="178326F6" w14:textId="77777777" w:rsidR="00F5107C" w:rsidRPr="00351B62" w:rsidRDefault="00F5107C" w:rsidP="00F5107C">
            <w:pPr>
              <w:pStyle w:val="Prrafodelista"/>
              <w:spacing w:line="276" w:lineRule="auto"/>
              <w:rPr>
                <w:rFonts w:ascii="Century Gothic" w:hAnsi="Century Gothic"/>
                <w:sz w:val="22"/>
                <w:szCs w:val="22"/>
              </w:rPr>
            </w:pPr>
          </w:p>
          <w:p w14:paraId="1D0C8506" w14:textId="77777777" w:rsidR="00451E60" w:rsidRPr="00351B62" w:rsidRDefault="00451E60" w:rsidP="00451E60">
            <w:pPr>
              <w:pStyle w:val="Prrafodelista"/>
              <w:numPr>
                <w:ilvl w:val="0"/>
                <w:numId w:val="13"/>
              </w:numPr>
              <w:spacing w:after="160" w:line="360" w:lineRule="auto"/>
              <w:jc w:val="both"/>
              <w:rPr>
                <w:rFonts w:ascii="Century Gothic" w:hAnsi="Century Gothic"/>
                <w:sz w:val="22"/>
                <w:szCs w:val="22"/>
              </w:rPr>
            </w:pPr>
            <w:r w:rsidRPr="00351B62">
              <w:rPr>
                <w:rFonts w:ascii="Century Gothic" w:hAnsi="Century Gothic"/>
                <w:sz w:val="22"/>
                <w:szCs w:val="22"/>
              </w:rPr>
              <w:t>DEL CUMPLIMIENTO CONTRACTUAL POR PARTE DEL CONTRATISTA, MONTAJES JM S.A.</w:t>
            </w:r>
          </w:p>
          <w:p w14:paraId="045807F5" w14:textId="77777777" w:rsidR="00451E60" w:rsidRPr="00351B62" w:rsidRDefault="00451E60" w:rsidP="00451E60">
            <w:pPr>
              <w:numPr>
                <w:ilvl w:val="0"/>
                <w:numId w:val="13"/>
              </w:numPr>
              <w:spacing w:after="160" w:line="360" w:lineRule="auto"/>
              <w:jc w:val="both"/>
              <w:rPr>
                <w:rFonts w:ascii="Century Gothic" w:hAnsi="Century Gothic"/>
                <w:color w:val="000000"/>
                <w:sz w:val="22"/>
                <w:szCs w:val="22"/>
              </w:rPr>
            </w:pPr>
            <w:r w:rsidRPr="00351B62">
              <w:rPr>
                <w:rFonts w:ascii="Century Gothic" w:hAnsi="Century Gothic"/>
                <w:color w:val="000000"/>
                <w:sz w:val="22"/>
                <w:szCs w:val="22"/>
              </w:rPr>
              <w:t>FUERZA MAYOR COMO EXIMENTE DE RESPONSABILIDAD CIVIL CONTRACTUAL</w:t>
            </w:r>
          </w:p>
          <w:p w14:paraId="4035EE23" w14:textId="77777777" w:rsidR="00451E60" w:rsidRPr="00351B62" w:rsidRDefault="00451E60" w:rsidP="00451E60">
            <w:pPr>
              <w:numPr>
                <w:ilvl w:val="0"/>
                <w:numId w:val="13"/>
              </w:numPr>
              <w:spacing w:after="160" w:line="360" w:lineRule="auto"/>
              <w:jc w:val="both"/>
              <w:rPr>
                <w:rFonts w:ascii="Century Gothic" w:hAnsi="Century Gothic"/>
                <w:color w:val="000000"/>
                <w:sz w:val="22"/>
                <w:szCs w:val="22"/>
              </w:rPr>
            </w:pPr>
            <w:r w:rsidRPr="00351B62">
              <w:rPr>
                <w:rFonts w:ascii="Century Gothic" w:hAnsi="Century Gothic"/>
                <w:color w:val="000000"/>
                <w:sz w:val="22"/>
                <w:szCs w:val="22"/>
              </w:rPr>
              <w:t>IMPROCEDENCIA DE LA CLÁUSULA PENAL DE APREMIO POR FALTA DE INCUMPLIMIENTO SUSTANCIAL</w:t>
            </w:r>
          </w:p>
          <w:p w14:paraId="6FFD8E07" w14:textId="77777777" w:rsidR="00451E60" w:rsidRPr="00351B62" w:rsidRDefault="00451E60" w:rsidP="00451E60">
            <w:pPr>
              <w:pStyle w:val="Prrafodelista"/>
              <w:numPr>
                <w:ilvl w:val="0"/>
                <w:numId w:val="13"/>
              </w:numPr>
              <w:spacing w:after="160" w:line="360" w:lineRule="auto"/>
              <w:jc w:val="both"/>
              <w:rPr>
                <w:rFonts w:ascii="Century Gothic" w:hAnsi="Century Gothic"/>
                <w:sz w:val="22"/>
                <w:szCs w:val="22"/>
              </w:rPr>
            </w:pPr>
            <w:r w:rsidRPr="00351B62">
              <w:rPr>
                <w:rFonts w:ascii="Century Gothic" w:hAnsi="Century Gothic"/>
                <w:sz w:val="22"/>
                <w:szCs w:val="22"/>
              </w:rPr>
              <w:t>COMPENSACIÓN IMPROCEDENTE DE SALDOS NO CONCILIADOS.</w:t>
            </w:r>
          </w:p>
          <w:p w14:paraId="6D3E9029" w14:textId="77777777" w:rsidR="00451E60" w:rsidRPr="00351B62" w:rsidRDefault="00451E60" w:rsidP="00451E60">
            <w:pPr>
              <w:pStyle w:val="Prrafodelista"/>
              <w:spacing w:line="360" w:lineRule="auto"/>
              <w:jc w:val="both"/>
              <w:rPr>
                <w:rFonts w:ascii="Century Gothic" w:hAnsi="Century Gothic"/>
                <w:sz w:val="22"/>
                <w:szCs w:val="22"/>
              </w:rPr>
            </w:pPr>
          </w:p>
          <w:p w14:paraId="142D6B36" w14:textId="77777777" w:rsidR="00451E60" w:rsidRPr="00351B62" w:rsidRDefault="00451E60" w:rsidP="00451E60">
            <w:pPr>
              <w:pStyle w:val="Prrafodelista"/>
              <w:numPr>
                <w:ilvl w:val="0"/>
                <w:numId w:val="13"/>
              </w:numPr>
              <w:spacing w:after="160" w:line="360" w:lineRule="auto"/>
              <w:jc w:val="both"/>
              <w:rPr>
                <w:rFonts w:ascii="Century Gothic" w:hAnsi="Century Gothic"/>
                <w:sz w:val="22"/>
                <w:szCs w:val="22"/>
              </w:rPr>
            </w:pPr>
            <w:r w:rsidRPr="00351B62">
              <w:rPr>
                <w:rFonts w:ascii="Century Gothic" w:hAnsi="Century Gothic"/>
                <w:sz w:val="22"/>
                <w:szCs w:val="22"/>
              </w:rPr>
              <w:t>CUMPLIMIENTO PARCIAL DEL CONTRATO NO. 551000128 POR PARTE DE MONTAJES JM S.A.</w:t>
            </w:r>
          </w:p>
          <w:p w14:paraId="2D76A2E7" w14:textId="77777777" w:rsidR="00451E60" w:rsidRPr="00351B62" w:rsidRDefault="00451E60" w:rsidP="00451E60">
            <w:pPr>
              <w:pStyle w:val="Prrafodelista"/>
              <w:numPr>
                <w:ilvl w:val="0"/>
                <w:numId w:val="13"/>
              </w:numPr>
              <w:spacing w:after="160" w:line="360" w:lineRule="auto"/>
              <w:jc w:val="both"/>
              <w:rPr>
                <w:rFonts w:ascii="Century Gothic" w:hAnsi="Century Gothic"/>
                <w:sz w:val="22"/>
                <w:szCs w:val="22"/>
              </w:rPr>
            </w:pPr>
            <w:r w:rsidRPr="00351B62">
              <w:rPr>
                <w:rFonts w:ascii="Century Gothic" w:hAnsi="Century Gothic"/>
                <w:sz w:val="22"/>
                <w:szCs w:val="22"/>
              </w:rPr>
              <w:t>LAS EXCEPCIONES PLANTEADAS POR EL CONTRATISTA MONTAJES JM S.A.</w:t>
            </w:r>
          </w:p>
          <w:p w14:paraId="3B5438CE" w14:textId="77777777" w:rsidR="00451E60" w:rsidRPr="00351B62" w:rsidRDefault="00451E60" w:rsidP="00451E60">
            <w:pPr>
              <w:pStyle w:val="Prrafodelista"/>
              <w:numPr>
                <w:ilvl w:val="0"/>
                <w:numId w:val="13"/>
              </w:numPr>
              <w:spacing w:after="160" w:line="360" w:lineRule="auto"/>
              <w:jc w:val="both"/>
              <w:rPr>
                <w:rFonts w:ascii="Century Gothic" w:hAnsi="Century Gothic"/>
                <w:sz w:val="22"/>
                <w:szCs w:val="22"/>
              </w:rPr>
            </w:pPr>
            <w:r w:rsidRPr="00351B62">
              <w:rPr>
                <w:rFonts w:ascii="Century Gothic" w:hAnsi="Century Gothic"/>
                <w:sz w:val="22"/>
                <w:szCs w:val="22"/>
              </w:rPr>
              <w:t>GENERICA O INNOMINADA</w:t>
            </w:r>
          </w:p>
          <w:p w14:paraId="29141C37" w14:textId="77777777" w:rsidR="00451E60" w:rsidRPr="00351B62" w:rsidRDefault="00451E60" w:rsidP="00451E60">
            <w:pPr>
              <w:spacing w:line="360" w:lineRule="auto"/>
              <w:jc w:val="both"/>
              <w:rPr>
                <w:rFonts w:ascii="Century Gothic" w:hAnsi="Century Gothic"/>
                <w:sz w:val="22"/>
                <w:szCs w:val="22"/>
              </w:rPr>
            </w:pPr>
            <w:r w:rsidRPr="00351B62">
              <w:rPr>
                <w:rFonts w:ascii="Century Gothic" w:hAnsi="Century Gothic"/>
                <w:sz w:val="22"/>
                <w:szCs w:val="22"/>
              </w:rPr>
              <w:t>Excepciones referentes al contrato de seguro:</w:t>
            </w:r>
          </w:p>
          <w:p w14:paraId="038B3A9B" w14:textId="77777777" w:rsidR="00451E60"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lastRenderedPageBreak/>
              <w:t>PRESCRIPCIÓN DE LAS ACCIONES DERIVADAS DEL CONTRATO DE SEGURO.</w:t>
            </w:r>
          </w:p>
          <w:p w14:paraId="0F5410DF" w14:textId="77777777" w:rsidR="00451E60"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t>AGRAVACIÓN DEL ESTADO DEL RIESGO DEBIDO A LA FALTA DE NOTIFICACIÓN OPORTUNA DEL PERCANCE NATURAL DEL RÍO UPÍA</w:t>
            </w:r>
          </w:p>
          <w:p w14:paraId="2717F635" w14:textId="77777777" w:rsidR="00451E60"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t>ACTOS MERAMENTE POTESTATIVOS DE TGI S.A COMO RIESGOS INASEGURABLES</w:t>
            </w:r>
          </w:p>
          <w:p w14:paraId="5D4D15C3" w14:textId="77777777" w:rsidR="00451E60"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t>EXCLUSIONES DE AMPARO PACTADAS EN LA PÓLIZA DE CUMPLIMIENTO EN FAVOR DE ESP NO. AA002235</w:t>
            </w:r>
          </w:p>
          <w:p w14:paraId="7148B0C1" w14:textId="77777777" w:rsidR="00451E60"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t>INEXIGIBILIDAD DE LA OBLIGACIÓN INDEMNIZATORIA A CARGO DE LA COMPAÑÍA ASEGURADORA POR CUANTO NO SE HA REALIZADO EL RIESGO ASEGURADO EN LA PÓLIZA DE CUMPLIMIENTO EN FAVOR DE ESP NO. AA002235</w:t>
            </w:r>
          </w:p>
          <w:p w14:paraId="0CB1D0EE" w14:textId="77777777" w:rsidR="00451E60"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t>CARÁCTER MERAMENTE INDEMNIZATORIO QUE REVISTEN LOS CONTRATOS DE SEGURO.</w:t>
            </w:r>
          </w:p>
          <w:p w14:paraId="1CA8F4D5" w14:textId="77777777" w:rsidR="00451E60"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t>LÍMITES MÁXIMOS PACTADOS EN EL CONTRATO DE SEGURO DOCUMENTADO EN LA PÓLIZA DE CUMPLIMIENTO EN FAVOR DE ESP NO. AA002235.</w:t>
            </w:r>
          </w:p>
          <w:p w14:paraId="18C555F7" w14:textId="77777777" w:rsidR="00451E60"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t>SUBROGACIÓN (Se presento en escrito aparte, llamamiento en garantía con fines de subrogación).</w:t>
            </w:r>
          </w:p>
          <w:p w14:paraId="52CE2D52" w14:textId="15434C1B" w:rsidR="00786E86" w:rsidRPr="00351B62" w:rsidRDefault="00451E60" w:rsidP="00451E60">
            <w:pPr>
              <w:pStyle w:val="Prrafodelista"/>
              <w:numPr>
                <w:ilvl w:val="0"/>
                <w:numId w:val="14"/>
              </w:numPr>
              <w:spacing w:after="160" w:line="360" w:lineRule="auto"/>
              <w:jc w:val="both"/>
              <w:rPr>
                <w:rFonts w:ascii="Century Gothic" w:hAnsi="Century Gothic"/>
                <w:sz w:val="22"/>
                <w:szCs w:val="22"/>
              </w:rPr>
            </w:pPr>
            <w:r w:rsidRPr="00351B62">
              <w:rPr>
                <w:rFonts w:ascii="Century Gothic" w:hAnsi="Century Gothic"/>
                <w:sz w:val="22"/>
                <w:szCs w:val="22"/>
              </w:rPr>
              <w:t>GENÉRICA O INNOMINADA</w:t>
            </w:r>
          </w:p>
        </w:tc>
      </w:tr>
    </w:tbl>
    <w:p w14:paraId="0AA122B4" w14:textId="77777777" w:rsidR="00F67EF8" w:rsidRPr="00351B62"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351B62" w14:paraId="4B531C7D" w14:textId="77777777" w:rsidTr="40F7E47C">
        <w:trPr>
          <w:trHeight w:val="454"/>
        </w:trPr>
        <w:tc>
          <w:tcPr>
            <w:tcW w:w="3266" w:type="dxa"/>
            <w:vAlign w:val="center"/>
            <w:hideMark/>
          </w:tcPr>
          <w:p w14:paraId="3F99B56F" w14:textId="1315CCDB" w:rsidR="00EE687D" w:rsidRPr="00351B62" w:rsidRDefault="006F0CAA" w:rsidP="00EB6A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9D8EF61" w:rsidR="00EE687D" w:rsidRPr="00351B62" w:rsidRDefault="00000000" w:rsidP="00EB6AB4">
            <w:pPr>
              <w:jc w:val="both"/>
              <w:rPr>
                <w:rFonts w:ascii="Century Gothic" w:hAnsi="Century Gothic" w:cs="Segoe UI"/>
                <w:sz w:val="22"/>
                <w:szCs w:val="22"/>
                <w:lang w:eastAsia="es-CO"/>
              </w:rPr>
            </w:pPr>
            <w:sdt>
              <w:sdtPr>
                <w:rPr>
                  <w:rStyle w:val="Estilo3"/>
                  <w:b w:val="0"/>
                  <w:sz w:val="22"/>
                  <w:szCs w:val="22"/>
                </w:rPr>
                <w:alias w:val="NUMUERO SINIESTRO"/>
                <w:tag w:val="NUMERO SINIESTRO"/>
                <w:id w:val="1952504439"/>
                <w:placeholder>
                  <w:docPart w:val="CC0E1773AB7B49AE8A3A53761347CED9"/>
                </w:placeholder>
                <w:text/>
              </w:sdtPr>
              <w:sdtContent>
                <w:r w:rsidR="00AD3B34" w:rsidRPr="00351B62">
                  <w:rPr>
                    <w:rStyle w:val="Estilo3"/>
                    <w:sz w:val="22"/>
                    <w:szCs w:val="22"/>
                  </w:rPr>
                  <w:t>10268185</w:t>
                </w:r>
              </w:sdtContent>
            </w:sdt>
          </w:p>
        </w:tc>
      </w:tr>
      <w:tr w:rsidR="006F0CAA" w:rsidRPr="00351B62" w14:paraId="7A21B905" w14:textId="77777777" w:rsidTr="40F7E47C">
        <w:trPr>
          <w:trHeight w:val="454"/>
        </w:trPr>
        <w:tc>
          <w:tcPr>
            <w:tcW w:w="3266" w:type="dxa"/>
            <w:vAlign w:val="center"/>
          </w:tcPr>
          <w:p w14:paraId="533380A9" w14:textId="7103E52D" w:rsidR="006F0CAA" w:rsidRPr="00351B62" w:rsidRDefault="006F0CAA" w:rsidP="40F7E47C">
            <w:pPr>
              <w:jc w:val="both"/>
              <w:textAlignment w:val="baseline"/>
              <w:rPr>
                <w:rFonts w:ascii="Century Gothic" w:hAnsi="Century Gothic"/>
                <w:b/>
                <w:bCs/>
                <w:color w:val="000000"/>
                <w:sz w:val="22"/>
                <w:szCs w:val="22"/>
                <w:shd w:val="clear" w:color="auto" w:fill="FFFFFF"/>
                <w:lang w:val="es-ES" w:eastAsia="es-CO"/>
              </w:rPr>
            </w:pPr>
            <w:r w:rsidRPr="00351B62">
              <w:rPr>
                <w:rFonts w:ascii="Century Gothic" w:hAnsi="Century Gothic"/>
                <w:b/>
                <w:bCs/>
                <w:color w:val="000000"/>
                <w:sz w:val="22"/>
                <w:szCs w:val="22"/>
                <w:shd w:val="clear" w:color="auto" w:fill="FFFFFF"/>
                <w:lang w:val="es-ES" w:eastAsia="es-CO"/>
              </w:rPr>
              <w:t xml:space="preserve">Caso </w:t>
            </w:r>
            <w:proofErr w:type="spellStart"/>
            <w:r w:rsidRPr="00351B62">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3BB6CBB7" w:rsidR="006F0CAA" w:rsidRPr="00351B62" w:rsidRDefault="00351B62" w:rsidP="00EB6A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214009</w:t>
            </w:r>
          </w:p>
        </w:tc>
      </w:tr>
      <w:tr w:rsidR="00EE687D" w:rsidRPr="00351B62" w14:paraId="00877764" w14:textId="77777777" w:rsidTr="40F7E47C">
        <w:trPr>
          <w:trHeight w:val="454"/>
        </w:trPr>
        <w:tc>
          <w:tcPr>
            <w:tcW w:w="3266" w:type="dxa"/>
            <w:vAlign w:val="center"/>
            <w:hideMark/>
          </w:tcPr>
          <w:p w14:paraId="749E810E" w14:textId="77777777" w:rsidR="00EE687D" w:rsidRPr="00351B62" w:rsidRDefault="00EE687D" w:rsidP="00EB6A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Póliza</w:t>
            </w:r>
          </w:p>
        </w:tc>
        <w:tc>
          <w:tcPr>
            <w:tcW w:w="6941" w:type="dxa"/>
            <w:vAlign w:val="center"/>
          </w:tcPr>
          <w:p w14:paraId="105CAF28" w14:textId="69B7A837" w:rsidR="00786E86" w:rsidRPr="00351B62" w:rsidRDefault="00000000" w:rsidP="00786E86">
            <w:pPr>
              <w:spacing w:line="276" w:lineRule="auto"/>
              <w:jc w:val="both"/>
              <w:rPr>
                <w:rFonts w:ascii="Century Gothic" w:hAnsi="Century Gothic"/>
                <w:sz w:val="22"/>
                <w:szCs w:val="22"/>
              </w:rPr>
            </w:pPr>
            <w:sdt>
              <w:sdtPr>
                <w:rPr>
                  <w:rStyle w:val="Estilo3"/>
                  <w:b w:val="0"/>
                  <w:sz w:val="22"/>
                  <w:szCs w:val="22"/>
                </w:rPr>
                <w:alias w:val="PÓLIZA"/>
                <w:tag w:val="PÓLIZA"/>
                <w:id w:val="481668139"/>
                <w:placeholder>
                  <w:docPart w:val="B9E8589727A244BBB2E403A05CAE654C"/>
                </w:placeholder>
                <w:text/>
              </w:sdtPr>
              <w:sdtContent>
                <w:r w:rsidR="00AD3B34" w:rsidRPr="00351B62">
                  <w:rPr>
                    <w:rStyle w:val="Estilo3"/>
                    <w:b w:val="0"/>
                    <w:sz w:val="22"/>
                    <w:szCs w:val="22"/>
                  </w:rPr>
                  <w:t xml:space="preserve">Póliza de cumplimiento A FAVOR DE ESP No. AA002235 </w:t>
                </w:r>
              </w:sdtContent>
            </w:sdt>
          </w:p>
          <w:p w14:paraId="7FC9EC9E" w14:textId="7B9BD2FB" w:rsidR="00EE687D" w:rsidRPr="00351B62" w:rsidRDefault="00EE687D" w:rsidP="00786E86">
            <w:pPr>
              <w:pStyle w:val="Prrafodelista"/>
              <w:tabs>
                <w:tab w:val="left" w:pos="5626"/>
              </w:tabs>
              <w:spacing w:after="200" w:line="360" w:lineRule="auto"/>
              <w:jc w:val="both"/>
              <w:rPr>
                <w:rFonts w:ascii="Century Gothic" w:hAnsi="Century Gothic" w:cs="Segoe UI"/>
                <w:sz w:val="22"/>
                <w:szCs w:val="22"/>
                <w:lang w:eastAsia="es-CO"/>
              </w:rPr>
            </w:pPr>
          </w:p>
        </w:tc>
      </w:tr>
      <w:tr w:rsidR="00EE687D" w:rsidRPr="00351B62" w14:paraId="3260B646" w14:textId="77777777" w:rsidTr="40F7E47C">
        <w:trPr>
          <w:trHeight w:val="454"/>
        </w:trPr>
        <w:tc>
          <w:tcPr>
            <w:tcW w:w="3266" w:type="dxa"/>
            <w:vAlign w:val="center"/>
            <w:hideMark/>
          </w:tcPr>
          <w:p w14:paraId="67FBF2E5" w14:textId="77777777" w:rsidR="00EE687D" w:rsidRPr="00351B62" w:rsidRDefault="00EE687D" w:rsidP="00EB6A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C6659BC" w:rsidR="00EE687D" w:rsidRPr="00351B62" w:rsidRDefault="00351B62" w:rsidP="00EB6A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AB000139</w:t>
            </w:r>
          </w:p>
        </w:tc>
      </w:tr>
      <w:tr w:rsidR="00EE687D" w:rsidRPr="00351B62" w14:paraId="0BC7C6A3" w14:textId="77777777" w:rsidTr="40F7E47C">
        <w:trPr>
          <w:trHeight w:val="454"/>
        </w:trPr>
        <w:tc>
          <w:tcPr>
            <w:tcW w:w="3266" w:type="dxa"/>
            <w:vAlign w:val="center"/>
            <w:hideMark/>
          </w:tcPr>
          <w:p w14:paraId="433D63BC" w14:textId="77777777" w:rsidR="00EE687D" w:rsidRPr="00351B62" w:rsidRDefault="00EE687D" w:rsidP="00EB6A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Orden</w:t>
            </w:r>
          </w:p>
        </w:tc>
        <w:tc>
          <w:tcPr>
            <w:tcW w:w="6941" w:type="dxa"/>
            <w:vAlign w:val="center"/>
          </w:tcPr>
          <w:p w14:paraId="25280801" w14:textId="0D8D53F2" w:rsidR="00EE687D" w:rsidRPr="00351B62" w:rsidRDefault="00351B62" w:rsidP="00EB6A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1</w:t>
            </w:r>
          </w:p>
        </w:tc>
      </w:tr>
      <w:tr w:rsidR="00B90E05" w:rsidRPr="00351B62" w14:paraId="3ACEF28A" w14:textId="77777777" w:rsidTr="40F7E47C">
        <w:trPr>
          <w:trHeight w:val="454"/>
        </w:trPr>
        <w:tc>
          <w:tcPr>
            <w:tcW w:w="3266" w:type="dxa"/>
            <w:vAlign w:val="center"/>
          </w:tcPr>
          <w:p w14:paraId="0881BFDC" w14:textId="40C44F4A" w:rsidR="00B90E05" w:rsidRPr="00351B62" w:rsidRDefault="00B90E05" w:rsidP="00EB6AB4">
            <w:pPr>
              <w:jc w:val="both"/>
              <w:textAlignment w:val="baseline"/>
              <w:rPr>
                <w:rFonts w:ascii="Century Gothic" w:hAnsi="Century Gothic"/>
                <w:b/>
                <w:bCs/>
                <w:color w:val="000000"/>
                <w:sz w:val="22"/>
                <w:szCs w:val="22"/>
                <w:shd w:val="clear" w:color="auto" w:fill="FFFFFF"/>
                <w:lang w:eastAsia="es-CO"/>
              </w:rPr>
            </w:pPr>
            <w:r w:rsidRPr="00351B62">
              <w:rPr>
                <w:rFonts w:ascii="Century Gothic" w:hAnsi="Century Gothic"/>
                <w:b/>
                <w:bCs/>
                <w:color w:val="000000"/>
                <w:sz w:val="22"/>
                <w:szCs w:val="22"/>
                <w:shd w:val="clear" w:color="auto" w:fill="FFFFFF"/>
                <w:lang w:eastAsia="es-CO"/>
              </w:rPr>
              <w:t>Sucursal</w:t>
            </w:r>
          </w:p>
        </w:tc>
        <w:tc>
          <w:tcPr>
            <w:tcW w:w="6941" w:type="dxa"/>
            <w:vAlign w:val="center"/>
          </w:tcPr>
          <w:p w14:paraId="74AA0D59" w14:textId="68F13992" w:rsidR="00B90E05" w:rsidRPr="00351B62" w:rsidRDefault="00000000" w:rsidP="00EB6AB4">
            <w:pPr>
              <w:jc w:val="both"/>
              <w:rPr>
                <w:rFonts w:ascii="Century Gothic" w:hAnsi="Century Gothic" w:cs="Segoe UI"/>
                <w:sz w:val="22"/>
                <w:szCs w:val="22"/>
                <w:lang w:eastAsia="es-CO"/>
              </w:rPr>
            </w:pPr>
            <w:sdt>
              <w:sdtPr>
                <w:rPr>
                  <w:rStyle w:val="Estilo3"/>
                  <w:b w:val="0"/>
                  <w:sz w:val="22"/>
                  <w:szCs w:val="22"/>
                </w:rPr>
                <w:alias w:val="AGENCIA"/>
                <w:tag w:val="AGENCIA"/>
                <w:id w:val="-905370247"/>
                <w:placeholder>
                  <w:docPart w:val="190CF9787D6E4D569B0C1BEBA569159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AD3B34" w:rsidRPr="00351B62">
                  <w:rPr>
                    <w:rStyle w:val="Estilo3"/>
                    <w:b w:val="0"/>
                    <w:sz w:val="22"/>
                    <w:szCs w:val="22"/>
                  </w:rPr>
                  <w:t>100068 ALTERNATIVAS EN RIESGOS LABORALES LTDA</w:t>
                </w:r>
              </w:sdtContent>
            </w:sdt>
          </w:p>
        </w:tc>
      </w:tr>
      <w:tr w:rsidR="00EE687D" w:rsidRPr="00351B62" w14:paraId="4BCD09C7" w14:textId="77777777" w:rsidTr="40F7E47C">
        <w:trPr>
          <w:trHeight w:val="454"/>
        </w:trPr>
        <w:tc>
          <w:tcPr>
            <w:tcW w:w="3266" w:type="dxa"/>
            <w:vAlign w:val="center"/>
            <w:hideMark/>
          </w:tcPr>
          <w:p w14:paraId="0A1C1E81" w14:textId="17519C67" w:rsidR="00EE687D" w:rsidRPr="00351B62" w:rsidRDefault="001C44B4" w:rsidP="00EB6A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E5E47D3" w:rsidR="00EE687D" w:rsidRPr="00351B62" w:rsidRDefault="00351B62" w:rsidP="00EB6A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N/A</w:t>
            </w:r>
          </w:p>
        </w:tc>
      </w:tr>
      <w:tr w:rsidR="001C44B4" w:rsidRPr="00351B62" w14:paraId="0BA9ECEE" w14:textId="77777777" w:rsidTr="40F7E47C">
        <w:trPr>
          <w:trHeight w:val="454"/>
        </w:trPr>
        <w:tc>
          <w:tcPr>
            <w:tcW w:w="3266" w:type="dxa"/>
            <w:vAlign w:val="center"/>
          </w:tcPr>
          <w:p w14:paraId="7B70AF59" w14:textId="749D67BE" w:rsidR="001C44B4" w:rsidRPr="00351B62" w:rsidRDefault="001C44B4" w:rsidP="001C44B4">
            <w:pPr>
              <w:jc w:val="both"/>
              <w:textAlignment w:val="baseline"/>
              <w:rPr>
                <w:rFonts w:ascii="Century Gothic" w:hAnsi="Century Gothic"/>
                <w:b/>
                <w:bCs/>
                <w:color w:val="000000"/>
                <w:sz w:val="22"/>
                <w:szCs w:val="22"/>
                <w:shd w:val="clear" w:color="auto" w:fill="FFFFFF"/>
                <w:lang w:eastAsia="es-CO"/>
              </w:rPr>
            </w:pPr>
            <w:r w:rsidRPr="00351B62">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FC0958E" w:rsidR="001C44B4" w:rsidRPr="00351B62" w:rsidRDefault="00351B62"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01/20/2023</w:t>
            </w:r>
          </w:p>
        </w:tc>
      </w:tr>
      <w:tr w:rsidR="001C44B4" w:rsidRPr="00351B62" w14:paraId="05412033" w14:textId="77777777" w:rsidTr="40F7E47C">
        <w:trPr>
          <w:trHeight w:val="454"/>
        </w:trPr>
        <w:tc>
          <w:tcPr>
            <w:tcW w:w="3266" w:type="dxa"/>
            <w:vAlign w:val="center"/>
          </w:tcPr>
          <w:p w14:paraId="43E688BB" w14:textId="54B02C3E" w:rsidR="001C44B4" w:rsidRPr="00351B62" w:rsidRDefault="001C44B4" w:rsidP="001C44B4">
            <w:pPr>
              <w:jc w:val="both"/>
              <w:textAlignment w:val="baseline"/>
              <w:rPr>
                <w:rFonts w:ascii="Century Gothic" w:hAnsi="Century Gothic"/>
                <w:b/>
                <w:bCs/>
                <w:color w:val="000000"/>
                <w:sz w:val="22"/>
                <w:szCs w:val="22"/>
                <w:shd w:val="clear" w:color="auto" w:fill="FFFFFF"/>
                <w:lang w:eastAsia="es-CO"/>
              </w:rPr>
            </w:pPr>
            <w:r w:rsidRPr="00351B62">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024C3F7" w:rsidR="001C44B4" w:rsidRPr="00351B62" w:rsidRDefault="00351B62"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01/20/2023</w:t>
            </w:r>
          </w:p>
        </w:tc>
      </w:tr>
      <w:tr w:rsidR="001C44B4" w:rsidRPr="00351B62" w14:paraId="6DB6B020" w14:textId="77777777" w:rsidTr="40F7E47C">
        <w:trPr>
          <w:trHeight w:val="454"/>
        </w:trPr>
        <w:tc>
          <w:tcPr>
            <w:tcW w:w="3266" w:type="dxa"/>
            <w:vAlign w:val="center"/>
          </w:tcPr>
          <w:p w14:paraId="13FCE7D8" w14:textId="6EA7D194" w:rsidR="001C44B4" w:rsidRPr="00351B62" w:rsidRDefault="001C44B4" w:rsidP="001C44B4">
            <w:pPr>
              <w:jc w:val="both"/>
              <w:textAlignment w:val="baseline"/>
              <w:rPr>
                <w:rFonts w:ascii="Century Gothic" w:hAnsi="Century Gothic"/>
                <w:b/>
                <w:bCs/>
                <w:color w:val="000000"/>
                <w:sz w:val="22"/>
                <w:szCs w:val="22"/>
                <w:shd w:val="clear" w:color="auto" w:fill="FFFFFF"/>
                <w:lang w:eastAsia="es-CO"/>
              </w:rPr>
            </w:pPr>
            <w:r w:rsidRPr="00351B62">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AC29548" w:rsidR="001C44B4" w:rsidRPr="00351B62" w:rsidRDefault="00351B62"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CUOTA PARTE</w:t>
            </w:r>
          </w:p>
        </w:tc>
      </w:tr>
      <w:tr w:rsidR="001C44B4" w:rsidRPr="00351B62" w14:paraId="2F1DA9E6" w14:textId="77777777" w:rsidTr="40F7E47C">
        <w:trPr>
          <w:trHeight w:val="454"/>
        </w:trPr>
        <w:tc>
          <w:tcPr>
            <w:tcW w:w="3266" w:type="dxa"/>
            <w:vAlign w:val="center"/>
          </w:tcPr>
          <w:p w14:paraId="3ECF2237" w14:textId="5FB6285C" w:rsidR="001C44B4" w:rsidRPr="00351B62" w:rsidRDefault="008B685D" w:rsidP="001C44B4">
            <w:pPr>
              <w:jc w:val="both"/>
              <w:textAlignment w:val="baseline"/>
              <w:rPr>
                <w:rFonts w:ascii="Century Gothic" w:hAnsi="Century Gothic"/>
                <w:b/>
                <w:bCs/>
                <w:color w:val="000000"/>
                <w:sz w:val="22"/>
                <w:szCs w:val="22"/>
                <w:shd w:val="clear" w:color="auto" w:fill="FFFFFF"/>
                <w:lang w:eastAsia="es-CO"/>
              </w:rPr>
            </w:pPr>
            <w:r w:rsidRPr="00351B62">
              <w:rPr>
                <w:rFonts w:ascii="Century Gothic" w:hAnsi="Century Gothic"/>
                <w:b/>
                <w:bCs/>
                <w:color w:val="000000"/>
                <w:sz w:val="22"/>
                <w:szCs w:val="22"/>
                <w:shd w:val="clear" w:color="auto" w:fill="FFFFFF"/>
                <w:lang w:eastAsia="es-CO"/>
              </w:rPr>
              <w:t>Tomador</w:t>
            </w:r>
          </w:p>
        </w:tc>
        <w:tc>
          <w:tcPr>
            <w:tcW w:w="6941" w:type="dxa"/>
            <w:vAlign w:val="center"/>
          </w:tcPr>
          <w:p w14:paraId="2B607964" w14:textId="1031EF6F" w:rsidR="001C44B4" w:rsidRPr="00351B62" w:rsidRDefault="00AD3B34"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 xml:space="preserve">MONTAJES JM </w:t>
            </w:r>
            <w:proofErr w:type="gramStart"/>
            <w:r w:rsidRPr="00351B62">
              <w:rPr>
                <w:rFonts w:ascii="Century Gothic" w:hAnsi="Century Gothic" w:cs="Segoe UI"/>
                <w:sz w:val="22"/>
                <w:szCs w:val="22"/>
                <w:lang w:eastAsia="es-CO"/>
              </w:rPr>
              <w:t>S.A</w:t>
            </w:r>
            <w:proofErr w:type="gramEnd"/>
          </w:p>
        </w:tc>
      </w:tr>
      <w:tr w:rsidR="001C44B4" w:rsidRPr="00351B62" w14:paraId="1165CBE1" w14:textId="77777777" w:rsidTr="40F7E47C">
        <w:trPr>
          <w:trHeight w:val="454"/>
        </w:trPr>
        <w:tc>
          <w:tcPr>
            <w:tcW w:w="3266" w:type="dxa"/>
            <w:vAlign w:val="center"/>
          </w:tcPr>
          <w:p w14:paraId="640F2169" w14:textId="4903327C" w:rsidR="001C44B4" w:rsidRPr="00351B62" w:rsidRDefault="008B685D" w:rsidP="001C44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2F1D46C" w:rsidR="001C44B4" w:rsidRPr="00351B62" w:rsidRDefault="00AD3B34"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TRANSPORTADORA DE GAS INTERNACIONAL TGI S.A E.</w:t>
            </w:r>
            <w:proofErr w:type="gramStart"/>
            <w:r w:rsidRPr="00351B62">
              <w:rPr>
                <w:rFonts w:ascii="Century Gothic" w:hAnsi="Century Gothic" w:cs="Segoe UI"/>
                <w:sz w:val="22"/>
                <w:szCs w:val="22"/>
                <w:lang w:eastAsia="es-CO"/>
              </w:rPr>
              <w:t>S.P</w:t>
            </w:r>
            <w:proofErr w:type="gramEnd"/>
          </w:p>
        </w:tc>
      </w:tr>
      <w:tr w:rsidR="001C44B4" w:rsidRPr="00351B62" w14:paraId="513C2A8D" w14:textId="77777777" w:rsidTr="40F7E47C">
        <w:trPr>
          <w:trHeight w:val="454"/>
        </w:trPr>
        <w:tc>
          <w:tcPr>
            <w:tcW w:w="3266" w:type="dxa"/>
            <w:vAlign w:val="center"/>
            <w:hideMark/>
          </w:tcPr>
          <w:p w14:paraId="5E1FDA28" w14:textId="16DB1B8E" w:rsidR="001C44B4" w:rsidRPr="00351B62" w:rsidRDefault="008B685D" w:rsidP="001C44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lastRenderedPageBreak/>
              <w:t>Ramo</w:t>
            </w:r>
          </w:p>
        </w:tc>
        <w:tc>
          <w:tcPr>
            <w:tcW w:w="6941" w:type="dxa"/>
            <w:vAlign w:val="center"/>
          </w:tcPr>
          <w:p w14:paraId="0701202E" w14:textId="2126D060" w:rsidR="001C44B4" w:rsidRPr="00351B62" w:rsidRDefault="00000000" w:rsidP="001C44B4">
            <w:pPr>
              <w:jc w:val="both"/>
              <w:rPr>
                <w:rFonts w:ascii="Century Gothic" w:hAnsi="Century Gothic" w:cs="Segoe UI"/>
                <w:sz w:val="22"/>
                <w:szCs w:val="22"/>
                <w:lang w:eastAsia="es-CO"/>
              </w:rPr>
            </w:pPr>
            <w:sdt>
              <w:sdtPr>
                <w:rPr>
                  <w:rStyle w:val="Estilo3"/>
                  <w:b w:val="0"/>
                  <w:sz w:val="22"/>
                  <w:szCs w:val="22"/>
                </w:rPr>
                <w:alias w:val="RAMO"/>
                <w:tag w:val="RAMO"/>
                <w:id w:val="1551490706"/>
                <w:placeholder>
                  <w:docPart w:val="1C75E68377954921B7FC7486B3B80FDD"/>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D3B34" w:rsidRPr="00351B62">
                  <w:rPr>
                    <w:rStyle w:val="Estilo3"/>
                    <w:b w:val="0"/>
                    <w:sz w:val="22"/>
                    <w:szCs w:val="22"/>
                  </w:rPr>
                  <w:t>CUMPLIMIENTO ESTATAL</w:t>
                </w:r>
              </w:sdtContent>
            </w:sdt>
          </w:p>
        </w:tc>
      </w:tr>
      <w:tr w:rsidR="001C44B4" w:rsidRPr="00351B62" w14:paraId="2F8ECFA3" w14:textId="77777777" w:rsidTr="40F7E47C">
        <w:trPr>
          <w:trHeight w:val="454"/>
        </w:trPr>
        <w:tc>
          <w:tcPr>
            <w:tcW w:w="3266" w:type="dxa"/>
            <w:vAlign w:val="center"/>
            <w:hideMark/>
          </w:tcPr>
          <w:p w14:paraId="0C3932A6" w14:textId="2792643B" w:rsidR="001C44B4" w:rsidRPr="00351B62" w:rsidRDefault="008B685D" w:rsidP="001C44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E25C5A3" w:rsidR="001C44B4" w:rsidRPr="00351B62" w:rsidRDefault="006E24BF"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CUMPLIMIENTO</w:t>
            </w:r>
          </w:p>
        </w:tc>
      </w:tr>
      <w:tr w:rsidR="001C44B4" w:rsidRPr="00351B62" w14:paraId="59B4A554" w14:textId="77777777" w:rsidTr="40F7E47C">
        <w:trPr>
          <w:trHeight w:val="454"/>
        </w:trPr>
        <w:tc>
          <w:tcPr>
            <w:tcW w:w="3266" w:type="dxa"/>
            <w:vAlign w:val="center"/>
            <w:hideMark/>
          </w:tcPr>
          <w:p w14:paraId="0412A958" w14:textId="77777777" w:rsidR="001C44B4" w:rsidRPr="00351B62" w:rsidRDefault="001C44B4" w:rsidP="001C44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955BDF6" w:rsidR="001C44B4" w:rsidRPr="00351B62" w:rsidRDefault="00140F27"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w:t>
            </w:r>
            <w:r w:rsidR="00AD3B34" w:rsidRPr="00351B62">
              <w:rPr>
                <w:rFonts w:ascii="Century Gothic" w:hAnsi="Century Gothic"/>
                <w:sz w:val="22"/>
                <w:szCs w:val="22"/>
              </w:rPr>
              <w:t xml:space="preserve"> </w:t>
            </w:r>
            <w:sdt>
              <w:sdtPr>
                <w:rPr>
                  <w:rFonts w:ascii="Century Gothic" w:hAnsi="Century Gothic"/>
                  <w:sz w:val="22"/>
                  <w:szCs w:val="22"/>
                </w:rPr>
                <w:alias w:val="VALOR"/>
                <w:tag w:val="VALOR"/>
                <w:id w:val="-187528886"/>
                <w:placeholder>
                  <w:docPart w:val="2DD671D5BE8F46798893E4ED9A00EB23"/>
                </w:placeholder>
                <w:text/>
              </w:sdtPr>
              <w:sdtContent>
                <w:r w:rsidR="00AD3B34" w:rsidRPr="00351B62">
                  <w:rPr>
                    <w:rFonts w:ascii="Century Gothic" w:hAnsi="Century Gothic"/>
                    <w:sz w:val="22"/>
                    <w:szCs w:val="22"/>
                  </w:rPr>
                  <w:t>3,264,076,816</w:t>
                </w:r>
              </w:sdtContent>
            </w:sdt>
          </w:p>
        </w:tc>
      </w:tr>
      <w:tr w:rsidR="001129B6" w:rsidRPr="00351B62" w14:paraId="2F24D88E" w14:textId="77777777" w:rsidTr="40F7E47C">
        <w:trPr>
          <w:trHeight w:val="454"/>
        </w:trPr>
        <w:tc>
          <w:tcPr>
            <w:tcW w:w="3266" w:type="dxa"/>
            <w:vAlign w:val="center"/>
          </w:tcPr>
          <w:p w14:paraId="0E72F2CD" w14:textId="1A6BE851" w:rsidR="001129B6" w:rsidRPr="00351B62" w:rsidRDefault="001129B6" w:rsidP="001C44B4">
            <w:pPr>
              <w:jc w:val="both"/>
              <w:textAlignment w:val="baseline"/>
              <w:rPr>
                <w:rFonts w:ascii="Century Gothic" w:hAnsi="Century Gothic"/>
                <w:b/>
                <w:bCs/>
                <w:color w:val="000000"/>
                <w:sz w:val="22"/>
                <w:szCs w:val="22"/>
                <w:shd w:val="clear" w:color="auto" w:fill="FFFFFF"/>
                <w:lang w:eastAsia="es-CO"/>
              </w:rPr>
            </w:pPr>
            <w:r w:rsidRPr="00351B62">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746B20B" w:rsidR="001129B6" w:rsidRPr="00351B62" w:rsidRDefault="00140F27"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N/a</w:t>
            </w:r>
            <w:r w:rsidR="00AD3B34" w:rsidRPr="00351B62">
              <w:rPr>
                <w:rFonts w:ascii="Century Gothic" w:hAnsi="Century Gothic" w:cs="Segoe UI"/>
                <w:sz w:val="22"/>
                <w:szCs w:val="22"/>
                <w:lang w:eastAsia="es-CO"/>
              </w:rPr>
              <w:t xml:space="preserve"> (Demanda directa)</w:t>
            </w:r>
          </w:p>
        </w:tc>
      </w:tr>
      <w:tr w:rsidR="001C44B4" w:rsidRPr="00351B62" w14:paraId="658B9E4D" w14:textId="77777777" w:rsidTr="40F7E47C">
        <w:trPr>
          <w:trHeight w:val="454"/>
        </w:trPr>
        <w:tc>
          <w:tcPr>
            <w:tcW w:w="3266" w:type="dxa"/>
            <w:vAlign w:val="center"/>
            <w:hideMark/>
          </w:tcPr>
          <w:p w14:paraId="02377331" w14:textId="79A3F98F" w:rsidR="001C44B4" w:rsidRPr="00351B62" w:rsidRDefault="002633C0" w:rsidP="001C44B4">
            <w:pPr>
              <w:jc w:val="both"/>
              <w:textAlignment w:val="baseline"/>
              <w:rPr>
                <w:rFonts w:ascii="Century Gothic" w:hAnsi="Century Gothic" w:cs="Segoe UI"/>
                <w:sz w:val="22"/>
                <w:szCs w:val="22"/>
                <w:lang w:eastAsia="es-CO"/>
              </w:rPr>
            </w:pPr>
            <w:r w:rsidRPr="00351B62">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25644CF" w:rsidR="001C44B4" w:rsidRPr="00351B62" w:rsidRDefault="002633C0" w:rsidP="001C44B4">
            <w:pPr>
              <w:jc w:val="both"/>
              <w:rPr>
                <w:rFonts w:ascii="Century Gothic" w:hAnsi="Century Gothic" w:cs="Segoe UI"/>
                <w:sz w:val="22"/>
                <w:szCs w:val="22"/>
                <w:lang w:eastAsia="es-CO"/>
              </w:rPr>
            </w:pPr>
            <w:r w:rsidRPr="00351B62">
              <w:rPr>
                <w:rFonts w:ascii="Century Gothic" w:hAnsi="Century Gothic" w:cs="Segoe UI"/>
                <w:sz w:val="22"/>
                <w:szCs w:val="22"/>
                <w:lang w:eastAsia="es-CO"/>
              </w:rPr>
              <w:t xml:space="preserve"> $ </w:t>
            </w:r>
            <w:r w:rsidR="006E24BF" w:rsidRPr="00351B62">
              <w:rPr>
                <w:rFonts w:ascii="Century Gothic" w:hAnsi="Century Gothic" w:cs="Segoe UI"/>
                <w:sz w:val="22"/>
                <w:szCs w:val="22"/>
                <w:lang w:eastAsia="es-CO"/>
              </w:rPr>
              <w:t>0</w:t>
            </w:r>
          </w:p>
        </w:tc>
      </w:tr>
    </w:tbl>
    <w:p w14:paraId="397A1D68" w14:textId="77777777" w:rsidR="003B44CB" w:rsidRPr="00351B62" w:rsidRDefault="003B44CB" w:rsidP="003314A2">
      <w:pPr>
        <w:spacing w:line="360" w:lineRule="auto"/>
        <w:rPr>
          <w:rFonts w:ascii="Century Gothic" w:hAnsi="Century Gothic"/>
          <w:sz w:val="22"/>
          <w:szCs w:val="22"/>
        </w:rPr>
      </w:pPr>
    </w:p>
    <w:p w14:paraId="61F56879" w14:textId="77777777" w:rsidR="0095378E" w:rsidRPr="00351B62" w:rsidRDefault="0095378E">
      <w:pPr>
        <w:rPr>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351B62" w14:paraId="49B1F103" w14:textId="77777777" w:rsidTr="00BA1E5F">
        <w:tc>
          <w:tcPr>
            <w:tcW w:w="3687" w:type="dxa"/>
          </w:tcPr>
          <w:p w14:paraId="673B76C6" w14:textId="23992614" w:rsidR="002633C0" w:rsidRPr="00351B62" w:rsidRDefault="00BA1E5F" w:rsidP="003314A2">
            <w:pPr>
              <w:spacing w:line="360" w:lineRule="auto"/>
              <w:rPr>
                <w:rFonts w:ascii="Century Gothic" w:hAnsi="Century Gothic"/>
                <w:sz w:val="22"/>
                <w:szCs w:val="22"/>
              </w:rPr>
            </w:pPr>
            <w:r w:rsidRPr="00351B62">
              <w:rPr>
                <w:rFonts w:ascii="Century Gothic" w:hAnsi="Century Gothic"/>
                <w:b/>
                <w:bCs/>
                <w:sz w:val="22"/>
                <w:szCs w:val="22"/>
              </w:rPr>
              <w:t>Calificación de la contingencia</w:t>
            </w:r>
          </w:p>
        </w:tc>
        <w:tc>
          <w:tcPr>
            <w:tcW w:w="6520" w:type="dxa"/>
          </w:tcPr>
          <w:p w14:paraId="6F4874B3" w14:textId="28D4AC6F" w:rsidR="002633C0" w:rsidRPr="00351B62" w:rsidRDefault="00AD3B34" w:rsidP="003314A2">
            <w:pPr>
              <w:spacing w:line="360" w:lineRule="auto"/>
              <w:rPr>
                <w:rFonts w:ascii="Century Gothic" w:hAnsi="Century Gothic"/>
                <w:sz w:val="22"/>
                <w:szCs w:val="22"/>
              </w:rPr>
            </w:pPr>
            <w:r w:rsidRPr="00351B62">
              <w:rPr>
                <w:rFonts w:ascii="Century Gothic" w:hAnsi="Century Gothic"/>
                <w:sz w:val="22"/>
                <w:szCs w:val="22"/>
              </w:rPr>
              <w:t>PROBABLE</w:t>
            </w:r>
          </w:p>
        </w:tc>
      </w:tr>
      <w:tr w:rsidR="002633C0" w:rsidRPr="00351B62" w14:paraId="47B026EC" w14:textId="77777777" w:rsidTr="00BA1E5F">
        <w:tc>
          <w:tcPr>
            <w:tcW w:w="3687" w:type="dxa"/>
          </w:tcPr>
          <w:p w14:paraId="4A77CED7" w14:textId="00C97735" w:rsidR="002633C0" w:rsidRPr="00351B62" w:rsidRDefault="00BA1E5F" w:rsidP="003314A2">
            <w:pPr>
              <w:spacing w:line="360" w:lineRule="auto"/>
              <w:rPr>
                <w:rFonts w:ascii="Century Gothic" w:hAnsi="Century Gothic"/>
                <w:b/>
                <w:bCs/>
                <w:sz w:val="22"/>
                <w:szCs w:val="22"/>
              </w:rPr>
            </w:pPr>
            <w:r w:rsidRPr="00351B62">
              <w:rPr>
                <w:rFonts w:ascii="Century Gothic" w:hAnsi="Century Gothic"/>
                <w:b/>
                <w:bCs/>
                <w:sz w:val="22"/>
                <w:szCs w:val="22"/>
              </w:rPr>
              <w:t xml:space="preserve">Reserva sugerida: </w:t>
            </w:r>
          </w:p>
        </w:tc>
        <w:tc>
          <w:tcPr>
            <w:tcW w:w="6520" w:type="dxa"/>
          </w:tcPr>
          <w:p w14:paraId="7146E445" w14:textId="4908C688" w:rsidR="002633C0" w:rsidRPr="00351B62" w:rsidRDefault="00265C8C" w:rsidP="003314A2">
            <w:pPr>
              <w:spacing w:line="360" w:lineRule="auto"/>
              <w:rPr>
                <w:rFonts w:ascii="Century Gothic" w:hAnsi="Century Gothic"/>
                <w:sz w:val="22"/>
                <w:szCs w:val="22"/>
              </w:rPr>
            </w:pPr>
            <w:r w:rsidRPr="00351B62">
              <w:rPr>
                <w:rFonts w:ascii="Century Gothic" w:hAnsi="Century Gothic"/>
                <w:sz w:val="22"/>
                <w:szCs w:val="22"/>
              </w:rPr>
              <w:t>80</w:t>
            </w:r>
            <w:r w:rsidR="006E24BF" w:rsidRPr="00351B62">
              <w:rPr>
                <w:rFonts w:ascii="Century Gothic" w:hAnsi="Century Gothic"/>
                <w:sz w:val="22"/>
                <w:szCs w:val="22"/>
              </w:rPr>
              <w:t xml:space="preserve">% del valor de la liquidación objetivada, es </w:t>
            </w:r>
            <w:proofErr w:type="gramStart"/>
            <w:r w:rsidR="00351B62" w:rsidRPr="00351B62">
              <w:rPr>
                <w:rFonts w:ascii="Century Gothic" w:hAnsi="Century Gothic"/>
                <w:sz w:val="22"/>
                <w:szCs w:val="22"/>
              </w:rPr>
              <w:t xml:space="preserve">decir,  </w:t>
            </w:r>
            <w:r w:rsidRPr="00351B62">
              <w:rPr>
                <w:rFonts w:ascii="Century Gothic" w:hAnsi="Century Gothic"/>
                <w:sz w:val="22"/>
                <w:szCs w:val="22"/>
              </w:rPr>
              <w:t xml:space="preserve"> </w:t>
            </w:r>
            <w:proofErr w:type="gramEnd"/>
            <w:r w:rsidRPr="00351B62">
              <w:rPr>
                <w:rFonts w:ascii="Century Gothic" w:hAnsi="Century Gothic"/>
                <w:sz w:val="22"/>
                <w:szCs w:val="22"/>
              </w:rPr>
              <w:t xml:space="preserve">       </w:t>
            </w:r>
            <w:r w:rsidR="006E24BF" w:rsidRPr="00351B62">
              <w:rPr>
                <w:rFonts w:ascii="Century Gothic" w:hAnsi="Century Gothic"/>
                <w:sz w:val="22"/>
                <w:szCs w:val="22"/>
              </w:rPr>
              <w:t xml:space="preserve"> $</w:t>
            </w:r>
            <w:r w:rsidRPr="00351B62">
              <w:rPr>
                <w:rFonts w:ascii="Century Gothic" w:hAnsi="Century Gothic"/>
                <w:sz w:val="22"/>
                <w:szCs w:val="22"/>
              </w:rPr>
              <w:t>1.537.515.368</w:t>
            </w:r>
          </w:p>
        </w:tc>
      </w:tr>
      <w:tr w:rsidR="00BA1E5F" w:rsidRPr="00351B62" w14:paraId="22F780E0" w14:textId="77777777" w:rsidTr="008B59F4">
        <w:tc>
          <w:tcPr>
            <w:tcW w:w="10207" w:type="dxa"/>
            <w:gridSpan w:val="2"/>
            <w:shd w:val="clear" w:color="auto" w:fill="C5E0B3" w:themeFill="accent6" w:themeFillTint="66"/>
            <w:vAlign w:val="center"/>
          </w:tcPr>
          <w:p w14:paraId="2E984764" w14:textId="51214522" w:rsidR="00BA1E5F" w:rsidRPr="00351B62" w:rsidRDefault="00BA1E5F" w:rsidP="00BA1E5F">
            <w:pPr>
              <w:spacing w:line="360" w:lineRule="auto"/>
              <w:jc w:val="center"/>
              <w:rPr>
                <w:rFonts w:ascii="Century Gothic" w:hAnsi="Century Gothic"/>
                <w:sz w:val="22"/>
                <w:szCs w:val="22"/>
              </w:rPr>
            </w:pPr>
            <w:r w:rsidRPr="00351B62">
              <w:rPr>
                <w:rFonts w:ascii="Century Gothic" w:hAnsi="Century Gothic"/>
                <w:b/>
                <w:bCs/>
                <w:sz w:val="22"/>
                <w:szCs w:val="22"/>
              </w:rPr>
              <w:t>Concepto del apoderado</w:t>
            </w:r>
          </w:p>
        </w:tc>
      </w:tr>
      <w:tr w:rsidR="00BA1E5F" w:rsidRPr="00351B62" w14:paraId="4C51FAC2" w14:textId="77777777" w:rsidTr="00BA1E5F">
        <w:trPr>
          <w:trHeight w:val="3401"/>
        </w:trPr>
        <w:tc>
          <w:tcPr>
            <w:tcW w:w="10207" w:type="dxa"/>
            <w:gridSpan w:val="2"/>
            <w:vAlign w:val="center"/>
          </w:tcPr>
          <w:p w14:paraId="0F94CCED" w14:textId="77777777" w:rsidR="00265C8C" w:rsidRPr="00351B62" w:rsidRDefault="00265C8C" w:rsidP="00265C8C">
            <w:pPr>
              <w:spacing w:line="360" w:lineRule="auto"/>
              <w:jc w:val="both"/>
              <w:rPr>
                <w:rFonts w:ascii="Century Gothic" w:hAnsi="Century Gothic"/>
                <w:sz w:val="22"/>
                <w:szCs w:val="22"/>
              </w:rPr>
            </w:pPr>
            <w:r w:rsidRPr="00351B62">
              <w:rPr>
                <w:rFonts w:ascii="Century Gothic" w:hAnsi="Century Gothic"/>
                <w:sz w:val="22"/>
                <w:szCs w:val="22"/>
              </w:rPr>
              <w:t>La contingencia es calificada como probable debido a que el contrato de seguro documentado en la póliza de cumplimiento a favor de ESP No. AA002235, presta cobertura material y temporal de conformidad con los hechos objeto de litigio ante el Tribunal Administrativo del Meta.</w:t>
            </w:r>
          </w:p>
          <w:p w14:paraId="5A864C74" w14:textId="77777777" w:rsidR="00265C8C" w:rsidRPr="00351B62" w:rsidRDefault="00265C8C" w:rsidP="00265C8C">
            <w:pPr>
              <w:spacing w:line="360" w:lineRule="auto"/>
              <w:jc w:val="both"/>
              <w:rPr>
                <w:rFonts w:ascii="Century Gothic" w:hAnsi="Century Gothic"/>
                <w:sz w:val="22"/>
                <w:szCs w:val="22"/>
              </w:rPr>
            </w:pPr>
            <w:r w:rsidRPr="00351B62">
              <w:rPr>
                <w:rFonts w:ascii="Century Gothic" w:hAnsi="Century Gothic"/>
                <w:sz w:val="22"/>
                <w:szCs w:val="22"/>
              </w:rPr>
              <w:t xml:space="preserve">La cobertura material se configura porque la póliza garantiza expresamente el cumplimiento de las obligaciones contenidas en el contrato No. 551000128, cuyo objeto era la “ingeniería de detalle, compras, construcción y puesta en operación del cruce subfluvial del río Guayuriba y del río </w:t>
            </w:r>
            <w:proofErr w:type="spellStart"/>
            <w:r w:rsidRPr="00351B62">
              <w:rPr>
                <w:rFonts w:ascii="Century Gothic" w:hAnsi="Century Gothic"/>
                <w:sz w:val="22"/>
                <w:szCs w:val="22"/>
              </w:rPr>
              <w:t>Ocoa</w:t>
            </w:r>
            <w:proofErr w:type="spellEnd"/>
            <w:r w:rsidRPr="00351B62">
              <w:rPr>
                <w:rFonts w:ascii="Century Gothic" w:hAnsi="Century Gothic"/>
                <w:sz w:val="22"/>
                <w:szCs w:val="22"/>
              </w:rPr>
              <w:t xml:space="preserve"> mediante perforación horizontal dirigida (PHD), así como el cruce subfluvial de la quebrada El Venado a cielo abierto”. En cuanto a la cobertura temporal, la póliza fue pactada en la modalidad de ocurrencia, con una vigencia comprendida entre el 28 de diciembre de 2021 y el 18 de septiembre de 2023. Teniendo en cuenta que TGI S.A procedió a liquidar el contrato unilateralmente el 26 de diciembre de 2022, alegando incumplimiento, la póliza también brindaría cobertura temporal.</w:t>
            </w:r>
          </w:p>
          <w:p w14:paraId="6D2FEC5C" w14:textId="77777777" w:rsidR="00265C8C" w:rsidRPr="00351B62" w:rsidRDefault="00265C8C" w:rsidP="00265C8C">
            <w:pPr>
              <w:spacing w:line="360" w:lineRule="auto"/>
              <w:jc w:val="both"/>
              <w:rPr>
                <w:rFonts w:ascii="Century Gothic" w:hAnsi="Century Gothic"/>
                <w:sz w:val="22"/>
                <w:szCs w:val="22"/>
              </w:rPr>
            </w:pPr>
            <w:r w:rsidRPr="00351B62">
              <w:rPr>
                <w:rFonts w:ascii="Century Gothic" w:hAnsi="Century Gothic"/>
                <w:sz w:val="22"/>
                <w:szCs w:val="22"/>
              </w:rPr>
              <w:t xml:space="preserve">Respecto de la responsabilidad del asegurado, si bien no existen pruebas concluyentes en el expediente que permitan afirmar de forma definitiva que Montajes JM S.A. incurrió en un incumplimiento grave e imputable, sí existen elementos probatorios que podrían llevar al juez a establecer dicha responsabilidad, tales como el acta de liquidación unilateral del contrato, los informes de avance de obra que evidencian retrasos significativos en el cumplimiento del hito contractual No. 3 (puesta en operación del cruce PHD del río Guayuriba), y la activación de la cláusula penal de apremio por parte de TGI. </w:t>
            </w:r>
          </w:p>
          <w:p w14:paraId="1AF59705" w14:textId="77777777" w:rsidR="00BA1E5F" w:rsidRPr="00351B62" w:rsidRDefault="00BA1E5F" w:rsidP="00736C63">
            <w:pPr>
              <w:spacing w:line="360" w:lineRule="auto"/>
              <w:rPr>
                <w:rFonts w:ascii="Century Gothic" w:hAnsi="Century Gothic"/>
                <w:sz w:val="22"/>
                <w:szCs w:val="22"/>
              </w:rPr>
            </w:pPr>
          </w:p>
          <w:p w14:paraId="58FF1192" w14:textId="4A472DDE" w:rsidR="00265C8C" w:rsidRPr="00351B62" w:rsidRDefault="00265C8C" w:rsidP="00736C63">
            <w:pPr>
              <w:spacing w:line="360" w:lineRule="auto"/>
              <w:rPr>
                <w:rFonts w:ascii="Century Gothic" w:hAnsi="Century Gothic"/>
                <w:sz w:val="22"/>
                <w:szCs w:val="22"/>
              </w:rPr>
            </w:pPr>
            <w:r w:rsidRPr="00351B62">
              <w:rPr>
                <w:rFonts w:ascii="Century Gothic" w:hAnsi="Century Gothic"/>
                <w:sz w:val="22"/>
                <w:szCs w:val="22"/>
              </w:rPr>
              <w:t>Lo anterior sin perjuicio del carácter contingente del proceso</w:t>
            </w:r>
          </w:p>
        </w:tc>
      </w:tr>
      <w:tr w:rsidR="00BA1E5F" w:rsidRPr="00BA1E5F" w14:paraId="6A3F4D91" w14:textId="77777777" w:rsidTr="008B59F4">
        <w:trPr>
          <w:trHeight w:val="1361"/>
        </w:trPr>
        <w:tc>
          <w:tcPr>
            <w:tcW w:w="10207" w:type="dxa"/>
            <w:gridSpan w:val="2"/>
            <w:vAlign w:val="center"/>
          </w:tcPr>
          <w:p w14:paraId="20132B5B"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p w14:paraId="48536E28" w14:textId="77777777" w:rsidR="0040785F" w:rsidRDefault="0040785F" w:rsidP="00BA1E5F">
            <w:pPr>
              <w:spacing w:line="360" w:lineRule="auto"/>
              <w:jc w:val="center"/>
              <w:rPr>
                <w:rFonts w:ascii="Century Gothic" w:hAnsi="Century Gothic"/>
                <w:b/>
                <w:bCs/>
                <w:sz w:val="22"/>
                <w:szCs w:val="22"/>
              </w:rPr>
            </w:pPr>
          </w:p>
          <w:p w14:paraId="26EF3EF9"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GUSTAVO ALBERTO HERRERA ÁVILA    </w:t>
            </w:r>
            <w:r w:rsidRPr="0040785F">
              <w:rPr>
                <w:rFonts w:ascii="Century Gothic" w:hAnsi="Century Gothic"/>
                <w:b/>
                <w:bCs/>
                <w:sz w:val="22"/>
                <w:szCs w:val="22"/>
                <w:lang w:val="es-CO"/>
              </w:rPr>
              <w:t> </w:t>
            </w:r>
          </w:p>
          <w:p w14:paraId="434FA26F"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C.C. No 19.395.114</w:t>
            </w:r>
            <w:r w:rsidRPr="0040785F">
              <w:rPr>
                <w:rFonts w:ascii="Century Gothic" w:hAnsi="Century Gothic"/>
                <w:b/>
                <w:bCs/>
                <w:sz w:val="22"/>
                <w:szCs w:val="22"/>
                <w:lang w:val="es-CO"/>
              </w:rPr>
              <w:t> </w:t>
            </w:r>
          </w:p>
          <w:p w14:paraId="61175D34"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T.P. No. 39.116 del C.S. de la J.</w:t>
            </w:r>
            <w:r w:rsidRPr="0040785F">
              <w:rPr>
                <w:rFonts w:ascii="Century Gothic" w:hAnsi="Century Gothic"/>
                <w:b/>
                <w:bCs/>
                <w:sz w:val="22"/>
                <w:szCs w:val="22"/>
                <w:lang w:val="es-CO"/>
              </w:rPr>
              <w:t> </w:t>
            </w:r>
          </w:p>
          <w:p w14:paraId="585F8EC6" w14:textId="7976F175" w:rsidR="0040785F" w:rsidRPr="0040785F" w:rsidRDefault="0040785F" w:rsidP="0040785F">
            <w:pPr>
              <w:spacing w:line="360" w:lineRule="auto"/>
              <w:jc w:val="center"/>
              <w:rPr>
                <w:rFonts w:ascii="Century Gothic" w:hAnsi="Century Gothic"/>
                <w:b/>
                <w:bCs/>
                <w:sz w:val="22"/>
                <w:szCs w:val="22"/>
                <w:lang w:val="es-CO"/>
              </w:rPr>
            </w:pPr>
          </w:p>
          <w:p w14:paraId="3A806213" w14:textId="67A6C599" w:rsidR="0040785F" w:rsidRPr="00BA1E5F" w:rsidRDefault="004078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EB3E1" w14:textId="77777777" w:rsidR="00301C85" w:rsidRDefault="00301C85" w:rsidP="00E7033F">
      <w:r>
        <w:separator/>
      </w:r>
    </w:p>
  </w:endnote>
  <w:endnote w:type="continuationSeparator" w:id="0">
    <w:p w14:paraId="7E1E5DD4" w14:textId="77777777" w:rsidR="00301C85" w:rsidRDefault="00301C8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altName w:val="Times New Roman"/>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E70A" w14:textId="77777777" w:rsidR="00301C85" w:rsidRDefault="00301C85" w:rsidP="00E7033F">
      <w:r>
        <w:separator/>
      </w:r>
    </w:p>
  </w:footnote>
  <w:footnote w:type="continuationSeparator" w:id="0">
    <w:p w14:paraId="12716B83" w14:textId="77777777" w:rsidR="00301C85" w:rsidRDefault="00301C8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7B3"/>
    <w:multiLevelType w:val="hybridMultilevel"/>
    <w:tmpl w:val="6986C1E2"/>
    <w:lvl w:ilvl="0" w:tplc="EFB49696">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253EC6"/>
    <w:multiLevelType w:val="hybridMultilevel"/>
    <w:tmpl w:val="FB4297B0"/>
    <w:lvl w:ilvl="0" w:tplc="C0564B5E">
      <w:start w:val="1"/>
      <w:numFmt w:val="bullet"/>
      <w:lvlText w:val="-"/>
      <w:lvlJc w:val="left"/>
      <w:pPr>
        <w:ind w:left="1440" w:hanging="360"/>
      </w:pPr>
      <w:rPr>
        <w:rFonts w:ascii="Century Gothic" w:eastAsiaTheme="minorHAnsi" w:hAnsi="Century Gothic"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5ED68DA"/>
    <w:multiLevelType w:val="hybridMultilevel"/>
    <w:tmpl w:val="119E52F2"/>
    <w:lvl w:ilvl="0" w:tplc="546288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492819"/>
    <w:multiLevelType w:val="hybridMultilevel"/>
    <w:tmpl w:val="14623EC4"/>
    <w:lvl w:ilvl="0" w:tplc="546288B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7014C8"/>
    <w:multiLevelType w:val="hybridMultilevel"/>
    <w:tmpl w:val="0D000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FA1554"/>
    <w:multiLevelType w:val="hybridMultilevel"/>
    <w:tmpl w:val="B21E95DA"/>
    <w:lvl w:ilvl="0" w:tplc="C0564B5E">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B2350F"/>
    <w:multiLevelType w:val="hybridMultilevel"/>
    <w:tmpl w:val="DA9C2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046A0E"/>
    <w:multiLevelType w:val="hybridMultilevel"/>
    <w:tmpl w:val="E200A180"/>
    <w:lvl w:ilvl="0" w:tplc="546288B6">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E8037BC"/>
    <w:multiLevelType w:val="hybridMultilevel"/>
    <w:tmpl w:val="49D28DE2"/>
    <w:lvl w:ilvl="0" w:tplc="CACCA3B0">
      <w:start w:val="1"/>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ECE705E"/>
    <w:multiLevelType w:val="hybridMultilevel"/>
    <w:tmpl w:val="D62E39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6F54A63"/>
    <w:multiLevelType w:val="hybridMultilevel"/>
    <w:tmpl w:val="A9AE2D04"/>
    <w:lvl w:ilvl="0" w:tplc="C0564B5E">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1B7858"/>
    <w:multiLevelType w:val="hybridMultilevel"/>
    <w:tmpl w:val="11FC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68C6153"/>
    <w:multiLevelType w:val="hybridMultilevel"/>
    <w:tmpl w:val="5C04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53672F"/>
    <w:multiLevelType w:val="hybridMultilevel"/>
    <w:tmpl w:val="305C8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8953562">
    <w:abstractNumId w:val="6"/>
  </w:num>
  <w:num w:numId="2" w16cid:durableId="219025155">
    <w:abstractNumId w:val="4"/>
  </w:num>
  <w:num w:numId="3" w16cid:durableId="1963000887">
    <w:abstractNumId w:val="10"/>
  </w:num>
  <w:num w:numId="4" w16cid:durableId="641809891">
    <w:abstractNumId w:val="9"/>
  </w:num>
  <w:num w:numId="5" w16cid:durableId="1939438894">
    <w:abstractNumId w:val="2"/>
  </w:num>
  <w:num w:numId="6" w16cid:durableId="1860662487">
    <w:abstractNumId w:val="12"/>
  </w:num>
  <w:num w:numId="7" w16cid:durableId="4209032">
    <w:abstractNumId w:val="8"/>
  </w:num>
  <w:num w:numId="8" w16cid:durableId="1762068063">
    <w:abstractNumId w:val="3"/>
  </w:num>
  <w:num w:numId="9" w16cid:durableId="748841984">
    <w:abstractNumId w:val="1"/>
  </w:num>
  <w:num w:numId="10" w16cid:durableId="2056611777">
    <w:abstractNumId w:val="5"/>
  </w:num>
  <w:num w:numId="11" w16cid:durableId="1882814857">
    <w:abstractNumId w:val="7"/>
  </w:num>
  <w:num w:numId="12" w16cid:durableId="1711224484">
    <w:abstractNumId w:val="0"/>
  </w:num>
  <w:num w:numId="13" w16cid:durableId="601189643">
    <w:abstractNumId w:val="11"/>
  </w:num>
  <w:num w:numId="14" w16cid:durableId="5842703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837E7"/>
    <w:rsid w:val="000D23FC"/>
    <w:rsid w:val="001129B6"/>
    <w:rsid w:val="00120544"/>
    <w:rsid w:val="00140F27"/>
    <w:rsid w:val="00181E11"/>
    <w:rsid w:val="001A6EFC"/>
    <w:rsid w:val="001C44B4"/>
    <w:rsid w:val="001E096B"/>
    <w:rsid w:val="001E1616"/>
    <w:rsid w:val="001E5C79"/>
    <w:rsid w:val="00263011"/>
    <w:rsid w:val="002633C0"/>
    <w:rsid w:val="00265C8C"/>
    <w:rsid w:val="00272083"/>
    <w:rsid w:val="002A0E98"/>
    <w:rsid w:val="00301C85"/>
    <w:rsid w:val="00311097"/>
    <w:rsid w:val="00314CAF"/>
    <w:rsid w:val="00324E27"/>
    <w:rsid w:val="003314A2"/>
    <w:rsid w:val="00351B62"/>
    <w:rsid w:val="003761F8"/>
    <w:rsid w:val="003827E1"/>
    <w:rsid w:val="003B44CB"/>
    <w:rsid w:val="003B7F1A"/>
    <w:rsid w:val="003D2B19"/>
    <w:rsid w:val="003D7751"/>
    <w:rsid w:val="00403BFC"/>
    <w:rsid w:val="0040785F"/>
    <w:rsid w:val="0041325C"/>
    <w:rsid w:val="00430BED"/>
    <w:rsid w:val="00437455"/>
    <w:rsid w:val="00451E60"/>
    <w:rsid w:val="00493936"/>
    <w:rsid w:val="00496C7D"/>
    <w:rsid w:val="004C7D4E"/>
    <w:rsid w:val="00504FFB"/>
    <w:rsid w:val="00507302"/>
    <w:rsid w:val="005754C7"/>
    <w:rsid w:val="005F61D3"/>
    <w:rsid w:val="006056E7"/>
    <w:rsid w:val="00672DCA"/>
    <w:rsid w:val="00675EFF"/>
    <w:rsid w:val="00694306"/>
    <w:rsid w:val="006A1563"/>
    <w:rsid w:val="006E24BF"/>
    <w:rsid w:val="006F0CAA"/>
    <w:rsid w:val="00725CEF"/>
    <w:rsid w:val="00736C63"/>
    <w:rsid w:val="00761B63"/>
    <w:rsid w:val="00786E86"/>
    <w:rsid w:val="007B3CF8"/>
    <w:rsid w:val="007C1538"/>
    <w:rsid w:val="007C37D7"/>
    <w:rsid w:val="007D795E"/>
    <w:rsid w:val="007F3BA1"/>
    <w:rsid w:val="00800156"/>
    <w:rsid w:val="00867D85"/>
    <w:rsid w:val="008B59F4"/>
    <w:rsid w:val="008B61E5"/>
    <w:rsid w:val="008B685D"/>
    <w:rsid w:val="008E249B"/>
    <w:rsid w:val="008F6B57"/>
    <w:rsid w:val="0095378E"/>
    <w:rsid w:val="009820E4"/>
    <w:rsid w:val="00987619"/>
    <w:rsid w:val="00992368"/>
    <w:rsid w:val="00996B7A"/>
    <w:rsid w:val="009A06ED"/>
    <w:rsid w:val="009B12A4"/>
    <w:rsid w:val="009C6FE1"/>
    <w:rsid w:val="00AD3B34"/>
    <w:rsid w:val="00AF6BA2"/>
    <w:rsid w:val="00B2787D"/>
    <w:rsid w:val="00B329C2"/>
    <w:rsid w:val="00B61EAC"/>
    <w:rsid w:val="00B802F0"/>
    <w:rsid w:val="00B90E05"/>
    <w:rsid w:val="00BA0472"/>
    <w:rsid w:val="00BA1E5F"/>
    <w:rsid w:val="00C53D8F"/>
    <w:rsid w:val="00D23A43"/>
    <w:rsid w:val="00D33414"/>
    <w:rsid w:val="00D35F0D"/>
    <w:rsid w:val="00D77386"/>
    <w:rsid w:val="00DD6A64"/>
    <w:rsid w:val="00DE1687"/>
    <w:rsid w:val="00DE5BEB"/>
    <w:rsid w:val="00E2423F"/>
    <w:rsid w:val="00E7033F"/>
    <w:rsid w:val="00E802BC"/>
    <w:rsid w:val="00E83AAB"/>
    <w:rsid w:val="00EB5FFB"/>
    <w:rsid w:val="00EE687D"/>
    <w:rsid w:val="00F07DE9"/>
    <w:rsid w:val="00F5107C"/>
    <w:rsid w:val="00F62D63"/>
    <w:rsid w:val="00F67EF8"/>
    <w:rsid w:val="00F856C2"/>
    <w:rsid w:val="00F90650"/>
    <w:rsid w:val="00FC01A7"/>
    <w:rsid w:val="00FD0FD5"/>
    <w:rsid w:val="00FD2991"/>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F6BA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otnote,Colorful List - Accent 11,List Paragraph2,List Paragraph1,Bullets,titulo 3,List Paragraph,Ha,Betulia Título 1,Lista HD,Titulo 5,Chulito,Bolita,Párrafo de lista3,BOLA,Párrafo de lista21,Párrafo de lista1,BOLADEF,HOJA,Nivel 1"/>
    <w:basedOn w:val="Normal"/>
    <w:link w:val="PrrafodelistaCar"/>
    <w:uiPriority w:val="34"/>
    <w:qFormat/>
    <w:rsid w:val="00496C7D"/>
    <w:pPr>
      <w:ind w:left="720"/>
      <w:contextualSpacing/>
    </w:pPr>
  </w:style>
  <w:style w:type="character" w:customStyle="1" w:styleId="PrrafodelistaCar">
    <w:name w:val="Párrafo de lista Car"/>
    <w:aliases w:val="Footnote Car,Colorful List - Accent 11 Car,List Paragraph2 Car,List Paragraph1 Car,Bullets Car,titulo 3 Car,List Paragraph Car,Ha Car,Betulia Título 1 Car,Lista HD Car,Titulo 5 Car,Chulito Car,Bolita Car,Párrafo de lista3 Car"/>
    <w:link w:val="Prrafodelista"/>
    <w:uiPriority w:val="1"/>
    <w:locked/>
    <w:rsid w:val="0040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9768">
      <w:bodyDiv w:val="1"/>
      <w:marLeft w:val="0"/>
      <w:marRight w:val="0"/>
      <w:marTop w:val="0"/>
      <w:marBottom w:val="0"/>
      <w:divBdr>
        <w:top w:val="none" w:sz="0" w:space="0" w:color="auto"/>
        <w:left w:val="none" w:sz="0" w:space="0" w:color="auto"/>
        <w:bottom w:val="none" w:sz="0" w:space="0" w:color="auto"/>
        <w:right w:val="none" w:sz="0" w:space="0" w:color="auto"/>
      </w:divBdr>
    </w:div>
    <w:div w:id="573928054">
      <w:bodyDiv w:val="1"/>
      <w:marLeft w:val="0"/>
      <w:marRight w:val="0"/>
      <w:marTop w:val="0"/>
      <w:marBottom w:val="0"/>
      <w:divBdr>
        <w:top w:val="none" w:sz="0" w:space="0" w:color="auto"/>
        <w:left w:val="none" w:sz="0" w:space="0" w:color="auto"/>
        <w:bottom w:val="none" w:sz="0" w:space="0" w:color="auto"/>
        <w:right w:val="none" w:sz="0" w:space="0" w:color="auto"/>
      </w:divBdr>
    </w:div>
    <w:div w:id="716514060">
      <w:bodyDiv w:val="1"/>
      <w:marLeft w:val="0"/>
      <w:marRight w:val="0"/>
      <w:marTop w:val="0"/>
      <w:marBottom w:val="0"/>
      <w:divBdr>
        <w:top w:val="none" w:sz="0" w:space="0" w:color="auto"/>
        <w:left w:val="none" w:sz="0" w:space="0" w:color="auto"/>
        <w:bottom w:val="none" w:sz="0" w:space="0" w:color="auto"/>
        <w:right w:val="none" w:sz="0" w:space="0" w:color="auto"/>
      </w:divBdr>
    </w:div>
    <w:div w:id="864027013">
      <w:bodyDiv w:val="1"/>
      <w:marLeft w:val="0"/>
      <w:marRight w:val="0"/>
      <w:marTop w:val="0"/>
      <w:marBottom w:val="0"/>
      <w:divBdr>
        <w:top w:val="none" w:sz="0" w:space="0" w:color="auto"/>
        <w:left w:val="none" w:sz="0" w:space="0" w:color="auto"/>
        <w:bottom w:val="none" w:sz="0" w:space="0" w:color="auto"/>
        <w:right w:val="none" w:sz="0" w:space="0" w:color="auto"/>
      </w:divBdr>
    </w:div>
    <w:div w:id="901866531">
      <w:bodyDiv w:val="1"/>
      <w:marLeft w:val="0"/>
      <w:marRight w:val="0"/>
      <w:marTop w:val="0"/>
      <w:marBottom w:val="0"/>
      <w:divBdr>
        <w:top w:val="none" w:sz="0" w:space="0" w:color="auto"/>
        <w:left w:val="none" w:sz="0" w:space="0" w:color="auto"/>
        <w:bottom w:val="none" w:sz="0" w:space="0" w:color="auto"/>
        <w:right w:val="none" w:sz="0" w:space="0" w:color="auto"/>
      </w:divBdr>
    </w:div>
    <w:div w:id="978877686">
      <w:bodyDiv w:val="1"/>
      <w:marLeft w:val="0"/>
      <w:marRight w:val="0"/>
      <w:marTop w:val="0"/>
      <w:marBottom w:val="0"/>
      <w:divBdr>
        <w:top w:val="none" w:sz="0" w:space="0" w:color="auto"/>
        <w:left w:val="none" w:sz="0" w:space="0" w:color="auto"/>
        <w:bottom w:val="none" w:sz="0" w:space="0" w:color="auto"/>
        <w:right w:val="none" w:sz="0" w:space="0" w:color="auto"/>
      </w:divBdr>
    </w:div>
    <w:div w:id="986739589">
      <w:bodyDiv w:val="1"/>
      <w:marLeft w:val="0"/>
      <w:marRight w:val="0"/>
      <w:marTop w:val="0"/>
      <w:marBottom w:val="0"/>
      <w:divBdr>
        <w:top w:val="none" w:sz="0" w:space="0" w:color="auto"/>
        <w:left w:val="none" w:sz="0" w:space="0" w:color="auto"/>
        <w:bottom w:val="none" w:sz="0" w:space="0" w:color="auto"/>
        <w:right w:val="none" w:sz="0" w:space="0" w:color="auto"/>
      </w:divBdr>
    </w:div>
    <w:div w:id="1011372075">
      <w:bodyDiv w:val="1"/>
      <w:marLeft w:val="0"/>
      <w:marRight w:val="0"/>
      <w:marTop w:val="0"/>
      <w:marBottom w:val="0"/>
      <w:divBdr>
        <w:top w:val="none" w:sz="0" w:space="0" w:color="auto"/>
        <w:left w:val="none" w:sz="0" w:space="0" w:color="auto"/>
        <w:bottom w:val="none" w:sz="0" w:space="0" w:color="auto"/>
        <w:right w:val="none" w:sz="0" w:space="0" w:color="auto"/>
      </w:divBdr>
    </w:div>
    <w:div w:id="1036270937">
      <w:bodyDiv w:val="1"/>
      <w:marLeft w:val="0"/>
      <w:marRight w:val="0"/>
      <w:marTop w:val="0"/>
      <w:marBottom w:val="0"/>
      <w:divBdr>
        <w:top w:val="none" w:sz="0" w:space="0" w:color="auto"/>
        <w:left w:val="none" w:sz="0" w:space="0" w:color="auto"/>
        <w:bottom w:val="none" w:sz="0" w:space="0" w:color="auto"/>
        <w:right w:val="none" w:sz="0" w:space="0" w:color="auto"/>
      </w:divBdr>
    </w:div>
    <w:div w:id="1065032747">
      <w:bodyDiv w:val="1"/>
      <w:marLeft w:val="0"/>
      <w:marRight w:val="0"/>
      <w:marTop w:val="0"/>
      <w:marBottom w:val="0"/>
      <w:divBdr>
        <w:top w:val="none" w:sz="0" w:space="0" w:color="auto"/>
        <w:left w:val="none" w:sz="0" w:space="0" w:color="auto"/>
        <w:bottom w:val="none" w:sz="0" w:space="0" w:color="auto"/>
        <w:right w:val="none" w:sz="0" w:space="0" w:color="auto"/>
      </w:divBdr>
    </w:div>
    <w:div w:id="1160737270">
      <w:bodyDiv w:val="1"/>
      <w:marLeft w:val="0"/>
      <w:marRight w:val="0"/>
      <w:marTop w:val="0"/>
      <w:marBottom w:val="0"/>
      <w:divBdr>
        <w:top w:val="none" w:sz="0" w:space="0" w:color="auto"/>
        <w:left w:val="none" w:sz="0" w:space="0" w:color="auto"/>
        <w:bottom w:val="none" w:sz="0" w:space="0" w:color="auto"/>
        <w:right w:val="none" w:sz="0" w:space="0" w:color="auto"/>
      </w:divBdr>
    </w:div>
    <w:div w:id="1335692474">
      <w:bodyDiv w:val="1"/>
      <w:marLeft w:val="0"/>
      <w:marRight w:val="0"/>
      <w:marTop w:val="0"/>
      <w:marBottom w:val="0"/>
      <w:divBdr>
        <w:top w:val="none" w:sz="0" w:space="0" w:color="auto"/>
        <w:left w:val="none" w:sz="0" w:space="0" w:color="auto"/>
        <w:bottom w:val="none" w:sz="0" w:space="0" w:color="auto"/>
        <w:right w:val="none" w:sz="0" w:space="0" w:color="auto"/>
      </w:divBdr>
    </w:div>
    <w:div w:id="2032948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2DADA7018F44F193481BFA488488AE"/>
        <w:category>
          <w:name w:val="General"/>
          <w:gallery w:val="placeholder"/>
        </w:category>
        <w:types>
          <w:type w:val="bbPlcHdr"/>
        </w:types>
        <w:behaviors>
          <w:behavior w:val="content"/>
        </w:behaviors>
        <w:guid w:val="{14ECEF4B-A25C-47F7-9B3F-817522BD5B3B}"/>
      </w:docPartPr>
      <w:docPartBody>
        <w:p w:rsidR="00CE65E8" w:rsidRDefault="00632BDC" w:rsidP="00632BDC">
          <w:pPr>
            <w:pStyle w:val="312DADA7018F44F193481BFA488488AE"/>
          </w:pPr>
          <w:r w:rsidRPr="00DB0913">
            <w:rPr>
              <w:rStyle w:val="Textodelmarcadordeposicin"/>
            </w:rPr>
            <w:t>Haga clic aquí o pulse para escribir una fecha.</w:t>
          </w:r>
        </w:p>
      </w:docPartBody>
    </w:docPart>
    <w:docPart>
      <w:docPartPr>
        <w:name w:val="A34D889C6A444BF091A7A6EB42143C40"/>
        <w:category>
          <w:name w:val="General"/>
          <w:gallery w:val="placeholder"/>
        </w:category>
        <w:types>
          <w:type w:val="bbPlcHdr"/>
        </w:types>
        <w:behaviors>
          <w:behavior w:val="content"/>
        </w:behaviors>
        <w:guid w:val="{9E274E53-2094-4C63-B386-E28BC3D5FA54}"/>
      </w:docPartPr>
      <w:docPartBody>
        <w:p w:rsidR="00CE65E8" w:rsidRDefault="00632BDC" w:rsidP="00632BDC">
          <w:pPr>
            <w:pStyle w:val="A34D889C6A444BF091A7A6EB42143C40"/>
          </w:pPr>
          <w:r w:rsidRPr="00803DD9">
            <w:rPr>
              <w:rStyle w:val="Textodelmarcadordeposicin"/>
            </w:rPr>
            <w:t>Haga clic aquí o pulse para escribir una fecha.</w:t>
          </w:r>
        </w:p>
      </w:docPartBody>
    </w:docPart>
    <w:docPart>
      <w:docPartPr>
        <w:name w:val="CC0E1773AB7B49AE8A3A53761347CED9"/>
        <w:category>
          <w:name w:val="General"/>
          <w:gallery w:val="placeholder"/>
        </w:category>
        <w:types>
          <w:type w:val="bbPlcHdr"/>
        </w:types>
        <w:behaviors>
          <w:behavior w:val="content"/>
        </w:behaviors>
        <w:guid w:val="{36B0522C-49EA-4A0C-A999-B9CE7AF9F72D}"/>
      </w:docPartPr>
      <w:docPartBody>
        <w:p w:rsidR="00CE65E8" w:rsidRDefault="00632BDC" w:rsidP="00632BDC">
          <w:pPr>
            <w:pStyle w:val="CC0E1773AB7B49AE8A3A53761347CED9"/>
          </w:pPr>
          <w:r w:rsidRPr="00DB0913">
            <w:rPr>
              <w:rStyle w:val="Textodelmarcadordeposicin"/>
            </w:rPr>
            <w:t>Haga clic o pulse aquí para escribir texto.</w:t>
          </w:r>
        </w:p>
      </w:docPartBody>
    </w:docPart>
    <w:docPart>
      <w:docPartPr>
        <w:name w:val="B9E8589727A244BBB2E403A05CAE654C"/>
        <w:category>
          <w:name w:val="General"/>
          <w:gallery w:val="placeholder"/>
        </w:category>
        <w:types>
          <w:type w:val="bbPlcHdr"/>
        </w:types>
        <w:behaviors>
          <w:behavior w:val="content"/>
        </w:behaviors>
        <w:guid w:val="{B56B3129-CE45-400B-B0DC-5F149431F936}"/>
      </w:docPartPr>
      <w:docPartBody>
        <w:p w:rsidR="00CE65E8" w:rsidRDefault="00632BDC" w:rsidP="00632BDC">
          <w:pPr>
            <w:pStyle w:val="B9E8589727A244BBB2E403A05CAE654C"/>
          </w:pPr>
          <w:r w:rsidRPr="00DB0913">
            <w:rPr>
              <w:rStyle w:val="Textodelmarcadordeposicin"/>
            </w:rPr>
            <w:t>Haga clic o pulse aquí para escribir texto.</w:t>
          </w:r>
        </w:p>
      </w:docPartBody>
    </w:docPart>
    <w:docPart>
      <w:docPartPr>
        <w:name w:val="190CF9787D6E4D569B0C1BEBA5691590"/>
        <w:category>
          <w:name w:val="General"/>
          <w:gallery w:val="placeholder"/>
        </w:category>
        <w:types>
          <w:type w:val="bbPlcHdr"/>
        </w:types>
        <w:behaviors>
          <w:behavior w:val="content"/>
        </w:behaviors>
        <w:guid w:val="{03D00C5C-9530-4CD1-B1F9-771A089944A0}"/>
      </w:docPartPr>
      <w:docPartBody>
        <w:p w:rsidR="00CE65E8" w:rsidRDefault="00632BDC" w:rsidP="00632BDC">
          <w:pPr>
            <w:pStyle w:val="190CF9787D6E4D569B0C1BEBA5691590"/>
          </w:pPr>
          <w:r w:rsidRPr="00DB0913">
            <w:rPr>
              <w:rStyle w:val="Textodelmarcadordeposicin"/>
            </w:rPr>
            <w:t>Elija un elemento.</w:t>
          </w:r>
        </w:p>
      </w:docPartBody>
    </w:docPart>
    <w:docPart>
      <w:docPartPr>
        <w:name w:val="1C75E68377954921B7FC7486B3B80FDD"/>
        <w:category>
          <w:name w:val="General"/>
          <w:gallery w:val="placeholder"/>
        </w:category>
        <w:types>
          <w:type w:val="bbPlcHdr"/>
        </w:types>
        <w:behaviors>
          <w:behavior w:val="content"/>
        </w:behaviors>
        <w:guid w:val="{E893A2B1-68C9-407E-BC14-406E6DCE4BDC}"/>
      </w:docPartPr>
      <w:docPartBody>
        <w:p w:rsidR="00CE65E8" w:rsidRDefault="00632BDC" w:rsidP="00632BDC">
          <w:pPr>
            <w:pStyle w:val="1C75E68377954921B7FC7486B3B80FDD"/>
          </w:pPr>
          <w:r w:rsidRPr="00DB0913">
            <w:rPr>
              <w:rStyle w:val="Textodelmarcadordeposicin"/>
            </w:rPr>
            <w:t>Elija un elemento.</w:t>
          </w:r>
        </w:p>
      </w:docPartBody>
    </w:docPart>
    <w:docPart>
      <w:docPartPr>
        <w:name w:val="2DD671D5BE8F46798893E4ED9A00EB23"/>
        <w:category>
          <w:name w:val="General"/>
          <w:gallery w:val="placeholder"/>
        </w:category>
        <w:types>
          <w:type w:val="bbPlcHdr"/>
        </w:types>
        <w:behaviors>
          <w:behavior w:val="content"/>
        </w:behaviors>
        <w:guid w:val="{71C2F215-6F00-499B-8A41-C4CAA3D505B3}"/>
      </w:docPartPr>
      <w:docPartBody>
        <w:p w:rsidR="00CE65E8" w:rsidRDefault="00632BDC" w:rsidP="00632BDC">
          <w:pPr>
            <w:pStyle w:val="2DD671D5BE8F46798893E4ED9A00EB2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altName w:val="Times New Roman"/>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DC"/>
    <w:rsid w:val="000466D9"/>
    <w:rsid w:val="003D2B19"/>
    <w:rsid w:val="0041325C"/>
    <w:rsid w:val="00472252"/>
    <w:rsid w:val="00632BDC"/>
    <w:rsid w:val="00CE6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32BDC"/>
    <w:rPr>
      <w:color w:val="808080"/>
    </w:rPr>
  </w:style>
  <w:style w:type="paragraph" w:customStyle="1" w:styleId="312DADA7018F44F193481BFA488488AE">
    <w:name w:val="312DADA7018F44F193481BFA488488AE"/>
    <w:rsid w:val="00632BDC"/>
  </w:style>
  <w:style w:type="paragraph" w:customStyle="1" w:styleId="A34D889C6A444BF091A7A6EB42143C40">
    <w:name w:val="A34D889C6A444BF091A7A6EB42143C40"/>
    <w:rsid w:val="00632BDC"/>
  </w:style>
  <w:style w:type="paragraph" w:customStyle="1" w:styleId="CC0E1773AB7B49AE8A3A53761347CED9">
    <w:name w:val="CC0E1773AB7B49AE8A3A53761347CED9"/>
    <w:rsid w:val="00632BDC"/>
  </w:style>
  <w:style w:type="paragraph" w:customStyle="1" w:styleId="B9E8589727A244BBB2E403A05CAE654C">
    <w:name w:val="B9E8589727A244BBB2E403A05CAE654C"/>
    <w:rsid w:val="00632BDC"/>
  </w:style>
  <w:style w:type="paragraph" w:customStyle="1" w:styleId="190CF9787D6E4D569B0C1BEBA5691590">
    <w:name w:val="190CF9787D6E4D569B0C1BEBA5691590"/>
    <w:rsid w:val="00632BDC"/>
  </w:style>
  <w:style w:type="paragraph" w:customStyle="1" w:styleId="1C75E68377954921B7FC7486B3B80FDD">
    <w:name w:val="1C75E68377954921B7FC7486B3B80FDD"/>
    <w:rsid w:val="00632BDC"/>
  </w:style>
  <w:style w:type="paragraph" w:customStyle="1" w:styleId="2DD671D5BE8F46798893E4ED9A00EB23">
    <w:name w:val="2DD671D5BE8F46798893E4ED9A00EB23"/>
    <w:rsid w:val="00632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1798</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2025-06-05T20:09:00Z</dcterms:created>
  <dcterms:modified xsi:type="dcterms:W3CDTF">2025-06-05T20:09:00Z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2025-06-05T20:09:07Z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d97f8318-2553-4931-914d-8cf735bd15ff</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