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7F" w:rsidRPr="00E363F6" w:rsidRDefault="00D657B2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>Señores</w:t>
      </w:r>
      <w:r w:rsidR="00EA197F" w:rsidRPr="00E363F6">
        <w:rPr>
          <w:rFonts w:cstheme="minorHAnsi"/>
          <w:b/>
          <w:sz w:val="18"/>
          <w:szCs w:val="18"/>
          <w:lang w:val="es-ES_tradnl"/>
        </w:rPr>
        <w:t>:</w:t>
      </w:r>
    </w:p>
    <w:p w:rsidR="00FA45E3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 xml:space="preserve">FISCALÍA </w:t>
      </w:r>
      <w:r w:rsidR="00777AD6">
        <w:rPr>
          <w:rFonts w:cstheme="minorHAnsi"/>
          <w:b/>
          <w:sz w:val="18"/>
          <w:szCs w:val="18"/>
          <w:lang w:val="es-ES_tradnl"/>
        </w:rPr>
        <w:t>1</w:t>
      </w:r>
      <w:r w:rsidR="00BD1D05">
        <w:rPr>
          <w:rFonts w:cstheme="minorHAnsi"/>
          <w:b/>
          <w:sz w:val="18"/>
          <w:szCs w:val="18"/>
          <w:lang w:val="es-ES_tradnl"/>
        </w:rPr>
        <w:t>12</w:t>
      </w:r>
      <w:r w:rsidR="003D6D4D" w:rsidRPr="00E363F6">
        <w:rPr>
          <w:rFonts w:cstheme="minorHAnsi"/>
          <w:b/>
          <w:sz w:val="18"/>
          <w:szCs w:val="18"/>
          <w:lang w:val="es-ES_tradnl"/>
        </w:rPr>
        <w:t xml:space="preserve"> </w:t>
      </w:r>
      <w:r w:rsidR="00FD712F" w:rsidRPr="00E363F6">
        <w:rPr>
          <w:rFonts w:cstheme="minorHAnsi"/>
          <w:b/>
          <w:sz w:val="18"/>
          <w:szCs w:val="18"/>
          <w:lang w:val="es-ES_tradnl"/>
        </w:rPr>
        <w:t>LOCAL</w:t>
      </w:r>
    </w:p>
    <w:p w:rsidR="00D31C9B" w:rsidRDefault="00BD1D05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b/>
          <w:sz w:val="18"/>
          <w:szCs w:val="18"/>
          <w:lang w:val="es-ES_tradnl"/>
        </w:rPr>
        <w:t>Medellín - Antioquia</w:t>
      </w:r>
    </w:p>
    <w:p w:rsidR="00EA197F" w:rsidRPr="00E363F6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 xml:space="preserve">E. S. D.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746493" w:rsidRPr="00F07421" w:rsidRDefault="00EA197F" w:rsidP="00746493">
      <w:pPr>
        <w:jc w:val="both"/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</w:pPr>
      <w:r w:rsidRPr="00D657B2">
        <w:rPr>
          <w:rFonts w:cstheme="minorHAnsi"/>
          <w:b/>
          <w:sz w:val="18"/>
          <w:szCs w:val="18"/>
        </w:rPr>
        <w:t xml:space="preserve">REFERENCIA: </w:t>
      </w:r>
      <w:r w:rsidR="00BD1D05"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  <w:t>050016099166202052732</w:t>
      </w:r>
    </w:p>
    <w:p w:rsidR="009564C6" w:rsidRDefault="00EA197F" w:rsidP="00EA197F">
      <w:pPr>
        <w:jc w:val="both"/>
        <w:rPr>
          <w:rFonts w:cstheme="minorHAnsi"/>
          <w:b/>
          <w:sz w:val="18"/>
          <w:szCs w:val="18"/>
        </w:rPr>
      </w:pPr>
      <w:r w:rsidRPr="00D657B2">
        <w:rPr>
          <w:rFonts w:cstheme="minorHAnsi"/>
          <w:b/>
          <w:sz w:val="18"/>
          <w:szCs w:val="18"/>
        </w:rPr>
        <w:t>DELITO: LESIONES PERSONALES CULPOSAS</w:t>
      </w:r>
    </w:p>
    <w:p w:rsidR="00BD1D05" w:rsidRDefault="00BD1D05" w:rsidP="00EA197F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INDICIADO: STELLA MACHADO SALDARRIAGA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CONVOCADO:LA EQUIDAD SEGURO</w:t>
      </w:r>
      <w:r w:rsidR="005B77E3">
        <w:rPr>
          <w:rFonts w:cstheme="minorHAnsi"/>
          <w:b/>
          <w:sz w:val="18"/>
          <w:szCs w:val="18"/>
          <w:lang w:val="es-ES_tradnl"/>
        </w:rPr>
        <w:t>S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 GENERALES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ASUNTO: PODER Y SUSTITUCIÓN DE PODER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GUSTAVO ALBERTO HERRERA ÁVILA</w:t>
      </w:r>
      <w:r w:rsidRPr="00D657B2">
        <w:rPr>
          <w:rFonts w:cstheme="minorHAnsi"/>
          <w:sz w:val="18"/>
          <w:szCs w:val="18"/>
          <w:lang w:val="es-ES_tradnl"/>
        </w:rPr>
        <w:t xml:space="preserve"> , mayor de edad vecino de Cali, identificado con </w:t>
      </w:r>
      <w:r w:rsidR="00D657B2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D657B2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19.395.114 de </w:t>
      </w:r>
      <w:r w:rsidR="00D657B2" w:rsidRPr="00D657B2">
        <w:rPr>
          <w:rFonts w:cstheme="minorHAnsi"/>
          <w:sz w:val="18"/>
          <w:szCs w:val="18"/>
          <w:lang w:val="es-ES_tradnl"/>
        </w:rPr>
        <w:t>Bogotá</w:t>
      </w:r>
      <w:r w:rsidRPr="00D657B2">
        <w:rPr>
          <w:rFonts w:cstheme="minorHAnsi"/>
          <w:sz w:val="18"/>
          <w:szCs w:val="18"/>
          <w:lang w:val="es-ES_tradnl"/>
        </w:rPr>
        <w:t xml:space="preserve">́ D.C., abogado titulado y en ejercicio, portador de la Tarjeta Profesional No. 39.116 del Consejo Superior de la Judicatura, obrando como apoderado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 , conforme se acredita con el Certificado de Existencia y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Legal expedido por la </w:t>
      </w:r>
      <w:r w:rsidR="00465867" w:rsidRPr="00D657B2">
        <w:rPr>
          <w:rFonts w:cstheme="minorHAnsi"/>
          <w:sz w:val="18"/>
          <w:szCs w:val="18"/>
          <w:lang w:val="es-ES_tradnl"/>
        </w:rPr>
        <w:t>Cámara</w:t>
      </w:r>
      <w:r w:rsidRPr="00D657B2">
        <w:rPr>
          <w:rFonts w:cstheme="minorHAnsi"/>
          <w:sz w:val="18"/>
          <w:szCs w:val="18"/>
          <w:lang w:val="es-ES_tradnl"/>
        </w:rPr>
        <w:t xml:space="preserve"> de Comercio de Cali, </w:t>
      </w:r>
      <w:r w:rsidRPr="00D657B2">
        <w:rPr>
          <w:rFonts w:cstheme="minorHAnsi"/>
          <w:b/>
          <w:sz w:val="18"/>
          <w:szCs w:val="18"/>
          <w:lang w:val="es-ES_tradnl"/>
        </w:rPr>
        <w:t>ASUMO</w:t>
      </w:r>
      <w:r w:rsidRPr="00D657B2">
        <w:rPr>
          <w:rFonts w:cstheme="minorHAnsi"/>
          <w:sz w:val="18"/>
          <w:szCs w:val="18"/>
          <w:lang w:val="es-ES_tradnl"/>
        </w:rPr>
        <w:t xml:space="preserve"> para est</w:t>
      </w:r>
      <w:r w:rsidR="00BD1D05">
        <w:rPr>
          <w:rFonts w:cstheme="minorHAnsi"/>
          <w:sz w:val="18"/>
          <w:szCs w:val="18"/>
          <w:lang w:val="es-ES_tradnl"/>
        </w:rPr>
        <w:t>e proceso</w:t>
      </w:r>
      <w:bookmarkStart w:id="0" w:name="_GoBack"/>
      <w:bookmarkEnd w:id="0"/>
      <w:r w:rsidRPr="00D657B2">
        <w:rPr>
          <w:rFonts w:cstheme="minorHAnsi"/>
          <w:sz w:val="18"/>
          <w:szCs w:val="18"/>
          <w:lang w:val="es-ES_tradnl"/>
        </w:rPr>
        <w:t xml:space="preserve"> el poder a mi conferido y al tenor de lo preceptuado en el </w:t>
      </w:r>
      <w:r w:rsidR="004D48CA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75 del </w:t>
      </w:r>
      <w:r w:rsidR="00A45169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Proceso, en el que se afirma que “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Podrá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́ sustituirse el poder siempre que no esté prohibido expresamente</w:t>
      </w:r>
      <w:r w:rsidRPr="00D657B2">
        <w:rPr>
          <w:rFonts w:cstheme="minorHAnsi"/>
          <w:sz w:val="18"/>
          <w:szCs w:val="18"/>
          <w:lang w:val="es-ES_tradnl"/>
        </w:rPr>
        <w:t xml:space="preserve"> ...”, permitiendo </w:t>
      </w:r>
      <w:r w:rsidR="00A45169" w:rsidRPr="00D657B2">
        <w:rPr>
          <w:rFonts w:cstheme="minorHAnsi"/>
          <w:sz w:val="18"/>
          <w:szCs w:val="18"/>
          <w:lang w:val="es-ES_tradnl"/>
        </w:rPr>
        <w:t>además</w:t>
      </w:r>
      <w:r w:rsidRPr="00D657B2">
        <w:rPr>
          <w:rFonts w:cstheme="minorHAnsi"/>
          <w:sz w:val="18"/>
          <w:szCs w:val="18"/>
          <w:lang w:val="es-ES_tradnl"/>
        </w:rPr>
        <w:t xml:space="preserve"> que “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El poder conferido por escritura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pública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, puede sustituirse para un negocio determinado, por medio de memorial</w:t>
      </w:r>
      <w:r w:rsidRPr="00D657B2">
        <w:rPr>
          <w:rFonts w:cstheme="minorHAnsi"/>
          <w:sz w:val="18"/>
          <w:szCs w:val="18"/>
          <w:lang w:val="es-ES_tradnl"/>
        </w:rPr>
        <w:t xml:space="preserve"> ”, y teniendo en cuenta que de conformidad con el </w:t>
      </w:r>
      <w:r w:rsidR="00D657B2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74 del </w:t>
      </w:r>
      <w:r w:rsidR="00465867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“Las sustituciones de poder se presumen </w:t>
      </w:r>
      <w:r w:rsidR="00A45169" w:rsidRPr="00D657B2">
        <w:rPr>
          <w:rFonts w:cstheme="minorHAnsi"/>
          <w:i/>
          <w:iCs/>
          <w:sz w:val="18"/>
          <w:szCs w:val="18"/>
          <w:lang w:val="es-ES_tradnl"/>
        </w:rPr>
        <w:t>auténticas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”</w:t>
      </w:r>
      <w:r w:rsidRPr="00D657B2">
        <w:rPr>
          <w:rFonts w:cstheme="minorHAnsi"/>
          <w:sz w:val="18"/>
          <w:szCs w:val="18"/>
          <w:lang w:val="es-ES_tradnl"/>
        </w:rPr>
        <w:t xml:space="preserve">, comedidamente manifiesto que SUSTITUYO el poder general que me fue concedido por la citada aseguradora y subsidiariamente procedo a DELEGAR la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de dicha entidad al doctor </w:t>
      </w:r>
      <w:r w:rsidRPr="00D657B2">
        <w:rPr>
          <w:rFonts w:cstheme="minorHAnsi"/>
          <w:b/>
          <w:sz w:val="18"/>
          <w:szCs w:val="18"/>
          <w:lang w:val="es-ES_tradnl"/>
        </w:rPr>
        <w:t>NÉSTOR RICARDO GIL RAMOS</w:t>
      </w:r>
      <w:r w:rsidRPr="00D657B2">
        <w:rPr>
          <w:rFonts w:cstheme="minorHAnsi"/>
          <w:sz w:val="18"/>
          <w:szCs w:val="18"/>
          <w:lang w:val="es-ES_tradnl"/>
        </w:rPr>
        <w:t xml:space="preserve">, mayor de edad, vecino de Cali, identificado con la </w:t>
      </w:r>
      <w:r w:rsidR="00A45169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A45169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1.144.033.075 expedida en Cali (Valle), abogado en ejercicio portador de la TP. No. 294.234 del Consejo Superior de la Judicatura, para que obre como representante legal de la </w:t>
      </w:r>
      <w:r w:rsidR="00A45169" w:rsidRPr="00D657B2">
        <w:rPr>
          <w:rFonts w:cstheme="minorHAnsi"/>
          <w:sz w:val="18"/>
          <w:szCs w:val="18"/>
          <w:lang w:val="es-ES_tradnl"/>
        </w:rPr>
        <w:t>compañía</w:t>
      </w:r>
      <w:r w:rsidRPr="00D657B2">
        <w:rPr>
          <w:rFonts w:cstheme="minorHAnsi"/>
          <w:sz w:val="18"/>
          <w:szCs w:val="18"/>
          <w:lang w:val="es-ES_tradnl"/>
        </w:rPr>
        <w:t xml:space="preserve"> e intervenga en audiencia de conciliación</w:t>
      </w:r>
      <w:r w:rsidR="00BD1D05">
        <w:rPr>
          <w:rFonts w:cstheme="minorHAnsi"/>
          <w:sz w:val="18"/>
          <w:szCs w:val="18"/>
          <w:lang w:val="es-ES_tradnl"/>
        </w:rPr>
        <w:t>, o en cualquier actuación que se requiera a la aseguradora.</w:t>
      </w:r>
      <w:r w:rsidRPr="00D657B2">
        <w:rPr>
          <w:rFonts w:cstheme="minorHAnsi"/>
          <w:sz w:val="18"/>
          <w:szCs w:val="18"/>
          <w:lang w:val="es-ES_tradnl"/>
        </w:rPr>
        <w:t xml:space="preserve">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El doctor </w:t>
      </w:r>
      <w:r w:rsidRPr="00D657B2">
        <w:rPr>
          <w:rFonts w:cstheme="minorHAnsi"/>
          <w:b/>
          <w:sz w:val="18"/>
          <w:szCs w:val="18"/>
          <w:lang w:val="es-ES_tradnl"/>
        </w:rPr>
        <w:t>GIL RAMOS</w:t>
      </w:r>
      <w:r w:rsidRPr="00D657B2">
        <w:rPr>
          <w:rFonts w:cstheme="minorHAnsi"/>
          <w:sz w:val="18"/>
          <w:szCs w:val="18"/>
          <w:lang w:val="es-ES_tradnl"/>
        </w:rPr>
        <w:t xml:space="preserve"> queda expresamente facultado para intervenir en la audiencia citada, en calidad de representante legal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, con expresas y amplias facultades para conciliar, recibir, transigir, desistir, sustituir en otra persona el presente poder, reasumir, y ejercitar todas las acciones necesarias para el </w:t>
      </w:r>
      <w:r w:rsidR="00A45169" w:rsidRPr="00D657B2">
        <w:rPr>
          <w:rFonts w:cstheme="minorHAnsi"/>
          <w:sz w:val="18"/>
          <w:szCs w:val="18"/>
          <w:lang w:val="es-ES_tradnl"/>
        </w:rPr>
        <w:t>éxito</w:t>
      </w:r>
      <w:r w:rsidRPr="00D657B2">
        <w:rPr>
          <w:rFonts w:cstheme="minorHAnsi"/>
          <w:sz w:val="18"/>
          <w:szCs w:val="18"/>
          <w:lang w:val="es-ES_tradnl"/>
        </w:rPr>
        <w:t xml:space="preserve"> del mandato a su cargo.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Atentamente,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"/var/folders/4n/q6p_9l5156qflr5my_f8_zvm0000gn/T/com.microsoft.Word/WebArchiveCopyPasteTempFiles/page1image24400"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2AA04FDC" wp14:editId="6324806A">
            <wp:extent cx="2402840" cy="807085"/>
            <wp:effectExtent l="0" t="0" r="0" b="5715"/>
            <wp:docPr id="2" name="Imagen 2" descr="page1image2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4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GUSTAVO ALBERTO HERRERA ÁVILA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C.C. No. 19.395.114 de </w:t>
      </w:r>
      <w:r w:rsidR="00465867" w:rsidRPr="00D657B2">
        <w:rPr>
          <w:rFonts w:cstheme="minorHAnsi"/>
          <w:b/>
          <w:sz w:val="18"/>
          <w:szCs w:val="18"/>
          <w:lang w:val="es-ES_tradnl"/>
        </w:rPr>
        <w:t>Bogotá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́ D.C.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T.P. No. 39.116 del C. S de la J.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gherrera@gha.com.co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Acepto,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"/var/folders/4n/q6p_9l5156qflr5my_f8_zvm0000gn/T/com.microsoft.Word/WebArchiveCopyPasteTempFiles/page1image24568"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4BD3BF70" wp14:editId="156416C3">
            <wp:extent cx="2004060" cy="690880"/>
            <wp:effectExtent l="0" t="0" r="2540" b="0"/>
            <wp:docPr id="1" name="Imagen 1" descr="page1image2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5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NÉSTOR RICARDO GIL RAMOS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 N° 1.144.033.075 de Cali (Valle)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 294.234 del C. S. de la J. </w:t>
      </w:r>
    </w:p>
    <w:p w:rsidR="00A9182F" w:rsidRPr="00D657B2" w:rsidRDefault="00A9182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Teléfono:3183247269</w:t>
      </w:r>
    </w:p>
    <w:p w:rsidR="00EA197F" w:rsidRDefault="00EA197F" w:rsidP="00EA197F">
      <w:pPr>
        <w:pStyle w:val="Sinespaciado"/>
        <w:jc w:val="both"/>
        <w:rPr>
          <w:rStyle w:val="Hipervnculo"/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ngil@gha.com.co – </w:t>
      </w:r>
      <w:hyperlink r:id="rId6" w:history="1">
        <w:r w:rsidR="00CB6E92" w:rsidRPr="002070AB">
          <w:rPr>
            <w:rStyle w:val="Hipervnculo"/>
            <w:rFonts w:cstheme="minorHAnsi"/>
            <w:b/>
            <w:sz w:val="18"/>
            <w:szCs w:val="18"/>
            <w:lang w:val="es-ES_tradnl"/>
          </w:rPr>
          <w:t>notificaciones@gha.com.co</w:t>
        </w:r>
      </w:hyperlink>
    </w:p>
    <w:p w:rsidR="000B187B" w:rsidRDefault="000B187B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0B187B" w:rsidRDefault="000B187B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0B187B" w:rsidRDefault="000B187B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0B187B" w:rsidRDefault="000B187B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0B187B" w:rsidRDefault="000B187B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b/>
          <w:sz w:val="18"/>
          <w:szCs w:val="18"/>
          <w:lang w:val="es-ES_tradnl"/>
        </w:rPr>
        <w:lastRenderedPageBreak/>
        <w:t>Desarrollo de la audiencia Villa Rica</w:t>
      </w:r>
    </w:p>
    <w:p w:rsidR="00451C3A" w:rsidRDefault="00451C3A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451C3A" w:rsidRDefault="00451C3A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b/>
          <w:sz w:val="18"/>
          <w:szCs w:val="18"/>
          <w:lang w:val="es-ES_tradnl"/>
        </w:rPr>
        <w:t xml:space="preserve">Reclamación de seguros la Equidad en contra del vehículo </w:t>
      </w:r>
      <w:r w:rsidRPr="00451C3A">
        <w:rPr>
          <w:rFonts w:cstheme="minorHAnsi"/>
          <w:b/>
          <w:sz w:val="18"/>
          <w:szCs w:val="18"/>
          <w:lang w:val="es-ES_tradnl"/>
        </w:rPr>
        <w:t>TJT369</w:t>
      </w:r>
      <w:r w:rsidR="00B87441">
        <w:rPr>
          <w:rFonts w:cstheme="minorHAnsi"/>
          <w:b/>
          <w:sz w:val="18"/>
          <w:szCs w:val="18"/>
          <w:lang w:val="es-ES_tradnl"/>
        </w:rPr>
        <w:t xml:space="preserve"> tipo buseta, dice que tiene como aseguradora La Equidad</w:t>
      </w:r>
    </w:p>
    <w:p w:rsidR="00451C3A" w:rsidRDefault="00451C3A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451C3A" w:rsidRDefault="00451C3A" w:rsidP="00451C3A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b/>
          <w:sz w:val="18"/>
          <w:szCs w:val="18"/>
          <w:lang w:val="es-ES_tradnl"/>
        </w:rPr>
        <w:t xml:space="preserve">Víctima </w:t>
      </w:r>
      <w:proofErr w:type="spellStart"/>
      <w:r>
        <w:rPr>
          <w:rFonts w:cstheme="minorHAnsi"/>
          <w:b/>
          <w:sz w:val="18"/>
          <w:szCs w:val="18"/>
          <w:lang w:val="es-ES_tradnl"/>
        </w:rPr>
        <w:t>E</w:t>
      </w:r>
      <w:r w:rsidR="00B87441">
        <w:rPr>
          <w:rFonts w:cstheme="minorHAnsi"/>
          <w:b/>
          <w:sz w:val="18"/>
          <w:szCs w:val="18"/>
          <w:lang w:val="es-ES_tradnl"/>
        </w:rPr>
        <w:t>d</w:t>
      </w:r>
      <w:r>
        <w:rPr>
          <w:rFonts w:cstheme="minorHAnsi"/>
          <w:b/>
          <w:sz w:val="18"/>
          <w:szCs w:val="18"/>
          <w:lang w:val="es-ES_tradnl"/>
        </w:rPr>
        <w:t>y</w:t>
      </w:r>
      <w:proofErr w:type="spellEnd"/>
      <w:r>
        <w:rPr>
          <w:rFonts w:cstheme="minorHAnsi"/>
          <w:b/>
          <w:sz w:val="18"/>
          <w:szCs w:val="18"/>
          <w:lang w:val="es-ES_tradnl"/>
        </w:rPr>
        <w:t xml:space="preserve"> </w:t>
      </w:r>
      <w:r w:rsidR="00B87441">
        <w:rPr>
          <w:rFonts w:cstheme="minorHAnsi"/>
          <w:b/>
          <w:sz w:val="18"/>
          <w:szCs w:val="18"/>
          <w:lang w:val="es-ES_tradnl"/>
        </w:rPr>
        <w:t>Lilian Orozco – pasajera</w:t>
      </w:r>
    </w:p>
    <w:p w:rsidR="00B87441" w:rsidRDefault="00B87441" w:rsidP="00451C3A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B87441" w:rsidRDefault="00B87441" w:rsidP="00451C3A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b/>
          <w:sz w:val="18"/>
          <w:szCs w:val="18"/>
          <w:lang w:val="es-ES_tradnl"/>
        </w:rPr>
        <w:t>Incapacidad definitiva de 40 días con secuelas.</w:t>
      </w:r>
    </w:p>
    <w:p w:rsidR="00B87441" w:rsidRDefault="00B87441" w:rsidP="00451C3A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b/>
          <w:sz w:val="18"/>
          <w:szCs w:val="18"/>
          <w:lang w:val="es-ES_tradnl"/>
        </w:rPr>
        <w:t>Indemnización por la suma de 50 millones de pesos</w:t>
      </w:r>
    </w:p>
    <w:p w:rsidR="00451C3A" w:rsidRDefault="00451C3A" w:rsidP="00451C3A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451C3A" w:rsidRPr="00451C3A" w:rsidRDefault="00451C3A" w:rsidP="00451C3A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451C3A">
        <w:rPr>
          <w:rFonts w:cstheme="minorHAnsi"/>
          <w:b/>
          <w:sz w:val="18"/>
          <w:szCs w:val="18"/>
          <w:lang w:val="es-ES_tradnl"/>
        </w:rPr>
        <w:t>HECHOS:</w:t>
      </w:r>
    </w:p>
    <w:p w:rsidR="00451C3A" w:rsidRPr="00451C3A" w:rsidRDefault="00451C3A" w:rsidP="00451C3A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451C3A" w:rsidRPr="00451C3A" w:rsidRDefault="00451C3A" w:rsidP="00451C3A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451C3A">
        <w:rPr>
          <w:rFonts w:cstheme="minorHAnsi"/>
          <w:b/>
          <w:sz w:val="18"/>
          <w:szCs w:val="18"/>
          <w:lang w:val="es-ES_tradnl"/>
        </w:rPr>
        <w:t xml:space="preserve">Accidente de tránsito ocurrido el 28 de octubre de 2022, a la altura de la vía </w:t>
      </w:r>
      <w:proofErr w:type="spellStart"/>
      <w:r w:rsidRPr="00451C3A">
        <w:rPr>
          <w:rFonts w:cstheme="minorHAnsi"/>
          <w:b/>
          <w:sz w:val="18"/>
          <w:szCs w:val="18"/>
          <w:lang w:val="es-ES_tradnl"/>
        </w:rPr>
        <w:t>Popayan</w:t>
      </w:r>
      <w:proofErr w:type="spellEnd"/>
      <w:r w:rsidRPr="00451C3A">
        <w:rPr>
          <w:rFonts w:cstheme="minorHAnsi"/>
          <w:b/>
          <w:sz w:val="18"/>
          <w:szCs w:val="18"/>
          <w:lang w:val="es-ES_tradnl"/>
        </w:rPr>
        <w:t xml:space="preserve"> - Cali, kilómetro 92+320, sector entrada hacienda </w:t>
      </w:r>
      <w:proofErr w:type="spellStart"/>
      <w:r w:rsidRPr="00451C3A">
        <w:rPr>
          <w:rFonts w:cstheme="minorHAnsi"/>
          <w:b/>
          <w:sz w:val="18"/>
          <w:szCs w:val="18"/>
          <w:lang w:val="es-ES_tradnl"/>
        </w:rPr>
        <w:t>Cachimbalito</w:t>
      </w:r>
      <w:proofErr w:type="spellEnd"/>
      <w:r w:rsidRPr="00451C3A">
        <w:rPr>
          <w:rFonts w:cstheme="minorHAnsi"/>
          <w:b/>
          <w:sz w:val="18"/>
          <w:szCs w:val="18"/>
          <w:lang w:val="es-ES_tradnl"/>
        </w:rPr>
        <w:t>, donde se vieron involucrados el vehículo asegurado de placa IFW189, conducido por el señor HENRY DAVID OREJUELA FERNANDEZ, y el vehículo de servicio público de placa TJT369, afiliado a la empresa de transporte RAPIDO TAMBO LTDA., conducido por el señor SIBER ESGARDO OTERO CAMAYO. Como consecuencia del accidente resultaron lesionados ocho (8) personas: seis (6) pasajeros, y el conductor y acompañante del vehículo asegurado.</w:t>
      </w:r>
    </w:p>
    <w:p w:rsidR="00451C3A" w:rsidRPr="00451C3A" w:rsidRDefault="00451C3A" w:rsidP="00451C3A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451C3A" w:rsidRDefault="00451C3A" w:rsidP="00451C3A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451C3A">
        <w:rPr>
          <w:rFonts w:cstheme="minorHAnsi"/>
          <w:b/>
          <w:sz w:val="18"/>
          <w:szCs w:val="18"/>
          <w:lang w:val="es-ES_tradnl"/>
        </w:rPr>
        <w:t>En el al IPAT., se codificó para el vehículo IFW la hipótesis No. 119, esto es: “Frenar bruscamente.”, y al conductor del vehículo de placa TJT369, la hipótesis No.121, esto es: “No mantener distancia de seguridad.”</w:t>
      </w:r>
    </w:p>
    <w:p w:rsidR="000B187B" w:rsidRDefault="000B187B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947732" w:rsidRDefault="00947732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947732" w:rsidRDefault="00947732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b/>
          <w:sz w:val="18"/>
          <w:szCs w:val="18"/>
          <w:lang w:val="es-ES_tradnl"/>
        </w:rPr>
        <w:t>Se suspende la audiencia y se fija fecha para el 30 de noviembre a las 9 de la mañana.</w:t>
      </w:r>
    </w:p>
    <w:p w:rsidR="000B187B" w:rsidRDefault="000B187B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sectPr w:rsidR="000B187B" w:rsidSect="003C2B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7F"/>
    <w:rsid w:val="00017769"/>
    <w:rsid w:val="000B187B"/>
    <w:rsid w:val="000B2DE5"/>
    <w:rsid w:val="000B60A5"/>
    <w:rsid w:val="000D1373"/>
    <w:rsid w:val="000D54AD"/>
    <w:rsid w:val="00176B16"/>
    <w:rsid w:val="001D2ADC"/>
    <w:rsid w:val="0026661B"/>
    <w:rsid w:val="002B313C"/>
    <w:rsid w:val="00386DDD"/>
    <w:rsid w:val="0039057D"/>
    <w:rsid w:val="003C2BB7"/>
    <w:rsid w:val="003D6D4D"/>
    <w:rsid w:val="004170CB"/>
    <w:rsid w:val="004308EE"/>
    <w:rsid w:val="00451C3A"/>
    <w:rsid w:val="00465867"/>
    <w:rsid w:val="004D48CA"/>
    <w:rsid w:val="005B77E3"/>
    <w:rsid w:val="005F7535"/>
    <w:rsid w:val="00697125"/>
    <w:rsid w:val="006C6403"/>
    <w:rsid w:val="006E6F00"/>
    <w:rsid w:val="007429DE"/>
    <w:rsid w:val="00746493"/>
    <w:rsid w:val="00777AD6"/>
    <w:rsid w:val="007A2BD3"/>
    <w:rsid w:val="00836779"/>
    <w:rsid w:val="008802D4"/>
    <w:rsid w:val="008A7D1C"/>
    <w:rsid w:val="00947732"/>
    <w:rsid w:val="009564C6"/>
    <w:rsid w:val="009C54ED"/>
    <w:rsid w:val="00A45169"/>
    <w:rsid w:val="00A9182F"/>
    <w:rsid w:val="00B03C17"/>
    <w:rsid w:val="00B87441"/>
    <w:rsid w:val="00BD1D05"/>
    <w:rsid w:val="00BD2A6B"/>
    <w:rsid w:val="00C14FE2"/>
    <w:rsid w:val="00C64A5C"/>
    <w:rsid w:val="00CB6E92"/>
    <w:rsid w:val="00CD39D7"/>
    <w:rsid w:val="00CE5A6C"/>
    <w:rsid w:val="00D31C9B"/>
    <w:rsid w:val="00D657B2"/>
    <w:rsid w:val="00E363F6"/>
    <w:rsid w:val="00E377D5"/>
    <w:rsid w:val="00E543FA"/>
    <w:rsid w:val="00EA197F"/>
    <w:rsid w:val="00F07421"/>
    <w:rsid w:val="00FA45E3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280E72"/>
  <w15:chartTrackingRefBased/>
  <w15:docId w15:val="{9F893650-CCF6-CA4B-AEEE-3230E4E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EA197F"/>
  </w:style>
  <w:style w:type="character" w:styleId="Hipervnculo">
    <w:name w:val="Hyperlink"/>
    <w:basedOn w:val="Fuentedeprrafopredeter"/>
    <w:uiPriority w:val="99"/>
    <w:unhideWhenUsed/>
    <w:rsid w:val="000D13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1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@gha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nestor.gil.90@gmail.com</dc:creator>
  <cp:keywords/>
  <dc:description/>
  <cp:lastModifiedBy>nestor.gil.90@gmail.com</cp:lastModifiedBy>
  <cp:revision>2</cp:revision>
  <dcterms:created xsi:type="dcterms:W3CDTF">2024-11-29T19:10:00Z</dcterms:created>
  <dcterms:modified xsi:type="dcterms:W3CDTF">2024-11-29T19:10:00Z</dcterms:modified>
</cp:coreProperties>
</file>