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1598" w14:textId="77777777" w:rsidR="00D01F4B" w:rsidRPr="00DB189E" w:rsidRDefault="00D01F4B" w:rsidP="00DB189E">
      <w:pPr>
        <w:spacing w:line="360" w:lineRule="auto"/>
        <w:rPr>
          <w:rFonts w:ascii="Arial" w:eastAsia="Arial" w:hAnsi="Arial" w:cs="Arial"/>
        </w:rPr>
      </w:pPr>
      <w:r w:rsidRPr="00DB189E">
        <w:rPr>
          <w:rFonts w:ascii="Arial" w:eastAsia="Arial" w:hAnsi="Arial" w:cs="Arial"/>
        </w:rPr>
        <w:t xml:space="preserve">Señores: </w:t>
      </w:r>
    </w:p>
    <w:p w14:paraId="007F3BEB" w14:textId="77777777" w:rsidR="00D01F4B" w:rsidRPr="00DB189E" w:rsidRDefault="00D01F4B" w:rsidP="00DB189E">
      <w:pPr>
        <w:spacing w:line="360" w:lineRule="auto"/>
        <w:jc w:val="both"/>
        <w:rPr>
          <w:rFonts w:ascii="Arial" w:eastAsia="Arial" w:hAnsi="Arial" w:cs="Arial"/>
          <w:b/>
          <w:bCs/>
        </w:rPr>
      </w:pPr>
      <w:r w:rsidRPr="00DB189E">
        <w:rPr>
          <w:rFonts w:ascii="Arial" w:eastAsia="Arial" w:hAnsi="Arial" w:cs="Arial"/>
          <w:b/>
          <w:bCs/>
        </w:rPr>
        <w:t xml:space="preserve">JUZGADO DIECIOCHO (18) CIVIL DEL CIRCUITO DE BOGOTÁ D.C. </w:t>
      </w:r>
    </w:p>
    <w:p w14:paraId="2C2A55BA" w14:textId="77777777" w:rsidR="00D01F4B" w:rsidRPr="00DB189E" w:rsidRDefault="00D01F4B" w:rsidP="00DB189E">
      <w:pPr>
        <w:spacing w:line="360" w:lineRule="auto"/>
        <w:jc w:val="both"/>
        <w:rPr>
          <w:rFonts w:ascii="Arial" w:eastAsia="Arial" w:hAnsi="Arial" w:cs="Arial"/>
          <w:b/>
          <w:bCs/>
        </w:rPr>
      </w:pPr>
      <w:r w:rsidRPr="00DB189E">
        <w:rPr>
          <w:rFonts w:ascii="Arial" w:eastAsiaTheme="minorHAnsi" w:hAnsi="Arial" w:cs="Arial"/>
          <w:lang w:val="es-CO"/>
        </w:rPr>
        <w:t>ccto18bt@cendoj.ramajudicial.gov.co</w:t>
      </w:r>
    </w:p>
    <w:p w14:paraId="6F27929E" w14:textId="3E183A56" w:rsidR="00D01F4B" w:rsidRPr="00DB189E" w:rsidRDefault="00D01F4B" w:rsidP="00DB189E">
      <w:pPr>
        <w:spacing w:line="360" w:lineRule="auto"/>
        <w:rPr>
          <w:rFonts w:ascii="Arial" w:eastAsia="Arial" w:hAnsi="Arial" w:cs="Arial"/>
        </w:rPr>
      </w:pPr>
      <w:r w:rsidRPr="00DB189E">
        <w:rPr>
          <w:rFonts w:ascii="Arial" w:eastAsia="Arial" w:hAnsi="Arial" w:cs="Arial"/>
        </w:rPr>
        <w:t xml:space="preserve">E. </w:t>
      </w:r>
      <w:r w:rsidRPr="00DB189E">
        <w:rPr>
          <w:rFonts w:ascii="Arial" w:eastAsia="Arial" w:hAnsi="Arial" w:cs="Arial"/>
        </w:rPr>
        <w:tab/>
        <w:t xml:space="preserve">S. </w:t>
      </w:r>
      <w:r w:rsidRPr="00DB189E">
        <w:rPr>
          <w:rFonts w:ascii="Arial" w:eastAsia="Arial" w:hAnsi="Arial" w:cs="Arial"/>
        </w:rPr>
        <w:tab/>
        <w:t xml:space="preserve">D. </w:t>
      </w:r>
    </w:p>
    <w:p w14:paraId="7FE953CC" w14:textId="77777777" w:rsidR="00911072" w:rsidRPr="00DB189E" w:rsidRDefault="00911072" w:rsidP="00DB189E">
      <w:pPr>
        <w:spacing w:line="360" w:lineRule="auto"/>
        <w:rPr>
          <w:rFonts w:ascii="Arial" w:eastAsia="Arial" w:hAnsi="Arial" w:cs="Arial"/>
          <w:b/>
          <w:bCs/>
        </w:rPr>
      </w:pPr>
    </w:p>
    <w:p w14:paraId="3540ADD9" w14:textId="55E3741F" w:rsidR="00911072" w:rsidRPr="00DB189E" w:rsidRDefault="00911072" w:rsidP="00DB189E">
      <w:pPr>
        <w:spacing w:line="360" w:lineRule="auto"/>
        <w:rPr>
          <w:rFonts w:ascii="Arial" w:eastAsia="Arial" w:hAnsi="Arial" w:cs="Arial"/>
          <w:b/>
          <w:bCs/>
        </w:rPr>
      </w:pPr>
      <w:r w:rsidRPr="00DB189E">
        <w:rPr>
          <w:rFonts w:ascii="Arial" w:eastAsia="Arial" w:hAnsi="Arial" w:cs="Arial"/>
          <w:b/>
          <w:bCs/>
        </w:rPr>
        <w:t xml:space="preserve">PROCESO: </w:t>
      </w:r>
      <w:r w:rsidRPr="00DB189E">
        <w:rPr>
          <w:rFonts w:ascii="Arial" w:eastAsia="Arial" w:hAnsi="Arial" w:cs="Arial"/>
          <w:b/>
          <w:bCs/>
        </w:rPr>
        <w:tab/>
      </w:r>
      <w:r w:rsidRPr="00DB189E">
        <w:rPr>
          <w:rFonts w:ascii="Arial" w:eastAsia="Arial" w:hAnsi="Arial" w:cs="Arial"/>
          <w:b/>
          <w:bCs/>
        </w:rPr>
        <w:tab/>
      </w:r>
      <w:r w:rsidRPr="00DB189E">
        <w:rPr>
          <w:rFonts w:ascii="Arial" w:eastAsia="Arial" w:hAnsi="Arial" w:cs="Arial"/>
        </w:rPr>
        <w:t>EJECUTIVO</w:t>
      </w:r>
      <w:r w:rsidR="00713673" w:rsidRPr="00DB189E">
        <w:rPr>
          <w:rFonts w:ascii="Arial" w:eastAsia="Arial" w:hAnsi="Arial" w:cs="Arial"/>
        </w:rPr>
        <w:t xml:space="preserve"> A CONTINUACIÓN</w:t>
      </w:r>
    </w:p>
    <w:p w14:paraId="0D5A37AD" w14:textId="77777777" w:rsidR="00911072" w:rsidRPr="00DB189E" w:rsidRDefault="00911072" w:rsidP="00DB189E">
      <w:pPr>
        <w:spacing w:line="360" w:lineRule="auto"/>
        <w:rPr>
          <w:rFonts w:ascii="Arial" w:eastAsia="Arial" w:hAnsi="Arial" w:cs="Arial"/>
          <w:b/>
          <w:bCs/>
        </w:rPr>
      </w:pPr>
      <w:r w:rsidRPr="00DB189E">
        <w:rPr>
          <w:rFonts w:ascii="Arial" w:eastAsia="Arial" w:hAnsi="Arial" w:cs="Arial"/>
          <w:b/>
          <w:bCs/>
        </w:rPr>
        <w:t xml:space="preserve">DEMANDANTE: </w:t>
      </w:r>
      <w:r w:rsidRPr="00DB189E">
        <w:rPr>
          <w:rFonts w:ascii="Arial" w:eastAsia="Arial" w:hAnsi="Arial" w:cs="Arial"/>
          <w:b/>
          <w:bCs/>
        </w:rPr>
        <w:tab/>
      </w:r>
      <w:r w:rsidRPr="00DB189E">
        <w:rPr>
          <w:rFonts w:ascii="Arial" w:eastAsia="Arial" w:hAnsi="Arial" w:cs="Arial"/>
        </w:rPr>
        <w:t>DIANA LUCIA HIGUERA CADENA</w:t>
      </w:r>
    </w:p>
    <w:p w14:paraId="59169328" w14:textId="77777777" w:rsidR="00911072" w:rsidRPr="00DB189E" w:rsidRDefault="00911072" w:rsidP="00DB189E">
      <w:pPr>
        <w:spacing w:line="360" w:lineRule="auto"/>
        <w:ind w:left="2124" w:hanging="2124"/>
        <w:rPr>
          <w:rFonts w:ascii="Arial" w:eastAsia="Arial" w:hAnsi="Arial" w:cs="Arial"/>
        </w:rPr>
      </w:pPr>
      <w:r w:rsidRPr="00DB189E">
        <w:rPr>
          <w:rFonts w:ascii="Arial" w:eastAsia="Arial" w:hAnsi="Arial" w:cs="Arial"/>
          <w:b/>
          <w:bCs/>
        </w:rPr>
        <w:t xml:space="preserve">DEMANDADOS: </w:t>
      </w:r>
      <w:r w:rsidRPr="00DB189E">
        <w:rPr>
          <w:rFonts w:ascii="Arial" w:eastAsia="Arial" w:hAnsi="Arial" w:cs="Arial"/>
          <w:b/>
          <w:bCs/>
        </w:rPr>
        <w:tab/>
      </w:r>
      <w:bookmarkStart w:id="0" w:name="_Hlk184405438"/>
      <w:r w:rsidRPr="00DB189E">
        <w:rPr>
          <w:rFonts w:ascii="Arial" w:eastAsia="Arial" w:hAnsi="Arial" w:cs="Arial"/>
        </w:rPr>
        <w:t>BBVA SEGUROS DE VIDA COLOMBIA S.A.</w:t>
      </w:r>
      <w:bookmarkEnd w:id="0"/>
    </w:p>
    <w:p w14:paraId="52183EEC" w14:textId="77777777" w:rsidR="00911072" w:rsidRPr="00DB189E" w:rsidRDefault="00911072" w:rsidP="00DB189E">
      <w:pPr>
        <w:spacing w:line="360" w:lineRule="auto"/>
        <w:rPr>
          <w:rFonts w:ascii="Arial" w:eastAsia="Arial" w:hAnsi="Arial" w:cs="Arial"/>
        </w:rPr>
      </w:pPr>
      <w:r w:rsidRPr="00DB189E">
        <w:rPr>
          <w:rFonts w:ascii="Arial" w:eastAsia="Arial" w:hAnsi="Arial" w:cs="Arial"/>
          <w:b/>
          <w:bCs/>
        </w:rPr>
        <w:t xml:space="preserve">RADICADO: </w:t>
      </w:r>
      <w:r w:rsidRPr="00DB189E">
        <w:rPr>
          <w:rFonts w:ascii="Arial" w:eastAsia="Arial" w:hAnsi="Arial" w:cs="Arial"/>
          <w:b/>
          <w:bCs/>
        </w:rPr>
        <w:tab/>
      </w:r>
      <w:r w:rsidRPr="00DB189E">
        <w:rPr>
          <w:rFonts w:ascii="Arial" w:eastAsia="Arial" w:hAnsi="Arial" w:cs="Arial"/>
          <w:b/>
          <w:bCs/>
        </w:rPr>
        <w:tab/>
      </w:r>
      <w:r w:rsidRPr="00DB189E">
        <w:rPr>
          <w:rFonts w:ascii="Arial" w:eastAsia="Arial" w:hAnsi="Arial" w:cs="Arial"/>
        </w:rPr>
        <w:t>110013103018-2023-00309-00</w:t>
      </w:r>
    </w:p>
    <w:p w14:paraId="7BF43B3A" w14:textId="645895BD" w:rsidR="00DB189E" w:rsidRPr="00DB189E" w:rsidRDefault="00DB189E" w:rsidP="00DB189E">
      <w:pPr>
        <w:spacing w:line="360" w:lineRule="auto"/>
        <w:rPr>
          <w:rFonts w:ascii="Arial" w:eastAsia="Arial" w:hAnsi="Arial" w:cs="Arial"/>
          <w:b/>
          <w:bCs/>
        </w:rPr>
      </w:pPr>
    </w:p>
    <w:p w14:paraId="3EE1F61F" w14:textId="0E3E028B" w:rsidR="00911072" w:rsidRPr="00DB189E" w:rsidRDefault="00911072" w:rsidP="00BA2BC3">
      <w:pPr>
        <w:spacing w:line="360" w:lineRule="auto"/>
        <w:ind w:left="2124"/>
        <w:jc w:val="right"/>
        <w:rPr>
          <w:rFonts w:ascii="Arial" w:eastAsia="Arial" w:hAnsi="Arial" w:cs="Arial"/>
        </w:rPr>
      </w:pPr>
      <w:r w:rsidRPr="00DB189E">
        <w:rPr>
          <w:rFonts w:ascii="Arial" w:eastAsia="Arial" w:hAnsi="Arial" w:cs="Arial"/>
          <w:b/>
          <w:bCs/>
        </w:rPr>
        <w:t xml:space="preserve">ASUNTO: </w:t>
      </w:r>
      <w:r w:rsidR="00713673" w:rsidRPr="00DB189E">
        <w:rPr>
          <w:rFonts w:ascii="Arial" w:eastAsia="Arial" w:hAnsi="Arial" w:cs="Arial"/>
        </w:rPr>
        <w:t>SOLICITUD DE ACLARACIÓN Y/O ADICIÓN</w:t>
      </w:r>
      <w:r w:rsidRPr="00DB189E">
        <w:rPr>
          <w:rFonts w:ascii="Arial" w:eastAsia="Arial" w:hAnsi="Arial" w:cs="Arial"/>
        </w:rPr>
        <w:t xml:space="preserve"> CONTRA EL AUTO </w:t>
      </w:r>
      <w:r w:rsidR="00713673" w:rsidRPr="00DB189E">
        <w:rPr>
          <w:rFonts w:ascii="Arial" w:eastAsia="Arial" w:hAnsi="Arial" w:cs="Arial"/>
        </w:rPr>
        <w:t>DE OBEDÉZCASE Y CÚMPLASE</w:t>
      </w:r>
      <w:r w:rsidRPr="00DB189E">
        <w:rPr>
          <w:rFonts w:ascii="Arial" w:eastAsia="Arial" w:hAnsi="Arial" w:cs="Arial"/>
        </w:rPr>
        <w:t xml:space="preserve"> DEL </w:t>
      </w:r>
      <w:r w:rsidR="00713673" w:rsidRPr="00DB189E">
        <w:rPr>
          <w:rFonts w:ascii="Arial" w:eastAsia="Arial" w:hAnsi="Arial" w:cs="Arial"/>
        </w:rPr>
        <w:t>6 DE AGOSTO DE 2025</w:t>
      </w:r>
    </w:p>
    <w:p w14:paraId="431AEA45" w14:textId="77777777" w:rsidR="00DB189E" w:rsidRPr="00DB189E" w:rsidRDefault="00DB189E" w:rsidP="00DB189E">
      <w:pPr>
        <w:spacing w:line="360" w:lineRule="auto"/>
        <w:rPr>
          <w:rFonts w:ascii="Arial" w:eastAsia="Arial" w:hAnsi="Arial" w:cs="Arial"/>
          <w:b/>
          <w:bCs/>
        </w:rPr>
      </w:pPr>
    </w:p>
    <w:p w14:paraId="5B9C8C64" w14:textId="5EC90351" w:rsidR="00DB189E" w:rsidRPr="00DB189E" w:rsidRDefault="00911072" w:rsidP="00DB189E">
      <w:pPr>
        <w:pStyle w:val="Default"/>
        <w:spacing w:line="360" w:lineRule="auto"/>
        <w:jc w:val="both"/>
        <w:rPr>
          <w:color w:val="auto"/>
          <w:sz w:val="22"/>
          <w:szCs w:val="22"/>
          <w:lang w:val="es-MX"/>
        </w:rPr>
      </w:pPr>
      <w:r w:rsidRPr="00DB189E">
        <w:rPr>
          <w:rFonts w:eastAsia="Arial"/>
          <w:b/>
          <w:bCs/>
          <w:color w:val="auto"/>
          <w:sz w:val="22"/>
          <w:szCs w:val="22"/>
        </w:rPr>
        <w:t xml:space="preserve">GUSTAVO ALBERTO HERRERA ÁVILA, </w:t>
      </w:r>
      <w:r w:rsidRPr="00DB189E">
        <w:rPr>
          <w:rFonts w:eastAsia="Arial"/>
          <w:color w:val="auto"/>
          <w:sz w:val="22"/>
          <w:szCs w:val="22"/>
        </w:rPr>
        <w:t>identificado con la cédula de ciudadanía No. 19.395.114 de Bogotá, D.C., abogado titulado y en ejercicio, portador de la Tarjeta Profesional No. 39.116 del C. S. de la J, obrando en mi calidad de apoderado especial de</w:t>
      </w:r>
      <w:r w:rsidRPr="00DB189E">
        <w:rPr>
          <w:color w:val="auto"/>
          <w:sz w:val="22"/>
          <w:szCs w:val="22"/>
        </w:rPr>
        <w:t xml:space="preserve"> </w:t>
      </w:r>
      <w:r w:rsidRPr="00DB189E">
        <w:rPr>
          <w:b/>
          <w:bCs/>
          <w:color w:val="auto"/>
          <w:sz w:val="22"/>
          <w:szCs w:val="22"/>
        </w:rPr>
        <w:t xml:space="preserve">BBVA SEGUROS DE VIDA COLOMBIA S.A., </w:t>
      </w:r>
      <w:r w:rsidRPr="00DB189E">
        <w:rPr>
          <w:rFonts w:eastAsia="Arial"/>
          <w:color w:val="auto"/>
          <w:sz w:val="22"/>
          <w:szCs w:val="22"/>
        </w:rPr>
        <w:t xml:space="preserve">identificada con NIT. No. 800.240.882-0, de conformidad con el poder </w:t>
      </w:r>
      <w:r w:rsidR="00713673" w:rsidRPr="00DB189E">
        <w:rPr>
          <w:rFonts w:eastAsia="Arial"/>
          <w:color w:val="auto"/>
          <w:sz w:val="22"/>
          <w:szCs w:val="22"/>
        </w:rPr>
        <w:t xml:space="preserve">que obra en el expediente </w:t>
      </w:r>
      <w:r w:rsidRPr="00DB189E">
        <w:rPr>
          <w:rFonts w:eastAsia="Arial"/>
          <w:color w:val="auto"/>
          <w:sz w:val="22"/>
          <w:szCs w:val="22"/>
        </w:rPr>
        <w:t xml:space="preserve">de manera respetuosa formulo </w:t>
      </w:r>
      <w:r w:rsidR="00AA7270" w:rsidRPr="00DB189E">
        <w:rPr>
          <w:rFonts w:eastAsia="Arial"/>
          <w:b/>
          <w:bCs/>
          <w:color w:val="auto"/>
          <w:sz w:val="22"/>
          <w:szCs w:val="22"/>
        </w:rPr>
        <w:t xml:space="preserve">SOLICITUD DE ACLARACIÓN Y/O ADICIÓN </w:t>
      </w:r>
      <w:r w:rsidRPr="00DB189E">
        <w:rPr>
          <w:rFonts w:eastAsia="Arial"/>
          <w:color w:val="auto"/>
          <w:sz w:val="22"/>
          <w:szCs w:val="22"/>
        </w:rPr>
        <w:t xml:space="preserve">contra el Auto de fecha </w:t>
      </w:r>
      <w:r w:rsidR="00713673" w:rsidRPr="00DB189E">
        <w:rPr>
          <w:rFonts w:eastAsia="Arial"/>
          <w:color w:val="auto"/>
          <w:sz w:val="22"/>
          <w:szCs w:val="22"/>
        </w:rPr>
        <w:t>6 de agosto de 2025</w:t>
      </w:r>
      <w:r w:rsidRPr="00DB189E">
        <w:rPr>
          <w:rFonts w:eastAsia="Arial"/>
          <w:color w:val="auto"/>
          <w:sz w:val="22"/>
          <w:szCs w:val="22"/>
        </w:rPr>
        <w:t xml:space="preserve">, notificado en estados el </w:t>
      </w:r>
      <w:r w:rsidR="00713673" w:rsidRPr="00DB189E">
        <w:rPr>
          <w:rFonts w:eastAsia="Arial"/>
          <w:color w:val="auto"/>
          <w:sz w:val="22"/>
          <w:szCs w:val="22"/>
        </w:rPr>
        <w:t>8 de agosto de 2025</w:t>
      </w:r>
      <w:r w:rsidRPr="00DB189E">
        <w:rPr>
          <w:rFonts w:eastAsia="Arial"/>
          <w:color w:val="auto"/>
          <w:sz w:val="22"/>
          <w:szCs w:val="22"/>
        </w:rPr>
        <w:t>, por medio del cual se</w:t>
      </w:r>
      <w:r w:rsidR="00713673" w:rsidRPr="00DB189E">
        <w:rPr>
          <w:rFonts w:eastAsia="Arial"/>
          <w:color w:val="auto"/>
          <w:sz w:val="22"/>
          <w:szCs w:val="22"/>
        </w:rPr>
        <w:t xml:space="preserve"> busca obedecer y cumplir lo resuelto por el superior en proveído del 3 de julio de 2025, al declarar infundado el recurso de revisión</w:t>
      </w:r>
      <w:r w:rsidRPr="00DB189E">
        <w:rPr>
          <w:rFonts w:eastAsia="Arial"/>
          <w:color w:val="auto"/>
          <w:sz w:val="22"/>
          <w:szCs w:val="22"/>
        </w:rPr>
        <w:t xml:space="preserve"> </w:t>
      </w:r>
      <w:r w:rsidR="00713673" w:rsidRPr="00DB189E">
        <w:rPr>
          <w:rFonts w:eastAsia="Arial"/>
          <w:color w:val="auto"/>
          <w:sz w:val="22"/>
          <w:szCs w:val="22"/>
        </w:rPr>
        <w:t>rad. 2025-00643 y ordena liquidar costas, cuando, en primer lugar, debe resolver la excepción de nulidad por indebida notificación alegada en fase</w:t>
      </w:r>
      <w:r w:rsidRPr="00DB189E">
        <w:rPr>
          <w:rFonts w:eastAsia="Arial"/>
          <w:color w:val="auto"/>
          <w:sz w:val="22"/>
          <w:szCs w:val="22"/>
        </w:rPr>
        <w:t xml:space="preserve"> de </w:t>
      </w:r>
      <w:r w:rsidR="00713673" w:rsidRPr="00DB189E">
        <w:rPr>
          <w:rFonts w:eastAsia="Arial"/>
          <w:color w:val="auto"/>
          <w:sz w:val="22"/>
          <w:szCs w:val="22"/>
        </w:rPr>
        <w:t xml:space="preserve">ejecución debidamente en este proceso, </w:t>
      </w:r>
      <w:r w:rsidR="00F14191">
        <w:rPr>
          <w:rFonts w:eastAsia="Arial"/>
          <w:color w:val="auto"/>
          <w:sz w:val="22"/>
          <w:szCs w:val="22"/>
        </w:rPr>
        <w:t>siendo este</w:t>
      </w:r>
      <w:r w:rsidR="00713673" w:rsidRPr="00DB189E">
        <w:rPr>
          <w:rFonts w:eastAsia="Arial"/>
          <w:color w:val="auto"/>
          <w:sz w:val="22"/>
          <w:szCs w:val="22"/>
        </w:rPr>
        <w:t xml:space="preserve"> el argumento central para declarar infundado el recurso de revisión, pues, </w:t>
      </w:r>
      <w:r w:rsidR="00713673" w:rsidRPr="00DB189E">
        <w:rPr>
          <w:color w:val="auto"/>
          <w:sz w:val="22"/>
          <w:szCs w:val="22"/>
        </w:rPr>
        <w:t xml:space="preserve"> </w:t>
      </w:r>
      <w:r w:rsidR="00713673" w:rsidRPr="00DB189E">
        <w:rPr>
          <w:rFonts w:eastAsia="Arial"/>
          <w:color w:val="auto"/>
          <w:sz w:val="22"/>
          <w:szCs w:val="22"/>
        </w:rPr>
        <w:t>además de obedecer debió decirse que se iba a proceder a resolver las excepciones y no a liquidar costas</w:t>
      </w:r>
      <w:r w:rsidR="00710BD7" w:rsidRPr="00DB189E">
        <w:rPr>
          <w:rFonts w:eastAsia="Arial"/>
          <w:color w:val="auto"/>
          <w:sz w:val="22"/>
          <w:szCs w:val="22"/>
        </w:rPr>
        <w:t>,</w:t>
      </w:r>
      <w:r w:rsidR="00713673" w:rsidRPr="00DB189E">
        <w:rPr>
          <w:rFonts w:eastAsia="Arial"/>
          <w:color w:val="auto"/>
          <w:sz w:val="22"/>
          <w:szCs w:val="22"/>
        </w:rPr>
        <w:t xml:space="preserve"> </w:t>
      </w:r>
      <w:r w:rsidR="00710BD7" w:rsidRPr="00DB189E">
        <w:rPr>
          <w:rFonts w:eastAsia="Arial"/>
          <w:color w:val="auto"/>
          <w:sz w:val="22"/>
          <w:szCs w:val="22"/>
        </w:rPr>
        <w:t>luego entonces se precisa aclarar o adicionar esta providencia para que</w:t>
      </w:r>
      <w:r w:rsidR="00F14191">
        <w:rPr>
          <w:rFonts w:eastAsia="Arial"/>
          <w:color w:val="auto"/>
          <w:sz w:val="22"/>
          <w:szCs w:val="22"/>
        </w:rPr>
        <w:t xml:space="preserve"> </w:t>
      </w:r>
      <w:r w:rsidR="00710BD7" w:rsidRPr="00DB189E">
        <w:rPr>
          <w:rFonts w:eastAsia="Arial"/>
          <w:color w:val="auto"/>
          <w:sz w:val="22"/>
          <w:szCs w:val="22"/>
        </w:rPr>
        <w:t>se indique se procederá a resolver las excepciones</w:t>
      </w:r>
      <w:r w:rsidRPr="00DB189E">
        <w:rPr>
          <w:rFonts w:eastAsia="Arial"/>
          <w:color w:val="auto"/>
          <w:sz w:val="22"/>
          <w:szCs w:val="22"/>
        </w:rPr>
        <w:t xml:space="preserve"> </w:t>
      </w:r>
      <w:r w:rsidR="00710BD7" w:rsidRPr="00DB189E">
        <w:rPr>
          <w:rFonts w:eastAsia="Arial"/>
          <w:color w:val="auto"/>
          <w:sz w:val="22"/>
          <w:szCs w:val="22"/>
        </w:rPr>
        <w:t xml:space="preserve">propuestas contra el mudamiento de pago, mismas que no han sido resueltas, pese a haber sido presentadas en oportunidad. </w:t>
      </w:r>
      <w:r w:rsidRPr="00DB189E">
        <w:rPr>
          <w:rFonts w:eastAsia="Arial"/>
          <w:color w:val="auto"/>
          <w:sz w:val="22"/>
          <w:szCs w:val="22"/>
        </w:rPr>
        <w:t xml:space="preserve">se </w:t>
      </w:r>
      <w:r w:rsidR="00710BD7" w:rsidRPr="00DB189E">
        <w:rPr>
          <w:color w:val="auto"/>
          <w:sz w:val="22"/>
          <w:szCs w:val="22"/>
          <w:lang w:val="es-ES"/>
        </w:rPr>
        <w:t>La solicitud se presenta,</w:t>
      </w:r>
      <w:r w:rsidR="00710BD7" w:rsidRPr="00DB189E">
        <w:rPr>
          <w:color w:val="auto"/>
          <w:sz w:val="22"/>
          <w:szCs w:val="22"/>
          <w:lang w:val="es-MX"/>
        </w:rPr>
        <w:t xml:space="preserve"> con fundamento en el artículo 285 y 287 del Código General del Proceso, en los siguientes términos:</w:t>
      </w:r>
    </w:p>
    <w:p w14:paraId="77A2DD7F" w14:textId="77777777" w:rsidR="00DB189E" w:rsidRPr="00DB189E" w:rsidRDefault="00DB189E" w:rsidP="00DB189E">
      <w:pPr>
        <w:pStyle w:val="Default"/>
        <w:spacing w:line="360" w:lineRule="auto"/>
        <w:jc w:val="both"/>
        <w:rPr>
          <w:color w:val="auto"/>
          <w:sz w:val="22"/>
          <w:szCs w:val="22"/>
          <w:lang w:val="es-MX"/>
        </w:rPr>
      </w:pPr>
    </w:p>
    <w:p w14:paraId="218FC778" w14:textId="5D2D8361" w:rsidR="00911072" w:rsidRPr="00DB189E" w:rsidRDefault="00911072" w:rsidP="00DB189E">
      <w:pPr>
        <w:pStyle w:val="Prrafodelista"/>
        <w:numPr>
          <w:ilvl w:val="0"/>
          <w:numId w:val="19"/>
        </w:numPr>
        <w:spacing w:after="0" w:line="360" w:lineRule="auto"/>
        <w:jc w:val="center"/>
        <w:rPr>
          <w:rFonts w:ascii="Arial" w:eastAsia="Arial" w:hAnsi="Arial" w:cs="Arial"/>
          <w:b/>
          <w:bCs/>
          <w:u w:val="single"/>
        </w:rPr>
      </w:pPr>
      <w:r w:rsidRPr="00DB189E">
        <w:rPr>
          <w:rFonts w:ascii="Arial" w:eastAsia="Arial" w:hAnsi="Arial" w:cs="Arial"/>
          <w:b/>
          <w:bCs/>
          <w:u w:val="single"/>
        </w:rPr>
        <w:t xml:space="preserve">PROCEDENCIA Y OPORTUNIDAD </w:t>
      </w:r>
      <w:r w:rsidR="00710BD7" w:rsidRPr="00DB189E">
        <w:rPr>
          <w:rFonts w:ascii="Arial" w:eastAsia="Arial" w:hAnsi="Arial" w:cs="Arial"/>
          <w:b/>
          <w:bCs/>
          <w:u w:val="single"/>
        </w:rPr>
        <w:t>DE LA SOLICITUD DE ACLARACIÓN Y/O ADICIÓN</w:t>
      </w:r>
    </w:p>
    <w:p w14:paraId="23E40D8E" w14:textId="77777777" w:rsidR="00911072" w:rsidRPr="00DB189E" w:rsidRDefault="00911072" w:rsidP="00DB189E">
      <w:pPr>
        <w:spacing w:line="360" w:lineRule="auto"/>
        <w:rPr>
          <w:rFonts w:ascii="Arial" w:hAnsi="Arial" w:cs="Arial"/>
          <w:b/>
        </w:rPr>
      </w:pPr>
    </w:p>
    <w:p w14:paraId="59E30531" w14:textId="1B9B2C81" w:rsidR="00710BD7" w:rsidRPr="00DB189E" w:rsidRDefault="0074356F" w:rsidP="00DB189E">
      <w:pPr>
        <w:spacing w:line="360" w:lineRule="auto"/>
        <w:jc w:val="both"/>
        <w:outlineLvl w:val="0"/>
        <w:rPr>
          <w:rFonts w:ascii="Arial" w:eastAsia="Calibri" w:hAnsi="Arial" w:cs="Arial"/>
        </w:rPr>
      </w:pPr>
      <w:r w:rsidRPr="00DB189E">
        <w:rPr>
          <w:rFonts w:ascii="Arial" w:hAnsi="Arial" w:cs="Arial"/>
        </w:rPr>
        <w:t xml:space="preserve">Previo a presentar </w:t>
      </w:r>
      <w:r w:rsidR="00671893">
        <w:rPr>
          <w:rFonts w:ascii="Arial" w:hAnsi="Arial" w:cs="Arial"/>
        </w:rPr>
        <w:t xml:space="preserve">los recursos contra la providencia objeto de estas solicitudes, los cuales se radicaran </w:t>
      </w:r>
      <w:r w:rsidRPr="00DB189E">
        <w:rPr>
          <w:rFonts w:ascii="Arial" w:hAnsi="Arial" w:cs="Arial"/>
        </w:rPr>
        <w:t xml:space="preserve"> una vez se </w:t>
      </w:r>
      <w:r w:rsidR="00671893">
        <w:rPr>
          <w:rFonts w:ascii="Arial" w:hAnsi="Arial" w:cs="Arial"/>
        </w:rPr>
        <w:t>resuelva</w:t>
      </w:r>
      <w:r w:rsidRPr="00DB189E">
        <w:rPr>
          <w:rFonts w:ascii="Arial" w:hAnsi="Arial" w:cs="Arial"/>
        </w:rPr>
        <w:t xml:space="preserve"> el presente escrito</w:t>
      </w:r>
      <w:r w:rsidR="00710BD7" w:rsidRPr="00DB189E">
        <w:rPr>
          <w:rFonts w:ascii="Arial" w:hAnsi="Arial" w:cs="Arial"/>
        </w:rPr>
        <w:t xml:space="preserve">, se solicita solicitud de aclaración y/o adición del auto del 6 de agosto de 2025, notificado en estados del 8 de agosto de 2025. </w:t>
      </w:r>
      <w:r w:rsidR="00710BD7" w:rsidRPr="00DB189E">
        <w:rPr>
          <w:rFonts w:ascii="Arial" w:eastAsia="Calibri" w:hAnsi="Arial" w:cs="Arial"/>
        </w:rPr>
        <w:t>La solicitud de aclaración y/o adición que se presenta a través de este memorial es procedente a la luz de lo dispuesto por el artículo 285 y 287 del Código General del Proceso, de acuerdo con el cual, procede respecto de los autos de oficio o a petición de parte si son formuladas dentro del término de ejecutoria:</w:t>
      </w:r>
    </w:p>
    <w:p w14:paraId="754AFCDE" w14:textId="77777777" w:rsidR="00710BD7" w:rsidRPr="00DB189E" w:rsidRDefault="00710BD7" w:rsidP="00DB189E">
      <w:pPr>
        <w:spacing w:line="360" w:lineRule="auto"/>
        <w:jc w:val="both"/>
        <w:outlineLvl w:val="0"/>
        <w:rPr>
          <w:rFonts w:ascii="Arial" w:eastAsia="Calibri" w:hAnsi="Arial" w:cs="Arial"/>
        </w:rPr>
      </w:pPr>
    </w:p>
    <w:p w14:paraId="58D3C935" w14:textId="77777777" w:rsidR="00710BD7" w:rsidRPr="00DB189E" w:rsidRDefault="00710BD7" w:rsidP="00BA2BC3">
      <w:pPr>
        <w:ind w:left="851" w:right="793"/>
        <w:jc w:val="both"/>
        <w:rPr>
          <w:rFonts w:ascii="Arial" w:hAnsi="Arial" w:cs="Arial"/>
          <w:i/>
          <w:iCs/>
        </w:rPr>
      </w:pPr>
      <w:bookmarkStart w:id="1" w:name="287"/>
      <w:r w:rsidRPr="00DB189E">
        <w:rPr>
          <w:rFonts w:ascii="Arial" w:hAnsi="Arial" w:cs="Arial"/>
          <w:i/>
          <w:iCs/>
        </w:rPr>
        <w:t>“</w:t>
      </w:r>
      <w:r w:rsidRPr="00DB189E">
        <w:rPr>
          <w:rFonts w:ascii="Arial" w:hAnsi="Arial" w:cs="Arial"/>
          <w:b/>
          <w:bCs/>
          <w:i/>
          <w:iCs/>
        </w:rPr>
        <w:t>ARTÍCULO 285. ACLARACIÓN</w:t>
      </w:r>
      <w:r w:rsidRPr="00DB189E">
        <w:rPr>
          <w:rFonts w:ascii="Arial" w:hAnsi="Arial" w:cs="Arial"/>
          <w:i/>
          <w:iCs/>
        </w:rPr>
        <w:t>.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w:t>
      </w:r>
    </w:p>
    <w:p w14:paraId="4FDADA22" w14:textId="77777777" w:rsidR="00710BD7" w:rsidRPr="00DB189E" w:rsidRDefault="00710BD7" w:rsidP="00BA2BC3">
      <w:pPr>
        <w:ind w:left="851" w:right="793"/>
        <w:jc w:val="both"/>
        <w:rPr>
          <w:rFonts w:ascii="Arial" w:hAnsi="Arial" w:cs="Arial"/>
          <w:i/>
          <w:iCs/>
        </w:rPr>
      </w:pPr>
    </w:p>
    <w:p w14:paraId="19EF2910" w14:textId="77777777" w:rsidR="00710BD7" w:rsidRPr="00DB189E" w:rsidRDefault="00710BD7" w:rsidP="00BA2BC3">
      <w:pPr>
        <w:ind w:left="851" w:right="793"/>
        <w:jc w:val="both"/>
        <w:rPr>
          <w:rFonts w:ascii="Arial" w:hAnsi="Arial" w:cs="Arial"/>
          <w:i/>
          <w:iCs/>
        </w:rPr>
      </w:pPr>
      <w:r w:rsidRPr="00DB189E">
        <w:rPr>
          <w:rFonts w:ascii="Arial" w:hAnsi="Arial" w:cs="Arial"/>
          <w:i/>
          <w:iCs/>
        </w:rPr>
        <w:t>En las mismas circunstancias procederá la aclaración de auto. La aclaración procederá de oficio o a petición de parte formulada dentro del término de ejecutoria de la providencia.</w:t>
      </w:r>
    </w:p>
    <w:p w14:paraId="07071512" w14:textId="77777777" w:rsidR="00710BD7" w:rsidRPr="00DB189E" w:rsidRDefault="00710BD7" w:rsidP="00BA2BC3">
      <w:pPr>
        <w:ind w:left="851" w:right="793"/>
        <w:jc w:val="both"/>
        <w:rPr>
          <w:rFonts w:ascii="Arial" w:hAnsi="Arial" w:cs="Arial"/>
          <w:i/>
          <w:iCs/>
        </w:rPr>
      </w:pPr>
    </w:p>
    <w:p w14:paraId="35C0073E" w14:textId="2452AD21" w:rsidR="00710BD7" w:rsidRPr="00DB189E" w:rsidRDefault="00710BD7" w:rsidP="00BA2BC3">
      <w:pPr>
        <w:ind w:left="851" w:right="793"/>
        <w:jc w:val="both"/>
        <w:rPr>
          <w:rFonts w:ascii="Arial" w:hAnsi="Arial" w:cs="Arial"/>
          <w:i/>
          <w:iCs/>
        </w:rPr>
      </w:pPr>
      <w:r w:rsidRPr="00DB189E">
        <w:rPr>
          <w:rFonts w:ascii="Arial" w:hAnsi="Arial" w:cs="Arial"/>
          <w:i/>
          <w:iCs/>
        </w:rPr>
        <w:lastRenderedPageBreak/>
        <w:t>La providencia que resuelva sobre la aclaración no admite recursos, pero dentro de su ejecutoria podrán interponerse los que procedan contra la providencia objeto de aclaración.”</w:t>
      </w:r>
    </w:p>
    <w:p w14:paraId="12C89013" w14:textId="334BEE83" w:rsidR="00710BD7" w:rsidRPr="00DB189E" w:rsidRDefault="00710BD7" w:rsidP="00BA2BC3">
      <w:pPr>
        <w:ind w:left="851" w:right="793"/>
        <w:jc w:val="both"/>
        <w:rPr>
          <w:rFonts w:ascii="Arial" w:hAnsi="Arial" w:cs="Arial"/>
          <w:i/>
          <w:iCs/>
        </w:rPr>
      </w:pPr>
    </w:p>
    <w:p w14:paraId="13A1B29A" w14:textId="283A8B8B" w:rsidR="00710BD7" w:rsidRPr="00DB189E" w:rsidRDefault="00710BD7" w:rsidP="00BA2BC3">
      <w:pPr>
        <w:ind w:left="851" w:right="793"/>
        <w:jc w:val="both"/>
        <w:rPr>
          <w:rFonts w:ascii="Arial" w:hAnsi="Arial" w:cs="Arial"/>
          <w:i/>
          <w:iCs/>
        </w:rPr>
      </w:pPr>
      <w:r w:rsidRPr="00DB189E">
        <w:rPr>
          <w:rFonts w:ascii="Arial" w:hAnsi="Arial" w:cs="Arial"/>
          <w:b/>
          <w:bCs/>
          <w:i/>
          <w:iCs/>
        </w:rPr>
        <w:t xml:space="preserve">“ARTÍCULO 287. ADICIÓN. </w:t>
      </w:r>
      <w:r w:rsidRPr="00DB189E">
        <w:rPr>
          <w:rFonts w:ascii="Arial" w:hAnsi="Arial" w:cs="Arial"/>
          <w:i/>
          <w:iCs/>
        </w:rPr>
        <w:t>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3D4D7B89" w14:textId="77777777" w:rsidR="00710BD7" w:rsidRPr="00DB189E" w:rsidRDefault="00710BD7" w:rsidP="00BA2BC3">
      <w:pPr>
        <w:ind w:left="851" w:right="793"/>
        <w:jc w:val="both"/>
        <w:rPr>
          <w:rFonts w:ascii="Arial" w:hAnsi="Arial" w:cs="Arial"/>
          <w:i/>
          <w:iCs/>
        </w:rPr>
      </w:pPr>
    </w:p>
    <w:p w14:paraId="60891C72" w14:textId="77777777" w:rsidR="00710BD7" w:rsidRPr="00DB189E" w:rsidRDefault="00710BD7" w:rsidP="00BA2BC3">
      <w:pPr>
        <w:ind w:left="851" w:right="793"/>
        <w:jc w:val="both"/>
        <w:rPr>
          <w:rFonts w:ascii="Arial" w:hAnsi="Arial" w:cs="Arial"/>
          <w:i/>
          <w:iCs/>
        </w:rPr>
      </w:pPr>
      <w:r w:rsidRPr="00DB189E">
        <w:rPr>
          <w:rFonts w:ascii="Arial" w:hAnsi="Arial" w:cs="Arial"/>
          <w:i/>
          <w:iCs/>
        </w:rPr>
        <w:t xml:space="preserve">El juez de segunda instancia deberá complementar la sentencia del inferior siempre que la parte perjudicada con la omisión haya apelado; pero </w:t>
      </w:r>
      <w:proofErr w:type="spellStart"/>
      <w:r w:rsidRPr="00DB189E">
        <w:rPr>
          <w:rFonts w:ascii="Arial" w:hAnsi="Arial" w:cs="Arial"/>
          <w:i/>
          <w:iCs/>
        </w:rPr>
        <w:t>si</w:t>
      </w:r>
      <w:proofErr w:type="spellEnd"/>
      <w:r w:rsidRPr="00DB189E">
        <w:rPr>
          <w:rFonts w:ascii="Arial" w:hAnsi="Arial" w:cs="Arial"/>
          <w:i/>
          <w:iCs/>
        </w:rPr>
        <w:t xml:space="preserve"> dejó de resolver la demanda de reconvención o la de un proceso acumulado, le devolverá el expediente para que dicte sentencia complementaria.</w:t>
      </w:r>
    </w:p>
    <w:p w14:paraId="07152DEA" w14:textId="77777777" w:rsidR="00710BD7" w:rsidRPr="00DB189E" w:rsidRDefault="00710BD7" w:rsidP="00BA2BC3">
      <w:pPr>
        <w:ind w:left="851" w:right="793"/>
        <w:jc w:val="both"/>
        <w:rPr>
          <w:rFonts w:ascii="Arial" w:hAnsi="Arial" w:cs="Arial"/>
          <w:i/>
          <w:iCs/>
        </w:rPr>
      </w:pPr>
    </w:p>
    <w:p w14:paraId="528F1E15" w14:textId="77777777" w:rsidR="00710BD7" w:rsidRPr="00DB189E" w:rsidRDefault="00710BD7" w:rsidP="00BA2BC3">
      <w:pPr>
        <w:ind w:left="851" w:right="793"/>
        <w:jc w:val="both"/>
        <w:rPr>
          <w:rFonts w:ascii="Arial" w:hAnsi="Arial" w:cs="Arial"/>
          <w:i/>
          <w:iCs/>
        </w:rPr>
      </w:pPr>
      <w:r w:rsidRPr="00DB189E">
        <w:rPr>
          <w:rFonts w:ascii="Arial" w:hAnsi="Arial" w:cs="Arial"/>
          <w:i/>
          <w:iCs/>
        </w:rPr>
        <w:t>Los autos solo podrán adicionarse de oficio dentro del término de su ejecutoria, o a solicitud de parte presentada en el mismo término.</w:t>
      </w:r>
    </w:p>
    <w:p w14:paraId="5781EEAF" w14:textId="77777777" w:rsidR="00710BD7" w:rsidRPr="00DB189E" w:rsidRDefault="00710BD7" w:rsidP="00BA2BC3">
      <w:pPr>
        <w:ind w:left="851" w:right="793"/>
        <w:jc w:val="both"/>
        <w:rPr>
          <w:rFonts w:ascii="Arial" w:hAnsi="Arial" w:cs="Arial"/>
          <w:i/>
          <w:iCs/>
        </w:rPr>
      </w:pPr>
    </w:p>
    <w:p w14:paraId="0309E79E" w14:textId="63E78D50" w:rsidR="00710BD7" w:rsidRPr="00DB189E" w:rsidRDefault="00710BD7" w:rsidP="00BA2BC3">
      <w:pPr>
        <w:ind w:left="851" w:right="793"/>
        <w:jc w:val="both"/>
        <w:rPr>
          <w:rFonts w:ascii="Arial" w:hAnsi="Arial" w:cs="Arial"/>
          <w:i/>
          <w:iCs/>
        </w:rPr>
      </w:pPr>
      <w:r w:rsidRPr="00DB189E">
        <w:rPr>
          <w:rFonts w:ascii="Arial" w:hAnsi="Arial" w:cs="Arial"/>
          <w:i/>
          <w:iCs/>
        </w:rPr>
        <w:t>Dentro del término de ejecutoria de la providencia que resuelva sobre la complementación podrá recurrirse también la providencia principal.”</w:t>
      </w:r>
    </w:p>
    <w:p w14:paraId="22E295BD" w14:textId="77777777" w:rsidR="00710BD7" w:rsidRPr="00DB189E" w:rsidRDefault="00710BD7" w:rsidP="00DB189E">
      <w:pPr>
        <w:pStyle w:val="Sinespaciado"/>
        <w:spacing w:line="360" w:lineRule="auto"/>
        <w:rPr>
          <w:rFonts w:ascii="Arial" w:hAnsi="Arial" w:cs="Arial"/>
        </w:rPr>
      </w:pPr>
    </w:p>
    <w:bookmarkEnd w:id="1"/>
    <w:p w14:paraId="403C539F" w14:textId="1FC2B4DE" w:rsidR="00710BD7" w:rsidRPr="00DB189E" w:rsidRDefault="00710BD7" w:rsidP="00DB189E">
      <w:pPr>
        <w:spacing w:line="360" w:lineRule="auto"/>
        <w:jc w:val="both"/>
        <w:outlineLvl w:val="0"/>
        <w:rPr>
          <w:rFonts w:ascii="Arial" w:hAnsi="Arial" w:cs="Arial"/>
          <w:i/>
          <w:iCs/>
        </w:rPr>
      </w:pPr>
      <w:r w:rsidRPr="00DB189E">
        <w:rPr>
          <w:rFonts w:ascii="Arial" w:eastAsia="Calibri" w:hAnsi="Arial" w:cs="Arial"/>
        </w:rPr>
        <w:t xml:space="preserve">En el presente caso, el Auto del 6 de agosto de 2025 proferido por este Juzgado fue notificado por estados el 8 de agosto de 2025, por lo que, la presente solicitud de aclaración </w:t>
      </w:r>
      <w:r w:rsidR="009F72D0" w:rsidRPr="00DB189E">
        <w:rPr>
          <w:rFonts w:ascii="Arial" w:eastAsia="Calibri" w:hAnsi="Arial" w:cs="Arial"/>
        </w:rPr>
        <w:t xml:space="preserve">y/o adición </w:t>
      </w:r>
      <w:r w:rsidRPr="00DB189E">
        <w:rPr>
          <w:rFonts w:ascii="Arial" w:eastAsia="Calibri" w:hAnsi="Arial" w:cs="Arial"/>
        </w:rPr>
        <w:t>se presenta dentro de la oportunidad correspondiente, es decir, dentro de los tres (3) días de ejecutoria, la cual inicia el 11 de agosto de 2025 y culmina el 13 de agosto de 2025.</w:t>
      </w:r>
      <w:r w:rsidR="00911072" w:rsidRPr="00DB189E">
        <w:rPr>
          <w:rFonts w:ascii="Arial" w:hAnsi="Arial" w:cs="Arial"/>
        </w:rPr>
        <w:t xml:space="preserve"> Por lo anterior, se encuentra clara la procedencia de</w:t>
      </w:r>
      <w:r w:rsidRPr="00DB189E">
        <w:rPr>
          <w:rFonts w:ascii="Arial" w:hAnsi="Arial" w:cs="Arial"/>
        </w:rPr>
        <w:t xml:space="preserve"> esta solicitud</w:t>
      </w:r>
      <w:r w:rsidR="00911072" w:rsidRPr="00DB189E">
        <w:rPr>
          <w:rFonts w:ascii="Arial" w:hAnsi="Arial" w:cs="Arial"/>
        </w:rPr>
        <w:t xml:space="preserve"> en el caso </w:t>
      </w:r>
      <w:r w:rsidR="00911072" w:rsidRPr="00DB189E">
        <w:rPr>
          <w:rFonts w:ascii="Arial" w:hAnsi="Arial" w:cs="Arial"/>
          <w:i/>
          <w:iCs/>
        </w:rPr>
        <w:t>sub judice.</w:t>
      </w:r>
    </w:p>
    <w:p w14:paraId="6560D62C" w14:textId="77777777" w:rsidR="00710BD7" w:rsidRPr="00DB189E" w:rsidRDefault="00710BD7" w:rsidP="00DB189E">
      <w:pPr>
        <w:spacing w:line="360" w:lineRule="auto"/>
        <w:jc w:val="both"/>
        <w:outlineLvl w:val="0"/>
        <w:rPr>
          <w:rFonts w:ascii="Arial" w:eastAsia="Calibri" w:hAnsi="Arial" w:cs="Arial"/>
        </w:rPr>
      </w:pPr>
    </w:p>
    <w:p w14:paraId="4F0546E7" w14:textId="6DE61A28" w:rsidR="00710BD7" w:rsidRPr="00DB189E" w:rsidRDefault="00710BD7" w:rsidP="00DB189E">
      <w:pPr>
        <w:pStyle w:val="Prrafodelista"/>
        <w:numPr>
          <w:ilvl w:val="0"/>
          <w:numId w:val="19"/>
        </w:numPr>
        <w:spacing w:line="360" w:lineRule="auto"/>
        <w:jc w:val="center"/>
        <w:outlineLvl w:val="0"/>
        <w:rPr>
          <w:rFonts w:ascii="Arial" w:eastAsia="Calibri" w:hAnsi="Arial" w:cs="Arial"/>
          <w:b/>
          <w:bCs/>
        </w:rPr>
      </w:pPr>
      <w:r w:rsidRPr="00DB189E">
        <w:rPr>
          <w:rFonts w:ascii="Arial" w:eastAsia="Calibri" w:hAnsi="Arial" w:cs="Arial"/>
          <w:b/>
          <w:bCs/>
        </w:rPr>
        <w:t>FUNDAMENTOS DE LA SOLICITUD</w:t>
      </w:r>
    </w:p>
    <w:p w14:paraId="187DDB7F" w14:textId="77777777" w:rsidR="00710BD7" w:rsidRPr="00DB189E" w:rsidRDefault="00710BD7" w:rsidP="00DB189E">
      <w:pPr>
        <w:spacing w:line="360" w:lineRule="auto"/>
        <w:ind w:left="720"/>
        <w:outlineLvl w:val="0"/>
        <w:rPr>
          <w:rFonts w:ascii="Arial" w:eastAsia="Calibri" w:hAnsi="Arial" w:cs="Arial"/>
          <w:b/>
          <w:bCs/>
        </w:rPr>
      </w:pPr>
    </w:p>
    <w:p w14:paraId="2F5A46DE" w14:textId="1EE25D40" w:rsidR="00710BD7" w:rsidRPr="00DB189E" w:rsidRDefault="00710BD7" w:rsidP="00DB189E">
      <w:pPr>
        <w:tabs>
          <w:tab w:val="left" w:pos="8364"/>
        </w:tabs>
        <w:spacing w:line="360" w:lineRule="auto"/>
        <w:ind w:right="-7"/>
        <w:jc w:val="both"/>
        <w:outlineLvl w:val="0"/>
        <w:rPr>
          <w:rFonts w:ascii="Arial" w:eastAsiaTheme="minorHAnsi" w:hAnsi="Arial" w:cs="Arial"/>
        </w:rPr>
      </w:pPr>
      <w:r w:rsidRPr="00DB189E">
        <w:rPr>
          <w:rFonts w:ascii="Arial" w:eastAsiaTheme="minorHAnsi" w:hAnsi="Arial" w:cs="Arial"/>
          <w:lang w:val="es-MX"/>
        </w:rPr>
        <w:t xml:space="preserve">El </w:t>
      </w:r>
      <w:r w:rsidRPr="00DB189E">
        <w:rPr>
          <w:rFonts w:ascii="Arial" w:eastAsia="Calibri" w:hAnsi="Arial" w:cs="Arial"/>
        </w:rPr>
        <w:t>Juzgado</w:t>
      </w:r>
      <w:r w:rsidR="00F0125F" w:rsidRPr="00DB189E">
        <w:rPr>
          <w:rFonts w:ascii="Arial" w:eastAsia="Calibri" w:hAnsi="Arial" w:cs="Arial"/>
        </w:rPr>
        <w:t xml:space="preserve"> 18</w:t>
      </w:r>
      <w:r w:rsidRPr="00DB189E">
        <w:rPr>
          <w:rFonts w:ascii="Arial" w:eastAsia="Calibri" w:hAnsi="Arial" w:cs="Arial"/>
        </w:rPr>
        <w:t xml:space="preserve"> Civil del Circuito de </w:t>
      </w:r>
      <w:r w:rsidR="00F0125F" w:rsidRPr="00DB189E">
        <w:rPr>
          <w:rFonts w:ascii="Arial" w:eastAsia="Calibri" w:hAnsi="Arial" w:cs="Arial"/>
        </w:rPr>
        <w:t>Bogotá</w:t>
      </w:r>
      <w:r w:rsidRPr="00DB189E">
        <w:rPr>
          <w:rFonts w:ascii="Arial" w:eastAsiaTheme="minorHAnsi" w:hAnsi="Arial" w:cs="Arial"/>
          <w:lang w:val="es-MX"/>
        </w:rPr>
        <w:t xml:space="preserve"> mediante Auto del </w:t>
      </w:r>
      <w:r w:rsidR="00F0125F" w:rsidRPr="00DB189E">
        <w:rPr>
          <w:rFonts w:ascii="Arial" w:eastAsiaTheme="minorHAnsi" w:hAnsi="Arial" w:cs="Arial"/>
        </w:rPr>
        <w:t>6 de agosto de 2025</w:t>
      </w:r>
      <w:r w:rsidRPr="00DB189E">
        <w:rPr>
          <w:rFonts w:ascii="Arial" w:eastAsiaTheme="minorHAnsi" w:hAnsi="Arial" w:cs="Arial"/>
        </w:rPr>
        <w:t xml:space="preserve"> decidió</w:t>
      </w:r>
      <w:r w:rsidR="00DB189E" w:rsidRPr="00DB189E">
        <w:rPr>
          <w:rFonts w:ascii="Arial" w:eastAsiaTheme="minorHAnsi" w:hAnsi="Arial" w:cs="Arial"/>
        </w:rPr>
        <w:t xml:space="preserve"> obedecer y cumplir providencia del Tribunal </w:t>
      </w:r>
      <w:r w:rsidR="00DB189E" w:rsidRPr="00DB189E">
        <w:rPr>
          <w:rFonts w:ascii="Arial" w:eastAsia="Arial" w:hAnsi="Arial" w:cs="Arial"/>
        </w:rPr>
        <w:t>superior en proveído del 3 de julio de 2025, al declarar infundado el recurso de revisión rad. 2025-00643 y liquidar costas, así</w:t>
      </w:r>
      <w:r w:rsidRPr="00DB189E">
        <w:rPr>
          <w:rFonts w:ascii="Arial" w:eastAsiaTheme="minorHAnsi" w:hAnsi="Arial" w:cs="Arial"/>
        </w:rPr>
        <w:t xml:space="preserve"> </w:t>
      </w:r>
    </w:p>
    <w:p w14:paraId="355D812D" w14:textId="77777777" w:rsidR="00710BD7" w:rsidRPr="00DB189E" w:rsidRDefault="00710BD7" w:rsidP="00DB189E">
      <w:pPr>
        <w:tabs>
          <w:tab w:val="left" w:pos="8364"/>
        </w:tabs>
        <w:spacing w:line="360" w:lineRule="auto"/>
        <w:ind w:right="-7"/>
        <w:jc w:val="both"/>
        <w:outlineLvl w:val="0"/>
        <w:rPr>
          <w:rFonts w:ascii="Arial" w:eastAsiaTheme="minorHAnsi" w:hAnsi="Arial" w:cs="Arial"/>
        </w:rPr>
      </w:pPr>
    </w:p>
    <w:p w14:paraId="5E8F0947" w14:textId="6CDFBD8B" w:rsidR="00FD413A" w:rsidRPr="00DB189E" w:rsidRDefault="00F0125F" w:rsidP="00DB189E">
      <w:pPr>
        <w:tabs>
          <w:tab w:val="left" w:pos="8364"/>
        </w:tabs>
        <w:spacing w:line="360" w:lineRule="auto"/>
        <w:ind w:left="709" w:right="-7"/>
        <w:jc w:val="center"/>
        <w:outlineLvl w:val="0"/>
        <w:rPr>
          <w:rFonts w:ascii="Arial" w:hAnsi="Arial" w:cs="Arial"/>
        </w:rPr>
      </w:pPr>
      <w:r w:rsidRPr="00DB189E">
        <w:rPr>
          <w:rFonts w:ascii="Arial" w:hAnsi="Arial" w:cs="Arial"/>
          <w:noProof/>
        </w:rPr>
        <w:drawing>
          <wp:inline distT="0" distB="0" distL="0" distR="0" wp14:anchorId="723DB0A8" wp14:editId="085C69E5">
            <wp:extent cx="2852057" cy="3367012"/>
            <wp:effectExtent l="152400" t="152400" r="367665" b="3670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8066" cy="3374105"/>
                    </a:xfrm>
                    <a:prstGeom prst="rect">
                      <a:avLst/>
                    </a:prstGeom>
                    <a:ln>
                      <a:noFill/>
                    </a:ln>
                    <a:effectLst>
                      <a:outerShdw blurRad="292100" dist="139700" dir="2700000" algn="tl" rotWithShape="0">
                        <a:srgbClr val="333333">
                          <a:alpha val="65000"/>
                        </a:srgbClr>
                      </a:outerShdw>
                    </a:effectLst>
                  </pic:spPr>
                </pic:pic>
              </a:graphicData>
            </a:graphic>
          </wp:inline>
        </w:drawing>
      </w:r>
    </w:p>
    <w:p w14:paraId="7BCC1AFD" w14:textId="29FFF0A3" w:rsidR="00F0125F" w:rsidRPr="00DB189E" w:rsidRDefault="00710BD7" w:rsidP="00DB189E">
      <w:pPr>
        <w:pStyle w:val="Default"/>
        <w:spacing w:line="360" w:lineRule="auto"/>
        <w:jc w:val="both"/>
        <w:rPr>
          <w:rFonts w:eastAsia="Arial"/>
          <w:color w:val="auto"/>
          <w:sz w:val="22"/>
          <w:szCs w:val="22"/>
        </w:rPr>
      </w:pPr>
      <w:r w:rsidRPr="00DB189E">
        <w:rPr>
          <w:color w:val="auto"/>
          <w:sz w:val="22"/>
          <w:szCs w:val="22"/>
        </w:rPr>
        <w:lastRenderedPageBreak/>
        <w:t>Sin embargo, no se entiende por qué su H. despacho efectuó dicho pronunciamiento</w:t>
      </w:r>
      <w:r w:rsidR="00F0125F" w:rsidRPr="00DB189E">
        <w:rPr>
          <w:color w:val="auto"/>
          <w:sz w:val="22"/>
          <w:szCs w:val="22"/>
        </w:rPr>
        <w:t xml:space="preserve"> </w:t>
      </w:r>
      <w:r w:rsidR="00F0125F" w:rsidRPr="00DB189E">
        <w:rPr>
          <w:rFonts w:eastAsia="Arial"/>
          <w:color w:val="auto"/>
          <w:sz w:val="22"/>
          <w:szCs w:val="22"/>
        </w:rPr>
        <w:t>de obedecer y cumplir lo resuelto por el superior en proveído del 3 de julio de 2025, el cual declara infundado el recurso de revisión bajo el rad. 2025-00643</w:t>
      </w:r>
      <w:r w:rsidR="00BA2BC3">
        <w:rPr>
          <w:rFonts w:eastAsia="Arial"/>
          <w:color w:val="auto"/>
          <w:sz w:val="22"/>
          <w:szCs w:val="22"/>
        </w:rPr>
        <w:t xml:space="preserve"> </w:t>
      </w:r>
      <w:r w:rsidR="00F0125F" w:rsidRPr="00DB189E">
        <w:rPr>
          <w:rFonts w:eastAsia="Arial"/>
          <w:color w:val="auto"/>
          <w:sz w:val="22"/>
          <w:szCs w:val="22"/>
        </w:rPr>
        <w:t xml:space="preserve">y ordena liquidar costas, </w:t>
      </w:r>
      <w:r w:rsidR="00BA2BC3">
        <w:rPr>
          <w:rFonts w:eastAsia="Arial"/>
          <w:color w:val="auto"/>
          <w:sz w:val="22"/>
          <w:szCs w:val="22"/>
        </w:rPr>
        <w:t xml:space="preserve">bajo el entendido de que, </w:t>
      </w:r>
      <w:r w:rsidR="00F0125F" w:rsidRPr="00DB189E">
        <w:rPr>
          <w:rFonts w:eastAsia="Arial"/>
          <w:color w:val="auto"/>
          <w:sz w:val="22"/>
          <w:szCs w:val="22"/>
        </w:rPr>
        <w:t xml:space="preserve">justamente el argumento central </w:t>
      </w:r>
      <w:r w:rsidR="00BA2BC3">
        <w:rPr>
          <w:rFonts w:eastAsia="Arial"/>
          <w:color w:val="auto"/>
          <w:sz w:val="22"/>
          <w:szCs w:val="22"/>
        </w:rPr>
        <w:t xml:space="preserve">que utilizó el Tribunal Superior de Bogotá </w:t>
      </w:r>
      <w:r w:rsidR="00F0125F" w:rsidRPr="00DB189E">
        <w:rPr>
          <w:rFonts w:eastAsia="Arial"/>
          <w:color w:val="auto"/>
          <w:sz w:val="22"/>
          <w:szCs w:val="22"/>
        </w:rPr>
        <w:t xml:space="preserve">para declarar infundado el recurso de revisión se relaciona con la presentación de la nulidad por indebida notificación como excepción en </w:t>
      </w:r>
      <w:r w:rsidR="00BA2BC3">
        <w:rPr>
          <w:rFonts w:eastAsia="Arial"/>
          <w:color w:val="auto"/>
          <w:sz w:val="22"/>
          <w:szCs w:val="22"/>
        </w:rPr>
        <w:t xml:space="preserve">la </w:t>
      </w:r>
      <w:r w:rsidR="00F0125F" w:rsidRPr="00DB189E">
        <w:rPr>
          <w:rFonts w:eastAsia="Arial"/>
          <w:color w:val="auto"/>
          <w:sz w:val="22"/>
          <w:szCs w:val="22"/>
        </w:rPr>
        <w:t>fase de ejecución, la cual fue debidamente alegada en este proceso</w:t>
      </w:r>
      <w:r w:rsidR="00BA2BC3">
        <w:rPr>
          <w:rFonts w:eastAsia="Arial"/>
          <w:color w:val="auto"/>
          <w:sz w:val="22"/>
          <w:szCs w:val="22"/>
        </w:rPr>
        <w:t xml:space="preserve"> y aspecto que impide que por vía del recurso extraordinario se desate tal controversia</w:t>
      </w:r>
      <w:r w:rsidR="00F0125F" w:rsidRPr="00DB189E">
        <w:rPr>
          <w:rFonts w:eastAsia="Arial"/>
          <w:color w:val="auto"/>
          <w:sz w:val="22"/>
          <w:szCs w:val="22"/>
        </w:rPr>
        <w:t xml:space="preserve">. La sentencia anticipada que resuelve el recurso de revisión el 3 de julio de 2025, determinó lo siguiente: </w:t>
      </w:r>
    </w:p>
    <w:p w14:paraId="5528C5FC" w14:textId="77777777" w:rsidR="00F0125F" w:rsidRPr="00DB189E" w:rsidRDefault="00F0125F" w:rsidP="00DB189E">
      <w:pPr>
        <w:pStyle w:val="Default"/>
        <w:spacing w:line="360" w:lineRule="auto"/>
        <w:jc w:val="both"/>
        <w:rPr>
          <w:rFonts w:eastAsia="Arial"/>
          <w:color w:val="auto"/>
          <w:sz w:val="22"/>
          <w:szCs w:val="22"/>
        </w:rPr>
      </w:pPr>
    </w:p>
    <w:p w14:paraId="74E6939A" w14:textId="7C27DE32" w:rsidR="00F0125F" w:rsidRPr="00DB189E" w:rsidRDefault="00BA2BC3" w:rsidP="00DB189E">
      <w:pPr>
        <w:pStyle w:val="Default"/>
        <w:spacing w:line="360" w:lineRule="auto"/>
        <w:jc w:val="center"/>
        <w:rPr>
          <w:rFonts w:eastAsia="Arial"/>
          <w:color w:val="auto"/>
          <w:sz w:val="22"/>
          <w:szCs w:val="22"/>
        </w:rPr>
      </w:pPr>
      <w:r>
        <w:rPr>
          <w:rFonts w:eastAsia="Arial"/>
          <w:noProof/>
          <w:color w:val="auto"/>
          <w:sz w:val="22"/>
          <w:szCs w:val="22"/>
        </w:rPr>
        <mc:AlternateContent>
          <mc:Choice Requires="wps">
            <w:drawing>
              <wp:anchor distT="0" distB="0" distL="114300" distR="114300" simplePos="0" relativeHeight="251660288" behindDoc="0" locked="0" layoutInCell="1" allowOverlap="1" wp14:anchorId="20842F88" wp14:editId="2275D9BC">
                <wp:simplePos x="0" y="0"/>
                <wp:positionH relativeFrom="column">
                  <wp:posOffset>654529</wp:posOffset>
                </wp:positionH>
                <wp:positionV relativeFrom="paragraph">
                  <wp:posOffset>371465</wp:posOffset>
                </wp:positionV>
                <wp:extent cx="4984146" cy="622091"/>
                <wp:effectExtent l="0" t="0" r="6985" b="13335"/>
                <wp:wrapNone/>
                <wp:docPr id="783615021" name="Rectángulo 3"/>
                <wp:cNvGraphicFramePr/>
                <a:graphic xmlns:a="http://schemas.openxmlformats.org/drawingml/2006/main">
                  <a:graphicData uri="http://schemas.microsoft.com/office/word/2010/wordprocessingShape">
                    <wps:wsp>
                      <wps:cNvSpPr/>
                      <wps:spPr>
                        <a:xfrm>
                          <a:off x="0" y="0"/>
                          <a:ext cx="4984146" cy="622091"/>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329800F5" id="Rectángulo 3" o:spid="_x0000_s1026" style="position:absolute;margin-left:51.55pt;margin-top:29.25pt;width:392.45pt;height:4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" filled="f" strokecolor="#c00000" strokeweight="1pt"/>
            </w:pict>
          </mc:Fallback>
        </mc:AlternateContent>
      </w:r>
      <w:r w:rsidR="00F0125F" w:rsidRPr="00DB189E">
        <w:rPr>
          <w:rFonts w:eastAsia="Arial"/>
          <w:noProof/>
          <w:color w:val="auto"/>
          <w:sz w:val="22"/>
          <w:szCs w:val="22"/>
        </w:rPr>
        <w:drawing>
          <wp:inline distT="0" distB="0" distL="0" distR="0" wp14:anchorId="6B270FB6" wp14:editId="3BCF9917">
            <wp:extent cx="4800600" cy="2026743"/>
            <wp:effectExtent l="152400" t="152400" r="355600" b="3613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9022" cy="2030299"/>
                    </a:xfrm>
                    <a:prstGeom prst="rect">
                      <a:avLst/>
                    </a:prstGeom>
                    <a:ln>
                      <a:noFill/>
                    </a:ln>
                    <a:effectLst>
                      <a:outerShdw blurRad="292100" dist="139700" dir="2700000" algn="tl" rotWithShape="0">
                        <a:srgbClr val="333333">
                          <a:alpha val="65000"/>
                        </a:srgbClr>
                      </a:outerShdw>
                    </a:effectLst>
                  </pic:spPr>
                </pic:pic>
              </a:graphicData>
            </a:graphic>
          </wp:inline>
        </w:drawing>
      </w:r>
    </w:p>
    <w:p w14:paraId="57A502F2" w14:textId="77777777" w:rsidR="00BA2BC3" w:rsidRDefault="00F0125F" w:rsidP="00DB189E">
      <w:pPr>
        <w:pStyle w:val="Default"/>
        <w:spacing w:line="360" w:lineRule="auto"/>
        <w:jc w:val="both"/>
        <w:rPr>
          <w:rFonts w:eastAsia="Arial"/>
          <w:color w:val="auto"/>
          <w:sz w:val="22"/>
          <w:szCs w:val="22"/>
        </w:rPr>
      </w:pPr>
      <w:r w:rsidRPr="00DB189E">
        <w:rPr>
          <w:rFonts w:eastAsia="Arial"/>
          <w:color w:val="auto"/>
          <w:sz w:val="22"/>
          <w:szCs w:val="22"/>
        </w:rPr>
        <w:t xml:space="preserve">Ello quiere decir, que el argumento central para declarar infundado el recurso de revisión por indebida notificación se relaciona </w:t>
      </w:r>
      <w:r w:rsidR="00BA2BC3">
        <w:rPr>
          <w:rFonts w:eastAsia="Arial"/>
          <w:color w:val="auto"/>
          <w:sz w:val="22"/>
          <w:szCs w:val="22"/>
        </w:rPr>
        <w:t xml:space="preserve">con que </w:t>
      </w:r>
      <w:r w:rsidRPr="00DB189E">
        <w:rPr>
          <w:rFonts w:eastAsia="Arial"/>
          <w:color w:val="auto"/>
          <w:sz w:val="22"/>
          <w:szCs w:val="22"/>
        </w:rPr>
        <w:t xml:space="preserve">la causal invocada debe alegarse en la fase de ejecución o cumplimiento, </w:t>
      </w:r>
      <w:r w:rsidR="00BA2BC3">
        <w:rPr>
          <w:rFonts w:eastAsia="Arial"/>
          <w:color w:val="auto"/>
          <w:sz w:val="22"/>
          <w:szCs w:val="22"/>
        </w:rPr>
        <w:t>y no se desestimó porque se haya encontrado infundada la nulidad alegada, pues se itera de acuerdo con lo expuesto por el Tribunal, la nulidad por indebida notificación debe resolverla el juez que conoce de la ejecución de la sentencia, es decir</w:t>
      </w:r>
      <w:r w:rsidRPr="00DB189E">
        <w:rPr>
          <w:rFonts w:eastAsia="Arial"/>
          <w:color w:val="auto"/>
          <w:sz w:val="22"/>
          <w:szCs w:val="22"/>
        </w:rPr>
        <w:t>, este honorable despacho</w:t>
      </w:r>
      <w:r w:rsidR="00BA2BC3">
        <w:rPr>
          <w:rFonts w:eastAsia="Arial"/>
          <w:color w:val="auto"/>
          <w:sz w:val="22"/>
          <w:szCs w:val="22"/>
        </w:rPr>
        <w:t>.</w:t>
      </w:r>
    </w:p>
    <w:p w14:paraId="6A3D776B" w14:textId="77777777" w:rsidR="00BA2BC3" w:rsidRDefault="00BA2BC3" w:rsidP="00DB189E">
      <w:pPr>
        <w:pStyle w:val="Default"/>
        <w:spacing w:line="360" w:lineRule="auto"/>
        <w:jc w:val="both"/>
        <w:rPr>
          <w:rFonts w:eastAsia="Arial"/>
          <w:color w:val="auto"/>
          <w:sz w:val="22"/>
          <w:szCs w:val="22"/>
        </w:rPr>
      </w:pPr>
    </w:p>
    <w:p w14:paraId="4B6E0E43" w14:textId="654559FC" w:rsidR="00F0125F" w:rsidRPr="00DB189E" w:rsidRDefault="00BA2BC3" w:rsidP="00DB189E">
      <w:pPr>
        <w:pStyle w:val="Default"/>
        <w:spacing w:line="360" w:lineRule="auto"/>
        <w:jc w:val="both"/>
        <w:rPr>
          <w:rFonts w:eastAsia="Arial"/>
          <w:color w:val="auto"/>
          <w:sz w:val="22"/>
          <w:szCs w:val="22"/>
        </w:rPr>
      </w:pPr>
      <w:r>
        <w:rPr>
          <w:rFonts w:eastAsia="Arial"/>
          <w:color w:val="auto"/>
          <w:sz w:val="22"/>
          <w:szCs w:val="22"/>
        </w:rPr>
        <w:t>Así las cosas,</w:t>
      </w:r>
      <w:r w:rsidR="00F0125F" w:rsidRPr="00DB189E">
        <w:rPr>
          <w:rFonts w:eastAsia="Arial"/>
          <w:color w:val="auto"/>
          <w:sz w:val="22"/>
          <w:szCs w:val="22"/>
        </w:rPr>
        <w:t xml:space="preserve"> además de obedecer debió esgrimir en el auto que se iba a proceder a resolver las excepciones y no a liquidar costas, luego entonces se precisa que debe aclarar o adicionar esta providencia para que indique</w:t>
      </w:r>
      <w:r>
        <w:rPr>
          <w:rFonts w:eastAsia="Arial"/>
          <w:color w:val="auto"/>
          <w:sz w:val="22"/>
          <w:szCs w:val="22"/>
        </w:rPr>
        <w:t xml:space="preserve"> cuales son los motivos que llevan a proferir un auto de obedecimiento sin que en realidad se de aplicación a lo dispuesto por el superior, quien fue enfático en manifestar que es este Despacho quien debe resolver sobre la nulidad propuesta por vía de excepción,  la cual no</w:t>
      </w:r>
      <w:r w:rsidR="00F0125F" w:rsidRPr="00DB189E">
        <w:rPr>
          <w:rFonts w:eastAsia="Arial"/>
          <w:color w:val="auto"/>
          <w:sz w:val="22"/>
          <w:szCs w:val="22"/>
        </w:rPr>
        <w:t xml:space="preserve"> ha sido resuelta</w:t>
      </w:r>
      <w:r>
        <w:rPr>
          <w:rFonts w:eastAsia="Arial"/>
          <w:color w:val="auto"/>
          <w:sz w:val="22"/>
          <w:szCs w:val="22"/>
        </w:rPr>
        <w:t>.</w:t>
      </w:r>
      <w:r w:rsidR="00F0125F" w:rsidRPr="00DB189E">
        <w:rPr>
          <w:rFonts w:eastAsia="Arial"/>
          <w:color w:val="auto"/>
          <w:sz w:val="22"/>
          <w:szCs w:val="22"/>
        </w:rPr>
        <w:t xml:space="preserve"> </w:t>
      </w:r>
    </w:p>
    <w:p w14:paraId="7078615C" w14:textId="7F901831" w:rsidR="00F0125F" w:rsidRPr="00DB189E" w:rsidRDefault="00F0125F" w:rsidP="00BA2BC3">
      <w:pPr>
        <w:pStyle w:val="Default"/>
        <w:spacing w:line="360" w:lineRule="auto"/>
        <w:rPr>
          <w:rFonts w:eastAsia="Arial"/>
          <w:color w:val="auto"/>
          <w:sz w:val="22"/>
          <w:szCs w:val="22"/>
        </w:rPr>
      </w:pPr>
    </w:p>
    <w:p w14:paraId="637F9B90" w14:textId="6625D4AE" w:rsidR="00710BD7" w:rsidRPr="00DB189E" w:rsidRDefault="00BA2BC3" w:rsidP="00DB189E">
      <w:pPr>
        <w:tabs>
          <w:tab w:val="left" w:pos="8364"/>
        </w:tabs>
        <w:spacing w:line="360" w:lineRule="auto"/>
        <w:ind w:right="-7"/>
        <w:jc w:val="both"/>
        <w:outlineLvl w:val="0"/>
        <w:rPr>
          <w:rFonts w:ascii="Arial" w:eastAsia="Calibri" w:hAnsi="Arial" w:cs="Arial"/>
          <w:lang w:val="es-CO"/>
        </w:rPr>
      </w:pPr>
      <w:r>
        <w:rPr>
          <w:rFonts w:ascii="Arial" w:eastAsia="Calibri" w:hAnsi="Arial" w:cs="Arial"/>
          <w:lang w:val="es-CO"/>
        </w:rPr>
        <w:t>Se debe iterar que l</w:t>
      </w:r>
      <w:r w:rsidR="005102AC" w:rsidRPr="00DB189E">
        <w:rPr>
          <w:rFonts w:ascii="Arial" w:eastAsia="Calibri" w:hAnsi="Arial" w:cs="Arial"/>
          <w:lang w:val="es-CO"/>
        </w:rPr>
        <w:t xml:space="preserve">as excepciones contra el mandamiento de pago en un primer momento fueron radicadas el pasado 12 de mayo de 2025, cuando incluso no se había resuelto el recurso de reposición contra el auto que libró mandamiento de pago en contra de mi mandante, pues, el suscrito radicó oportunamente un recurso de reposición en contra de dicha decisión el 2 de mayo del año en curso, el cual no fue resuelto sino hasta el 5 de junio de 2025, como se observa: </w:t>
      </w:r>
    </w:p>
    <w:p w14:paraId="2F1929C4" w14:textId="73640217" w:rsidR="005102AC" w:rsidRPr="00DB189E" w:rsidRDefault="005102AC" w:rsidP="00DB189E">
      <w:pPr>
        <w:tabs>
          <w:tab w:val="left" w:pos="8364"/>
        </w:tabs>
        <w:spacing w:line="360" w:lineRule="auto"/>
        <w:ind w:right="-7"/>
        <w:jc w:val="both"/>
        <w:outlineLvl w:val="0"/>
        <w:rPr>
          <w:rFonts w:ascii="Arial" w:eastAsia="Calibri" w:hAnsi="Arial" w:cs="Arial"/>
          <w:lang w:val="es-CO"/>
        </w:rPr>
      </w:pPr>
    </w:p>
    <w:p w14:paraId="5EB12DE8" w14:textId="76FBAA3D" w:rsidR="005102AC" w:rsidRPr="00DB189E" w:rsidRDefault="005102AC" w:rsidP="00DB189E">
      <w:pPr>
        <w:tabs>
          <w:tab w:val="left" w:pos="8364"/>
        </w:tabs>
        <w:spacing w:line="360" w:lineRule="auto"/>
        <w:ind w:right="-7"/>
        <w:jc w:val="center"/>
        <w:outlineLvl w:val="0"/>
        <w:rPr>
          <w:rFonts w:ascii="Arial" w:eastAsia="Calibri" w:hAnsi="Arial" w:cs="Arial"/>
          <w:lang w:val="es-CO"/>
        </w:rPr>
      </w:pPr>
      <w:r w:rsidRPr="00DB189E">
        <w:rPr>
          <w:rFonts w:ascii="Arial" w:eastAsia="Calibri" w:hAnsi="Arial" w:cs="Arial"/>
          <w:noProof/>
          <w:lang w:val="es-CO"/>
        </w:rPr>
        <w:lastRenderedPageBreak/>
        <w:drawing>
          <wp:inline distT="0" distB="0" distL="0" distR="0" wp14:anchorId="6A98950E" wp14:editId="6A7BC8D6">
            <wp:extent cx="2910163" cy="2979690"/>
            <wp:effectExtent l="152400" t="152400" r="354330" b="3606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7839" cy="2987549"/>
                    </a:xfrm>
                    <a:prstGeom prst="rect">
                      <a:avLst/>
                    </a:prstGeom>
                    <a:ln>
                      <a:noFill/>
                    </a:ln>
                    <a:effectLst>
                      <a:outerShdw blurRad="292100" dist="139700" dir="2700000" algn="tl" rotWithShape="0">
                        <a:srgbClr val="333333">
                          <a:alpha val="65000"/>
                        </a:srgbClr>
                      </a:outerShdw>
                    </a:effectLst>
                  </pic:spPr>
                </pic:pic>
              </a:graphicData>
            </a:graphic>
          </wp:inline>
        </w:drawing>
      </w:r>
    </w:p>
    <w:p w14:paraId="6D204B42" w14:textId="30F39025" w:rsidR="005102AC" w:rsidRPr="00DB189E" w:rsidRDefault="005102AC" w:rsidP="00DB189E">
      <w:pPr>
        <w:tabs>
          <w:tab w:val="left" w:pos="8364"/>
        </w:tabs>
        <w:spacing w:line="360" w:lineRule="auto"/>
        <w:ind w:right="-7"/>
        <w:jc w:val="both"/>
        <w:outlineLvl w:val="0"/>
        <w:rPr>
          <w:rFonts w:ascii="Arial" w:eastAsia="Calibri" w:hAnsi="Arial" w:cs="Arial"/>
          <w:lang w:val="es-CO"/>
        </w:rPr>
      </w:pPr>
      <w:r w:rsidRPr="00DB189E">
        <w:rPr>
          <w:rFonts w:ascii="Arial" w:eastAsia="Calibri" w:hAnsi="Arial" w:cs="Arial"/>
          <w:lang w:val="es-CO"/>
        </w:rPr>
        <w:t>De acuerdo con el auto del 5 de junio de 2025, notificado en estado del 6 de junio de 2025 el cual resolvió el recurso de reposición impetrado contra el auto que libra mandamiento de pago, se procedió a radicar en segunda oportunidad las excepciones de mérito contra el mandamiento de pago, por cuanto se habían interrumpido los términos de traslado con ocasión a la interposición del recurso</w:t>
      </w:r>
      <w:r w:rsidR="00BA2BC3">
        <w:rPr>
          <w:rFonts w:ascii="Arial" w:eastAsia="Calibri" w:hAnsi="Arial" w:cs="Arial"/>
          <w:lang w:val="es-CO"/>
        </w:rPr>
        <w:t>, tal como lo dispone el artículo 118 del CGP</w:t>
      </w:r>
      <w:r w:rsidRPr="00DB189E">
        <w:rPr>
          <w:rFonts w:ascii="Arial" w:eastAsia="Calibri" w:hAnsi="Arial" w:cs="Arial"/>
          <w:lang w:val="es-CO"/>
        </w:rPr>
        <w:t xml:space="preserve">, en este sentido se radicó el medio exceptivo el 20 de junio de 2025, así: </w:t>
      </w:r>
    </w:p>
    <w:p w14:paraId="77A35CDF" w14:textId="38871B3F" w:rsidR="00AC65B5" w:rsidRPr="00DB189E" w:rsidRDefault="005102AC" w:rsidP="00DB189E">
      <w:pPr>
        <w:tabs>
          <w:tab w:val="left" w:pos="8364"/>
        </w:tabs>
        <w:spacing w:line="360" w:lineRule="auto"/>
        <w:ind w:right="-7"/>
        <w:jc w:val="center"/>
        <w:outlineLvl w:val="0"/>
        <w:rPr>
          <w:rFonts w:ascii="Arial" w:eastAsia="Calibri" w:hAnsi="Arial" w:cs="Arial"/>
          <w:lang w:val="es-CO"/>
        </w:rPr>
      </w:pPr>
      <w:r w:rsidRPr="00DB189E">
        <w:rPr>
          <w:rFonts w:ascii="Arial" w:eastAsia="Calibri" w:hAnsi="Arial" w:cs="Arial"/>
          <w:noProof/>
          <w:lang w:val="es-CO"/>
        </w:rPr>
        <w:drawing>
          <wp:inline distT="0" distB="0" distL="0" distR="0" wp14:anchorId="4F308103" wp14:editId="2316E7F7">
            <wp:extent cx="3360821" cy="3625751"/>
            <wp:effectExtent l="152400" t="152400" r="354330" b="3562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3739" cy="3628899"/>
                    </a:xfrm>
                    <a:prstGeom prst="rect">
                      <a:avLst/>
                    </a:prstGeom>
                    <a:ln>
                      <a:noFill/>
                    </a:ln>
                    <a:effectLst>
                      <a:outerShdw blurRad="292100" dist="139700" dir="2700000" algn="tl" rotWithShape="0">
                        <a:srgbClr val="333333">
                          <a:alpha val="65000"/>
                        </a:srgbClr>
                      </a:outerShdw>
                    </a:effectLst>
                  </pic:spPr>
                </pic:pic>
              </a:graphicData>
            </a:graphic>
          </wp:inline>
        </w:drawing>
      </w:r>
      <w:r w:rsidR="00AC65B5" w:rsidRPr="00DB189E">
        <w:rPr>
          <w:rFonts w:ascii="Arial" w:hAnsi="Arial" w:cs="Arial"/>
          <w:noProof/>
        </w:rPr>
        <w:t xml:space="preserve"> </w:t>
      </w:r>
      <w:r w:rsidR="00AC65B5" w:rsidRPr="00DB189E">
        <w:rPr>
          <w:rFonts w:ascii="Arial" w:eastAsia="Calibri" w:hAnsi="Arial" w:cs="Arial"/>
          <w:noProof/>
          <w:lang w:val="es-CO"/>
        </w:rPr>
        <w:lastRenderedPageBreak/>
        <w:drawing>
          <wp:inline distT="0" distB="0" distL="0" distR="0" wp14:anchorId="2D56A8F9" wp14:editId="164011C5">
            <wp:extent cx="3676650" cy="2253916"/>
            <wp:effectExtent l="152400" t="152400" r="361950" b="3562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7364"/>
                    <a:stretch/>
                  </pic:blipFill>
                  <pic:spPr bwMode="auto">
                    <a:xfrm>
                      <a:off x="0" y="0"/>
                      <a:ext cx="3677163" cy="22542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17FCF49" w14:textId="005C6A57" w:rsidR="00710BD7" w:rsidRPr="00DB189E" w:rsidRDefault="005102AC" w:rsidP="00DB189E">
      <w:pPr>
        <w:tabs>
          <w:tab w:val="left" w:pos="8364"/>
        </w:tabs>
        <w:spacing w:line="360" w:lineRule="auto"/>
        <w:ind w:right="-7"/>
        <w:jc w:val="both"/>
        <w:outlineLvl w:val="0"/>
        <w:rPr>
          <w:rFonts w:ascii="Arial" w:eastAsia="Arial" w:hAnsi="Arial" w:cs="Arial"/>
        </w:rPr>
      </w:pPr>
      <w:r w:rsidRPr="00DB189E">
        <w:rPr>
          <w:rFonts w:ascii="Arial" w:eastAsia="Calibri" w:hAnsi="Arial" w:cs="Arial"/>
          <w:lang w:val="es-CO"/>
        </w:rPr>
        <w:t>Por lo expuesto,</w:t>
      </w:r>
      <w:r w:rsidR="00AC65B5" w:rsidRPr="00DB189E">
        <w:rPr>
          <w:rFonts w:ascii="Arial" w:eastAsia="Calibri" w:hAnsi="Arial" w:cs="Arial"/>
          <w:lang w:val="es-CO"/>
        </w:rPr>
        <w:t xml:space="preserve"> es bastante claro que fue alegada en oportunidad debida la excepción relacionada con el numeral 2 del art. 4</w:t>
      </w:r>
      <w:r w:rsidR="007E7D83" w:rsidRPr="00DB189E">
        <w:rPr>
          <w:rFonts w:ascii="Arial" w:eastAsia="Calibri" w:hAnsi="Arial" w:cs="Arial"/>
          <w:lang w:val="es-CO"/>
        </w:rPr>
        <w:t>4</w:t>
      </w:r>
      <w:r w:rsidR="00AC65B5" w:rsidRPr="00DB189E">
        <w:rPr>
          <w:rFonts w:ascii="Arial" w:eastAsia="Calibri" w:hAnsi="Arial" w:cs="Arial"/>
          <w:lang w:val="es-CO"/>
        </w:rPr>
        <w:t>2 del CGP de nulidad por indebida notificación, por lo tanto,</w:t>
      </w:r>
      <w:r w:rsidRPr="00DB189E">
        <w:rPr>
          <w:rFonts w:ascii="Arial" w:eastAsia="Calibri" w:hAnsi="Arial" w:cs="Arial"/>
          <w:lang w:val="es-CO"/>
        </w:rPr>
        <w:t xml:space="preserve"> teniendo en cuenta </w:t>
      </w:r>
      <w:r w:rsidR="00AC65B5" w:rsidRPr="00DB189E">
        <w:rPr>
          <w:rFonts w:ascii="Arial" w:eastAsia="Calibri" w:hAnsi="Arial" w:cs="Arial"/>
          <w:lang w:val="es-CO"/>
        </w:rPr>
        <w:t xml:space="preserve">que el despacho debe obedecer y cumplir lo ordenado por el superior al resolver el recurso extraordinario de revisión el cual declaró infundado el mismo por existir este medio exceptivo, así mismo debe  el despacho </w:t>
      </w:r>
      <w:r w:rsidRPr="00DB189E">
        <w:rPr>
          <w:rFonts w:ascii="Arial" w:eastAsia="Arial" w:hAnsi="Arial" w:cs="Arial"/>
        </w:rPr>
        <w:t>proceder a resolver la</w:t>
      </w:r>
      <w:r w:rsidR="00AC65B5" w:rsidRPr="00DB189E">
        <w:rPr>
          <w:rFonts w:ascii="Arial" w:eastAsia="Arial" w:hAnsi="Arial" w:cs="Arial"/>
        </w:rPr>
        <w:t xml:space="preserve"> excepción propuesta, como quiera que a la fecha no ha sido resuelta la misma. Se reitera la excepción fue denominada </w:t>
      </w:r>
      <w:r w:rsidR="00AC65B5" w:rsidRPr="00DB189E">
        <w:rPr>
          <w:rFonts w:ascii="Arial" w:eastAsia="Arial" w:hAnsi="Arial" w:cs="Arial"/>
          <w:i/>
          <w:iCs/>
        </w:rPr>
        <w:t xml:space="preserve">NULIDAD POR INDEBIDA NOTIFICACIÓN DEL AUTO ADMISORIO EN EL PROCESO DECLARATIVO – INEJECUTABILIDAD DEL TÍTULO “SENTENCIA” AL ESTAR VICIDADA DE NULIDAD. </w:t>
      </w:r>
      <w:r w:rsidR="00AC65B5" w:rsidRPr="00DB189E">
        <w:rPr>
          <w:rFonts w:ascii="Arial" w:eastAsia="Arial" w:hAnsi="Arial" w:cs="Arial"/>
        </w:rPr>
        <w:t>De contera el despacho deberá adicionar o aclarar el auto emitido pues debió indicar se resolverían la excepción y no lo hizo</w:t>
      </w:r>
      <w:r w:rsidRPr="00DB189E">
        <w:rPr>
          <w:rFonts w:ascii="Arial" w:eastAsia="Arial" w:hAnsi="Arial" w:cs="Arial"/>
        </w:rPr>
        <w:t>, luego entonces se precisa</w:t>
      </w:r>
      <w:r w:rsidR="00FD413A" w:rsidRPr="00DB189E">
        <w:rPr>
          <w:rFonts w:ascii="Arial" w:eastAsia="Arial" w:hAnsi="Arial" w:cs="Arial"/>
        </w:rPr>
        <w:t xml:space="preserve"> que debe aclarar o adicionar esta providencia</w:t>
      </w:r>
      <w:r w:rsidRPr="00DB189E">
        <w:rPr>
          <w:rFonts w:ascii="Arial" w:eastAsia="Arial" w:hAnsi="Arial" w:cs="Arial"/>
        </w:rPr>
        <w:t xml:space="preserve"> </w:t>
      </w:r>
      <w:r w:rsidR="00FD413A" w:rsidRPr="00DB189E">
        <w:rPr>
          <w:rFonts w:ascii="Arial" w:eastAsia="Arial" w:hAnsi="Arial" w:cs="Arial"/>
        </w:rPr>
        <w:t xml:space="preserve">a fin de que se precise que obedecerá y cumplirá la decisión incluyendo el resolver las excepciones y no a liquidar costas como ahí se dijo, puesto que no puede obedecer y liquidar costas como si se tratara de despachar desfavorablemente las defensas y seguir con la orden de pago. </w:t>
      </w:r>
      <w:r w:rsidR="00710BD7" w:rsidRPr="00DB189E">
        <w:rPr>
          <w:rFonts w:ascii="Arial" w:eastAsia="Calibri" w:hAnsi="Arial" w:cs="Arial"/>
        </w:rPr>
        <w:t>Por ello, se solicita la correspondiente aclaración</w:t>
      </w:r>
      <w:r w:rsidR="00AC65B5" w:rsidRPr="00DB189E">
        <w:rPr>
          <w:rFonts w:ascii="Arial" w:eastAsia="Calibri" w:hAnsi="Arial" w:cs="Arial"/>
        </w:rPr>
        <w:t xml:space="preserve"> y/o adición</w:t>
      </w:r>
      <w:r w:rsidR="00710BD7" w:rsidRPr="00DB189E">
        <w:rPr>
          <w:rFonts w:ascii="Arial" w:eastAsia="Calibri" w:hAnsi="Arial" w:cs="Arial"/>
        </w:rPr>
        <w:t xml:space="preserve"> de la providencia</w:t>
      </w:r>
      <w:r w:rsidR="00AC65B5" w:rsidRPr="00DB189E">
        <w:rPr>
          <w:rFonts w:ascii="Arial" w:eastAsia="Calibri" w:hAnsi="Arial" w:cs="Arial"/>
        </w:rPr>
        <w:t xml:space="preserve">, </w:t>
      </w:r>
      <w:r w:rsidR="00710BD7" w:rsidRPr="00DB189E">
        <w:rPr>
          <w:rFonts w:ascii="Arial" w:eastAsia="Calibri" w:hAnsi="Arial" w:cs="Arial"/>
        </w:rPr>
        <w:t xml:space="preserve">en aras de garantizar el respeto al debido proceso y evitar una decisión </w:t>
      </w:r>
      <w:r w:rsidR="00AC65B5" w:rsidRPr="00DB189E">
        <w:rPr>
          <w:rFonts w:ascii="Arial" w:eastAsia="Calibri" w:hAnsi="Arial" w:cs="Arial"/>
        </w:rPr>
        <w:t>errada</w:t>
      </w:r>
      <w:r w:rsidR="00710BD7" w:rsidRPr="00DB189E">
        <w:rPr>
          <w:rFonts w:ascii="Arial" w:eastAsia="Calibri" w:hAnsi="Arial" w:cs="Arial"/>
        </w:rPr>
        <w:t xml:space="preserve"> en el caso de marras. </w:t>
      </w:r>
    </w:p>
    <w:p w14:paraId="0F3FF38C" w14:textId="77777777" w:rsidR="00710BD7" w:rsidRPr="00DB189E" w:rsidRDefault="00710BD7" w:rsidP="00DB189E">
      <w:pPr>
        <w:spacing w:line="360" w:lineRule="auto"/>
        <w:jc w:val="both"/>
        <w:outlineLvl w:val="0"/>
        <w:rPr>
          <w:rFonts w:ascii="Arial" w:eastAsia="Calibri" w:hAnsi="Arial" w:cs="Arial"/>
          <w:b/>
          <w:bCs/>
        </w:rPr>
      </w:pPr>
    </w:p>
    <w:p w14:paraId="236EF50A" w14:textId="14460DE1" w:rsidR="00710BD7" w:rsidRPr="00DB189E" w:rsidRDefault="00710BD7" w:rsidP="00DB189E">
      <w:pPr>
        <w:pStyle w:val="Prrafodelista"/>
        <w:numPr>
          <w:ilvl w:val="0"/>
          <w:numId w:val="19"/>
        </w:numPr>
        <w:spacing w:after="0" w:line="360" w:lineRule="auto"/>
        <w:jc w:val="center"/>
        <w:outlineLvl w:val="0"/>
        <w:rPr>
          <w:rFonts w:ascii="Arial" w:eastAsia="Calibri" w:hAnsi="Arial" w:cs="Arial"/>
          <w:b/>
          <w:bCs/>
        </w:rPr>
      </w:pPr>
      <w:r w:rsidRPr="00DB189E">
        <w:rPr>
          <w:rFonts w:ascii="Arial" w:eastAsia="Calibri" w:hAnsi="Arial" w:cs="Arial"/>
          <w:b/>
          <w:bCs/>
        </w:rPr>
        <w:t>PETICIÓN</w:t>
      </w:r>
    </w:p>
    <w:p w14:paraId="72BB366E" w14:textId="77777777" w:rsidR="00710BD7" w:rsidRPr="00DB189E" w:rsidRDefault="00710BD7" w:rsidP="00DB189E">
      <w:pPr>
        <w:widowControl/>
        <w:adjustRightInd w:val="0"/>
        <w:spacing w:line="360" w:lineRule="auto"/>
        <w:jc w:val="both"/>
        <w:rPr>
          <w:rFonts w:ascii="Arial" w:eastAsiaTheme="minorHAnsi" w:hAnsi="Arial" w:cs="Arial"/>
          <w:lang w:val="es-MX"/>
        </w:rPr>
      </w:pPr>
    </w:p>
    <w:p w14:paraId="5A4F43E9" w14:textId="77777777" w:rsidR="00BA2BC3" w:rsidRDefault="00710BD7" w:rsidP="00DB189E">
      <w:pPr>
        <w:widowControl/>
        <w:adjustRightInd w:val="0"/>
        <w:spacing w:line="360" w:lineRule="auto"/>
        <w:jc w:val="both"/>
        <w:rPr>
          <w:rFonts w:ascii="Arial" w:eastAsiaTheme="minorHAnsi" w:hAnsi="Arial" w:cs="Arial"/>
          <w:lang w:val="es-MX"/>
        </w:rPr>
      </w:pPr>
      <w:r w:rsidRPr="00DB189E">
        <w:rPr>
          <w:rFonts w:ascii="Arial" w:eastAsiaTheme="minorHAnsi" w:hAnsi="Arial" w:cs="Arial"/>
          <w:lang w:val="es-MX"/>
        </w:rPr>
        <w:t xml:space="preserve">En virtud de lo expuesto, respetuosamente solicito se sirva el Despacho </w:t>
      </w:r>
    </w:p>
    <w:p w14:paraId="0FEB5FD5" w14:textId="77777777" w:rsidR="00BA2BC3" w:rsidRDefault="00BA2BC3" w:rsidP="00DB189E">
      <w:pPr>
        <w:widowControl/>
        <w:adjustRightInd w:val="0"/>
        <w:spacing w:line="360" w:lineRule="auto"/>
        <w:jc w:val="both"/>
        <w:rPr>
          <w:rFonts w:ascii="Arial" w:eastAsiaTheme="minorHAnsi" w:hAnsi="Arial" w:cs="Arial"/>
          <w:lang w:val="es-MX"/>
        </w:rPr>
      </w:pPr>
    </w:p>
    <w:p w14:paraId="6685C383" w14:textId="37068364" w:rsidR="00BA2BC3" w:rsidRDefault="00BA2BC3" w:rsidP="00DB189E">
      <w:pPr>
        <w:widowControl/>
        <w:adjustRightInd w:val="0"/>
        <w:spacing w:line="360" w:lineRule="auto"/>
        <w:jc w:val="both"/>
        <w:rPr>
          <w:rFonts w:ascii="Arial" w:eastAsia="Arial" w:hAnsi="Arial" w:cs="Arial"/>
        </w:rPr>
      </w:pPr>
      <w:r w:rsidRPr="00BA2BC3">
        <w:rPr>
          <w:rFonts w:ascii="Arial" w:eastAsiaTheme="minorHAnsi" w:hAnsi="Arial" w:cs="Arial"/>
          <w:b/>
          <w:bCs/>
          <w:lang w:val="es-MX"/>
        </w:rPr>
        <w:t>PRIMERO:</w:t>
      </w:r>
      <w:r>
        <w:rPr>
          <w:rFonts w:ascii="Arial" w:eastAsiaTheme="minorHAnsi" w:hAnsi="Arial" w:cs="Arial"/>
          <w:lang w:val="es-MX"/>
        </w:rPr>
        <w:t xml:space="preserve"> </w:t>
      </w:r>
      <w:r w:rsidR="00710BD7" w:rsidRPr="00DB189E">
        <w:rPr>
          <w:rFonts w:ascii="Arial" w:eastAsiaTheme="minorHAnsi" w:hAnsi="Arial" w:cs="Arial"/>
          <w:b/>
          <w:bCs/>
        </w:rPr>
        <w:t>ACLARA</w:t>
      </w:r>
      <w:r w:rsidR="00AC65B5" w:rsidRPr="00DB189E">
        <w:rPr>
          <w:rFonts w:ascii="Arial" w:eastAsiaTheme="minorHAnsi" w:hAnsi="Arial" w:cs="Arial"/>
          <w:b/>
          <w:bCs/>
        </w:rPr>
        <w:t>R Y/O ADICIONAR</w:t>
      </w:r>
      <w:r w:rsidR="00710BD7" w:rsidRPr="00DB189E">
        <w:rPr>
          <w:rFonts w:ascii="Arial" w:eastAsiaTheme="minorHAnsi" w:hAnsi="Arial" w:cs="Arial"/>
        </w:rPr>
        <w:t xml:space="preserve"> la providencia del </w:t>
      </w:r>
      <w:r w:rsidR="00AC65B5" w:rsidRPr="00DB189E">
        <w:rPr>
          <w:rFonts w:ascii="Arial" w:eastAsiaTheme="minorHAnsi" w:hAnsi="Arial" w:cs="Arial"/>
        </w:rPr>
        <w:t>6 de agosto de 2025</w:t>
      </w:r>
      <w:r w:rsidR="00710BD7" w:rsidRPr="00DB189E">
        <w:rPr>
          <w:rFonts w:ascii="Arial" w:eastAsiaTheme="minorHAnsi" w:hAnsi="Arial" w:cs="Arial"/>
        </w:rPr>
        <w:t xml:space="preserve">, a fin de que </w:t>
      </w:r>
      <w:r w:rsidR="00FD413A" w:rsidRPr="00DB189E">
        <w:rPr>
          <w:rFonts w:ascii="Arial" w:eastAsia="Arial" w:hAnsi="Arial" w:cs="Arial"/>
        </w:rPr>
        <w:t xml:space="preserve">indique </w:t>
      </w:r>
      <w:r>
        <w:rPr>
          <w:rFonts w:ascii="Arial" w:eastAsia="Arial" w:hAnsi="Arial" w:cs="Arial"/>
        </w:rPr>
        <w:t xml:space="preserve">las razones por las cuales se profirió auto de obedecimiento pero en realidad no se procedió a resolver las excepciones, entre ellas la de nulidad formulada en el trámite ejecutivo, cuando el Tribunal Superior decidió que aquella es el trámite procesal propio a seguir. </w:t>
      </w:r>
    </w:p>
    <w:p w14:paraId="08621285" w14:textId="77777777" w:rsidR="00BA2BC3" w:rsidRDefault="00BA2BC3" w:rsidP="00DB189E">
      <w:pPr>
        <w:widowControl/>
        <w:adjustRightInd w:val="0"/>
        <w:spacing w:line="360" w:lineRule="auto"/>
        <w:jc w:val="both"/>
        <w:rPr>
          <w:rFonts w:ascii="Arial" w:eastAsia="Arial" w:hAnsi="Arial" w:cs="Arial"/>
        </w:rPr>
      </w:pPr>
    </w:p>
    <w:p w14:paraId="67B3F58B" w14:textId="4CAA46FE" w:rsidR="00710BD7" w:rsidRPr="00DB189E" w:rsidRDefault="00BA2BC3" w:rsidP="00DB189E">
      <w:pPr>
        <w:widowControl/>
        <w:adjustRightInd w:val="0"/>
        <w:spacing w:line="360" w:lineRule="auto"/>
        <w:jc w:val="both"/>
        <w:rPr>
          <w:rFonts w:ascii="Arial" w:eastAsiaTheme="minorHAnsi" w:hAnsi="Arial" w:cs="Arial"/>
        </w:rPr>
      </w:pPr>
      <w:r w:rsidRPr="00BA2BC3">
        <w:rPr>
          <w:rFonts w:ascii="Arial" w:eastAsia="Arial" w:hAnsi="Arial" w:cs="Arial"/>
          <w:b/>
          <w:bCs/>
        </w:rPr>
        <w:t>SEGUNDO:</w:t>
      </w:r>
      <w:r>
        <w:rPr>
          <w:rFonts w:ascii="Arial" w:eastAsia="Arial" w:hAnsi="Arial" w:cs="Arial"/>
        </w:rPr>
        <w:t xml:space="preserve"> </w:t>
      </w:r>
      <w:r w:rsidRPr="00DB189E">
        <w:rPr>
          <w:rFonts w:ascii="Arial" w:eastAsiaTheme="minorHAnsi" w:hAnsi="Arial" w:cs="Arial"/>
          <w:b/>
          <w:bCs/>
        </w:rPr>
        <w:t>ACLARAR Y/O ADICIONAR</w:t>
      </w:r>
      <w:r w:rsidRPr="00DB189E">
        <w:rPr>
          <w:rFonts w:ascii="Arial" w:eastAsiaTheme="minorHAnsi" w:hAnsi="Arial" w:cs="Arial"/>
        </w:rPr>
        <w:t xml:space="preserve"> </w:t>
      </w:r>
      <w:r>
        <w:rPr>
          <w:rFonts w:ascii="Arial" w:eastAsiaTheme="minorHAnsi" w:hAnsi="Arial" w:cs="Arial"/>
        </w:rPr>
        <w:t xml:space="preserve">el auto de obedecimiento para disponer que </w:t>
      </w:r>
      <w:r w:rsidR="00FD413A" w:rsidRPr="00DB189E">
        <w:rPr>
          <w:rFonts w:ascii="Arial" w:eastAsia="Arial" w:hAnsi="Arial" w:cs="Arial"/>
        </w:rPr>
        <w:t xml:space="preserve">se procederá a resolver la excepción de </w:t>
      </w:r>
      <w:r w:rsidR="00FD413A" w:rsidRPr="00DB189E">
        <w:rPr>
          <w:rFonts w:ascii="Arial" w:eastAsia="Arial" w:hAnsi="Arial" w:cs="Arial"/>
          <w:i/>
          <w:iCs/>
        </w:rPr>
        <w:t>NULIDAD POR INDEBIDA NOTIFICACIÓN DEL AUTO ADMISORIO EN EL PROCESO DECLARATIVO – INEJECUTABILIDAD DEL TÍTULO “SENTENCIA” AL ESTAR VICIDADA DE NULIDAD</w:t>
      </w:r>
      <w:r w:rsidR="00FD413A" w:rsidRPr="00DB189E">
        <w:rPr>
          <w:rFonts w:ascii="Arial" w:eastAsia="Arial" w:hAnsi="Arial" w:cs="Arial"/>
        </w:rPr>
        <w:t xml:space="preserve"> propuesta contra el mandamiento de pago, misma que no ha sido resuelta pese a haber sido presentada oportunamente.</w:t>
      </w:r>
    </w:p>
    <w:p w14:paraId="5FE55D90" w14:textId="77777777" w:rsidR="00911072" w:rsidRPr="00DB189E" w:rsidRDefault="00911072" w:rsidP="00DB189E">
      <w:pPr>
        <w:pStyle w:val="Prrafodelista"/>
        <w:spacing w:line="360" w:lineRule="auto"/>
        <w:ind w:left="993"/>
        <w:jc w:val="both"/>
        <w:rPr>
          <w:rFonts w:ascii="Arial" w:eastAsia="Arial" w:hAnsi="Arial" w:cs="Arial"/>
          <w:b/>
          <w:bCs/>
          <w:u w:val="single"/>
        </w:rPr>
      </w:pPr>
    </w:p>
    <w:p w14:paraId="3A036BAA" w14:textId="5E8423C8" w:rsidR="00DB189E" w:rsidRDefault="00911072" w:rsidP="00DB189E">
      <w:pPr>
        <w:pStyle w:val="Prrafodelista"/>
        <w:numPr>
          <w:ilvl w:val="0"/>
          <w:numId w:val="19"/>
        </w:numPr>
        <w:spacing w:after="0" w:line="360" w:lineRule="auto"/>
        <w:jc w:val="center"/>
        <w:rPr>
          <w:rFonts w:ascii="Arial" w:eastAsia="Arial" w:hAnsi="Arial" w:cs="Arial"/>
          <w:b/>
          <w:bCs/>
          <w:u w:val="single"/>
        </w:rPr>
      </w:pPr>
      <w:r w:rsidRPr="00DB189E">
        <w:rPr>
          <w:rFonts w:ascii="Arial" w:eastAsia="Arial" w:hAnsi="Arial" w:cs="Arial"/>
          <w:b/>
          <w:bCs/>
          <w:u w:val="single"/>
        </w:rPr>
        <w:t>NOTIFICACIONES</w:t>
      </w:r>
    </w:p>
    <w:p w14:paraId="0E5D9E1B" w14:textId="77777777" w:rsidR="00DB189E" w:rsidRPr="00DB189E" w:rsidRDefault="00DB189E" w:rsidP="00DB189E">
      <w:pPr>
        <w:pStyle w:val="Prrafodelista"/>
        <w:spacing w:after="0" w:line="360" w:lineRule="auto"/>
        <w:ind w:left="1800"/>
        <w:rPr>
          <w:rFonts w:ascii="Arial" w:eastAsia="Arial" w:hAnsi="Arial" w:cs="Arial"/>
          <w:b/>
          <w:bCs/>
          <w:u w:val="single"/>
        </w:rPr>
      </w:pPr>
    </w:p>
    <w:p w14:paraId="591E21FA" w14:textId="77777777" w:rsidR="00911072" w:rsidRPr="00DB189E" w:rsidRDefault="00911072" w:rsidP="00DB189E">
      <w:pPr>
        <w:pStyle w:val="Prrafodelista"/>
        <w:spacing w:line="360" w:lineRule="auto"/>
        <w:ind w:left="0"/>
        <w:jc w:val="both"/>
        <w:rPr>
          <w:rFonts w:ascii="Arial" w:hAnsi="Arial" w:cs="Arial"/>
          <w:lang w:val="es-ES_tradnl"/>
        </w:rPr>
      </w:pPr>
      <w:r w:rsidRPr="00DB189E">
        <w:rPr>
          <w:rFonts w:ascii="Arial" w:hAnsi="Arial" w:cs="Arial"/>
          <w:lang w:val="es-ES_tradnl"/>
        </w:rPr>
        <w:lastRenderedPageBreak/>
        <w:t xml:space="preserve">Al suscrito en la </w:t>
      </w:r>
      <w:r w:rsidRPr="00DB189E">
        <w:rPr>
          <w:rFonts w:ascii="Arial" w:hAnsi="Arial" w:cs="Arial"/>
        </w:rPr>
        <w:t xml:space="preserve">Carrera 11A No. 94A - 23 Oficina 201 </w:t>
      </w:r>
      <w:r w:rsidRPr="00DB189E">
        <w:rPr>
          <w:rFonts w:ascii="Arial" w:hAnsi="Arial" w:cs="Arial"/>
          <w:lang w:val="es-ES_tradnl"/>
        </w:rPr>
        <w:t xml:space="preserve">de la ciudad de Bogotá o en la dirección electrónica: </w:t>
      </w:r>
      <w:hyperlink r:id="rId13" w:history="1">
        <w:r w:rsidRPr="00DB189E">
          <w:rPr>
            <w:rStyle w:val="Hipervnculo"/>
            <w:rFonts w:ascii="Arial" w:hAnsi="Arial" w:cs="Arial"/>
            <w:color w:val="auto"/>
            <w:lang w:val="es-ES_tradnl"/>
          </w:rPr>
          <w:t>notificaciones@gha.com.co</w:t>
        </w:r>
      </w:hyperlink>
      <w:r w:rsidRPr="00DB189E">
        <w:rPr>
          <w:rStyle w:val="Hipervnculo"/>
          <w:rFonts w:ascii="Arial" w:hAnsi="Arial" w:cs="Arial"/>
          <w:color w:val="auto"/>
          <w:lang w:val="es-ES_tradnl"/>
        </w:rPr>
        <w:t xml:space="preserve"> </w:t>
      </w:r>
      <w:r w:rsidRPr="00DB189E">
        <w:rPr>
          <w:rFonts w:ascii="Arial" w:hAnsi="Arial" w:cs="Arial"/>
          <w:lang w:val="es-ES_tradnl"/>
        </w:rPr>
        <w:t xml:space="preserve">  </w:t>
      </w:r>
    </w:p>
    <w:p w14:paraId="6C929D56" w14:textId="77777777" w:rsidR="00DB189E" w:rsidRDefault="00DB189E" w:rsidP="00DB189E">
      <w:pPr>
        <w:spacing w:line="360" w:lineRule="auto"/>
        <w:jc w:val="both"/>
        <w:rPr>
          <w:rFonts w:ascii="Arial" w:hAnsi="Arial" w:cs="Arial"/>
        </w:rPr>
      </w:pPr>
    </w:p>
    <w:p w14:paraId="4A0A414D" w14:textId="1D8AD871" w:rsidR="00911072" w:rsidRDefault="00DB189E" w:rsidP="00DB189E">
      <w:pPr>
        <w:spacing w:line="360" w:lineRule="auto"/>
        <w:jc w:val="both"/>
        <w:rPr>
          <w:rFonts w:ascii="Arial" w:hAnsi="Arial" w:cs="Arial"/>
        </w:rPr>
      </w:pPr>
      <w:r w:rsidRPr="00DB189E">
        <w:rPr>
          <w:rFonts w:ascii="Arial" w:hAnsi="Arial" w:cs="Arial"/>
        </w:rPr>
        <w:t>R</w:t>
      </w:r>
      <w:r w:rsidR="00911072" w:rsidRPr="00DB189E">
        <w:rPr>
          <w:rFonts w:ascii="Arial" w:hAnsi="Arial" w:cs="Arial"/>
        </w:rPr>
        <w:t>espetuosamente,</w:t>
      </w:r>
      <w:bookmarkStart w:id="2" w:name="_Hlk159599227"/>
    </w:p>
    <w:p w14:paraId="3EC24C39" w14:textId="729E314D" w:rsidR="00DB189E" w:rsidRDefault="00DB189E" w:rsidP="00DB189E">
      <w:pPr>
        <w:spacing w:line="360" w:lineRule="auto"/>
        <w:jc w:val="both"/>
        <w:rPr>
          <w:rFonts w:ascii="Arial" w:hAnsi="Arial" w:cs="Arial"/>
        </w:rPr>
      </w:pPr>
      <w:r w:rsidRPr="00DB189E">
        <w:rPr>
          <w:rFonts w:ascii="Arial" w:hAnsi="Arial" w:cs="Arial"/>
          <w:noProof/>
        </w:rPr>
        <w:drawing>
          <wp:anchor distT="0" distB="0" distL="114300" distR="114300" simplePos="0" relativeHeight="251659264" behindDoc="1" locked="0" layoutInCell="1" allowOverlap="1" wp14:anchorId="558CAD55" wp14:editId="3B72684C">
            <wp:simplePos x="0" y="0"/>
            <wp:positionH relativeFrom="margin">
              <wp:posOffset>202565</wp:posOffset>
            </wp:positionH>
            <wp:positionV relativeFrom="paragraph">
              <wp:posOffset>119380</wp:posOffset>
            </wp:positionV>
            <wp:extent cx="1755775" cy="1066800"/>
            <wp:effectExtent l="0" t="0" r="0" b="0"/>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57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B94BD9" w14:textId="77777777" w:rsidR="00DB189E" w:rsidRPr="00DB189E" w:rsidRDefault="00DB189E" w:rsidP="00DB189E">
      <w:pPr>
        <w:spacing w:line="360" w:lineRule="auto"/>
        <w:jc w:val="both"/>
        <w:rPr>
          <w:rFonts w:ascii="Arial" w:hAnsi="Arial" w:cs="Arial"/>
        </w:rPr>
      </w:pPr>
    </w:p>
    <w:p w14:paraId="42E6D2B4" w14:textId="163E7664" w:rsidR="00911072" w:rsidRPr="00DB189E" w:rsidRDefault="00911072" w:rsidP="00DB189E">
      <w:pPr>
        <w:spacing w:line="360" w:lineRule="auto"/>
        <w:jc w:val="both"/>
        <w:rPr>
          <w:rFonts w:ascii="Arial" w:eastAsia="Arial" w:hAnsi="Arial" w:cs="Arial"/>
        </w:rPr>
      </w:pPr>
    </w:p>
    <w:p w14:paraId="2C2E1656" w14:textId="77777777" w:rsidR="00911072" w:rsidRPr="00DB189E" w:rsidRDefault="00911072" w:rsidP="00DB189E">
      <w:pPr>
        <w:spacing w:line="360" w:lineRule="auto"/>
        <w:jc w:val="both"/>
        <w:rPr>
          <w:rFonts w:ascii="Arial" w:hAnsi="Arial" w:cs="Arial"/>
          <w:b/>
          <w:bCs/>
        </w:rPr>
      </w:pPr>
      <w:r w:rsidRPr="00DB189E">
        <w:rPr>
          <w:rFonts w:ascii="Arial" w:hAnsi="Arial" w:cs="Arial"/>
          <w:b/>
          <w:bCs/>
        </w:rPr>
        <w:t>GUSTAVO ALBERTO HERRERA ÁVILA</w:t>
      </w:r>
    </w:p>
    <w:p w14:paraId="7F1BBE00" w14:textId="77777777" w:rsidR="00911072" w:rsidRPr="00DB189E" w:rsidRDefault="00911072" w:rsidP="00DB189E">
      <w:pPr>
        <w:spacing w:line="360" w:lineRule="auto"/>
        <w:jc w:val="both"/>
        <w:rPr>
          <w:rFonts w:ascii="Arial" w:hAnsi="Arial" w:cs="Arial"/>
        </w:rPr>
      </w:pPr>
      <w:r w:rsidRPr="00DB189E">
        <w:rPr>
          <w:rFonts w:ascii="Arial" w:hAnsi="Arial" w:cs="Arial"/>
        </w:rPr>
        <w:t xml:space="preserve">C.C. </w:t>
      </w:r>
      <w:proofErr w:type="spellStart"/>
      <w:r w:rsidRPr="00DB189E">
        <w:rPr>
          <w:rFonts w:ascii="Arial" w:hAnsi="Arial" w:cs="Arial"/>
        </w:rPr>
        <w:t>Nº</w:t>
      </w:r>
      <w:proofErr w:type="spellEnd"/>
      <w:r w:rsidRPr="00DB189E">
        <w:rPr>
          <w:rFonts w:ascii="Arial" w:hAnsi="Arial" w:cs="Arial"/>
        </w:rPr>
        <w:t xml:space="preserve"> 19.395.114 de Bogotá</w:t>
      </w:r>
    </w:p>
    <w:p w14:paraId="36393B9B" w14:textId="26666D13" w:rsidR="00F871E3" w:rsidRPr="00DB189E" w:rsidRDefault="00911072" w:rsidP="00DB189E">
      <w:pPr>
        <w:spacing w:line="360" w:lineRule="auto"/>
        <w:jc w:val="both"/>
        <w:rPr>
          <w:rFonts w:ascii="Arial" w:hAnsi="Arial" w:cs="Arial"/>
        </w:rPr>
      </w:pPr>
      <w:r w:rsidRPr="00DB189E">
        <w:rPr>
          <w:rFonts w:ascii="Arial" w:hAnsi="Arial" w:cs="Arial"/>
        </w:rPr>
        <w:t xml:space="preserve">T.P. </w:t>
      </w:r>
      <w:proofErr w:type="spellStart"/>
      <w:r w:rsidRPr="00DB189E">
        <w:rPr>
          <w:rFonts w:ascii="Arial" w:hAnsi="Arial" w:cs="Arial"/>
        </w:rPr>
        <w:t>N°</w:t>
      </w:r>
      <w:proofErr w:type="spellEnd"/>
      <w:r w:rsidRPr="00DB189E">
        <w:rPr>
          <w:rFonts w:ascii="Arial" w:hAnsi="Arial" w:cs="Arial"/>
        </w:rPr>
        <w:t xml:space="preserve"> 39.116 del C. S. de la J.</w:t>
      </w:r>
      <w:bookmarkEnd w:id="2"/>
    </w:p>
    <w:sectPr w:rsidR="00F871E3" w:rsidRPr="00DB189E" w:rsidSect="00DB189E">
      <w:headerReference w:type="default" r:id="rId15"/>
      <w:footerReference w:type="default" r:id="rId16"/>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F69B" w14:textId="77777777" w:rsidR="006737EA" w:rsidRDefault="006737EA" w:rsidP="0025591F">
      <w:r>
        <w:separator/>
      </w:r>
    </w:p>
  </w:endnote>
  <w:endnote w:type="continuationSeparator" w:id="0">
    <w:p w14:paraId="71320860" w14:textId="77777777" w:rsidR="006737EA" w:rsidRDefault="006737E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AFF" w:usb1="C0007843"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235A"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28527DCC" wp14:editId="7FB0BC4B">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DE1F4"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8527DCC"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587DE1F4"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3A348A80" wp14:editId="0CB210B8">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26380982" wp14:editId="4ED18F93">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9A98C"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6380982"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1AE9A98C"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6399" w14:textId="77777777" w:rsidR="006737EA" w:rsidRDefault="006737EA" w:rsidP="0025591F">
      <w:r>
        <w:separator/>
      </w:r>
    </w:p>
  </w:footnote>
  <w:footnote w:type="continuationSeparator" w:id="0">
    <w:p w14:paraId="5A078672" w14:textId="77777777" w:rsidR="006737EA" w:rsidRDefault="006737E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A966" w14:textId="77777777" w:rsidR="00FA4FFB" w:rsidRDefault="00957ECF">
    <w:pPr>
      <w:pStyle w:val="Encabezado"/>
    </w:pPr>
    <w:r>
      <w:rPr>
        <w:noProof/>
      </w:rPr>
      <w:drawing>
        <wp:anchor distT="0" distB="0" distL="114300" distR="114300" simplePos="0" relativeHeight="251666432" behindDoc="0" locked="0" layoutInCell="1" allowOverlap="1" wp14:anchorId="6FEE492E" wp14:editId="237A5D1A">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6EB"/>
    <w:multiLevelType w:val="hybridMultilevel"/>
    <w:tmpl w:val="1368F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001AB2"/>
    <w:multiLevelType w:val="hybridMultilevel"/>
    <w:tmpl w:val="E4D2FB0C"/>
    <w:lvl w:ilvl="0" w:tplc="2A348A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F2249"/>
    <w:multiLevelType w:val="hybridMultilevel"/>
    <w:tmpl w:val="E32C92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50F2564"/>
    <w:multiLevelType w:val="hybridMultilevel"/>
    <w:tmpl w:val="6F0A3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FE110B"/>
    <w:multiLevelType w:val="hybridMultilevel"/>
    <w:tmpl w:val="B5E0D082"/>
    <w:lvl w:ilvl="0" w:tplc="89063BFA">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15:restartNumberingAfterBreak="0">
    <w:nsid w:val="204A7B04"/>
    <w:multiLevelType w:val="multilevel"/>
    <w:tmpl w:val="5972E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3C0D0C"/>
    <w:multiLevelType w:val="hybridMultilevel"/>
    <w:tmpl w:val="D1E85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773323"/>
    <w:multiLevelType w:val="hybridMultilevel"/>
    <w:tmpl w:val="8BB41C0E"/>
    <w:lvl w:ilvl="0" w:tplc="20000E64">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E783714"/>
    <w:multiLevelType w:val="hybridMultilevel"/>
    <w:tmpl w:val="64F81356"/>
    <w:lvl w:ilvl="0" w:tplc="89063BFA">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45953384"/>
    <w:multiLevelType w:val="hybridMultilevel"/>
    <w:tmpl w:val="BF829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ED40AB"/>
    <w:multiLevelType w:val="hybridMultilevel"/>
    <w:tmpl w:val="266A03B4"/>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48930423"/>
    <w:multiLevelType w:val="hybridMultilevel"/>
    <w:tmpl w:val="9F26E51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15:restartNumberingAfterBreak="0">
    <w:nsid w:val="54B85FD9"/>
    <w:multiLevelType w:val="hybridMultilevel"/>
    <w:tmpl w:val="C4F478C4"/>
    <w:lvl w:ilvl="0" w:tplc="240A000B">
      <w:start w:val="1"/>
      <w:numFmt w:val="bullet"/>
      <w:lvlText w:val=""/>
      <w:lvlJc w:val="left"/>
      <w:pPr>
        <w:ind w:left="2520" w:hanging="360"/>
      </w:pPr>
      <w:rPr>
        <w:rFonts w:ascii="Wingdings" w:hAnsi="Wingdings"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14" w15:restartNumberingAfterBreak="0">
    <w:nsid w:val="5C270899"/>
    <w:multiLevelType w:val="hybridMultilevel"/>
    <w:tmpl w:val="7F102FA8"/>
    <w:lvl w:ilvl="0" w:tplc="B832D252">
      <w:start w:val="1"/>
      <w:numFmt w:val="lowerLetter"/>
      <w:lvlText w:val="%1)"/>
      <w:lvlJc w:val="left"/>
      <w:pPr>
        <w:ind w:left="644"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246C4A"/>
    <w:multiLevelType w:val="hybridMultilevel"/>
    <w:tmpl w:val="9FEEE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282FE2"/>
    <w:multiLevelType w:val="hybridMultilevel"/>
    <w:tmpl w:val="D850009A"/>
    <w:lvl w:ilvl="0" w:tplc="61BA89FA">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65F547BD"/>
    <w:multiLevelType w:val="hybridMultilevel"/>
    <w:tmpl w:val="66CE46F4"/>
    <w:lvl w:ilvl="0" w:tplc="808266A6">
      <w:start w:val="1"/>
      <w:numFmt w:val="decimal"/>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8" w15:restartNumberingAfterBreak="0">
    <w:nsid w:val="71824862"/>
    <w:multiLevelType w:val="hybridMultilevel"/>
    <w:tmpl w:val="3C18DC60"/>
    <w:lvl w:ilvl="0" w:tplc="2AB4AF1C">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9" w15:restartNumberingAfterBreak="0">
    <w:nsid w:val="7E2E0426"/>
    <w:multiLevelType w:val="multilevel"/>
    <w:tmpl w:val="227427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9"/>
  </w:num>
  <w:num w:numId="3">
    <w:abstractNumId w:val="4"/>
  </w:num>
  <w:num w:numId="4">
    <w:abstractNumId w:val="3"/>
  </w:num>
  <w:num w:numId="5">
    <w:abstractNumId w:val="5"/>
  </w:num>
  <w:num w:numId="6">
    <w:abstractNumId w:val="7"/>
  </w:num>
  <w:num w:numId="7">
    <w:abstractNumId w:val="8"/>
  </w:num>
  <w:num w:numId="8">
    <w:abstractNumId w:val="9"/>
  </w:num>
  <w:num w:numId="9">
    <w:abstractNumId w:val="6"/>
  </w:num>
  <w:num w:numId="10">
    <w:abstractNumId w:val="13"/>
  </w:num>
  <w:num w:numId="11">
    <w:abstractNumId w:val="11"/>
  </w:num>
  <w:num w:numId="12">
    <w:abstractNumId w:val="12"/>
  </w:num>
  <w:num w:numId="13">
    <w:abstractNumId w:val="10"/>
  </w:num>
  <w:num w:numId="14">
    <w:abstractNumId w:val="18"/>
  </w:num>
  <w:num w:numId="15">
    <w:abstractNumId w:val="0"/>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95E56"/>
    <w:rsid w:val="000B00A8"/>
    <w:rsid w:val="000B0AC2"/>
    <w:rsid w:val="000C2815"/>
    <w:rsid w:val="00131B8E"/>
    <w:rsid w:val="001925A0"/>
    <w:rsid w:val="00194DAC"/>
    <w:rsid w:val="001977BB"/>
    <w:rsid w:val="001B7AD7"/>
    <w:rsid w:val="001D6015"/>
    <w:rsid w:val="001F7FE8"/>
    <w:rsid w:val="00234F3F"/>
    <w:rsid w:val="00254E27"/>
    <w:rsid w:val="0025591F"/>
    <w:rsid w:val="00267DDC"/>
    <w:rsid w:val="00281D90"/>
    <w:rsid w:val="00294CC7"/>
    <w:rsid w:val="002B5E76"/>
    <w:rsid w:val="002C38D2"/>
    <w:rsid w:val="003141B0"/>
    <w:rsid w:val="0032784B"/>
    <w:rsid w:val="0037043E"/>
    <w:rsid w:val="00374FB5"/>
    <w:rsid w:val="00375AFE"/>
    <w:rsid w:val="00395D72"/>
    <w:rsid w:val="003A306A"/>
    <w:rsid w:val="003C5BCE"/>
    <w:rsid w:val="003D2930"/>
    <w:rsid w:val="003F26B0"/>
    <w:rsid w:val="00416F84"/>
    <w:rsid w:val="0042497F"/>
    <w:rsid w:val="00424DB6"/>
    <w:rsid w:val="00457E6B"/>
    <w:rsid w:val="00470810"/>
    <w:rsid w:val="0048616E"/>
    <w:rsid w:val="004A356B"/>
    <w:rsid w:val="004C01CE"/>
    <w:rsid w:val="004E0FE8"/>
    <w:rsid w:val="00505F3C"/>
    <w:rsid w:val="005102AC"/>
    <w:rsid w:val="00543F6F"/>
    <w:rsid w:val="00594D47"/>
    <w:rsid w:val="005A0A03"/>
    <w:rsid w:val="005A27BB"/>
    <w:rsid w:val="005A3F2C"/>
    <w:rsid w:val="005C5EE0"/>
    <w:rsid w:val="005D7117"/>
    <w:rsid w:val="00624BC9"/>
    <w:rsid w:val="00637020"/>
    <w:rsid w:val="006459E7"/>
    <w:rsid w:val="00650E60"/>
    <w:rsid w:val="00654782"/>
    <w:rsid w:val="00671893"/>
    <w:rsid w:val="00672FA0"/>
    <w:rsid w:val="006737EA"/>
    <w:rsid w:val="00692283"/>
    <w:rsid w:val="006A0FDA"/>
    <w:rsid w:val="006A3F4A"/>
    <w:rsid w:val="006A68EE"/>
    <w:rsid w:val="006B3568"/>
    <w:rsid w:val="006C3935"/>
    <w:rsid w:val="006E7F45"/>
    <w:rsid w:val="006F3F7B"/>
    <w:rsid w:val="00706390"/>
    <w:rsid w:val="00710BD7"/>
    <w:rsid w:val="00713673"/>
    <w:rsid w:val="0074356F"/>
    <w:rsid w:val="00762B3A"/>
    <w:rsid w:val="00783103"/>
    <w:rsid w:val="00793C8E"/>
    <w:rsid w:val="007C1A65"/>
    <w:rsid w:val="007E7D83"/>
    <w:rsid w:val="007F632D"/>
    <w:rsid w:val="007F6A39"/>
    <w:rsid w:val="008830A7"/>
    <w:rsid w:val="008A3EE5"/>
    <w:rsid w:val="008D5B3A"/>
    <w:rsid w:val="008E4E08"/>
    <w:rsid w:val="008F01B3"/>
    <w:rsid w:val="008F1E2F"/>
    <w:rsid w:val="00911072"/>
    <w:rsid w:val="00934146"/>
    <w:rsid w:val="00957ECF"/>
    <w:rsid w:val="009928FD"/>
    <w:rsid w:val="00997C0E"/>
    <w:rsid w:val="009F14A7"/>
    <w:rsid w:val="009F72D0"/>
    <w:rsid w:val="00A45CAB"/>
    <w:rsid w:val="00A7220B"/>
    <w:rsid w:val="00A81461"/>
    <w:rsid w:val="00A877E6"/>
    <w:rsid w:val="00AA15B1"/>
    <w:rsid w:val="00AA7270"/>
    <w:rsid w:val="00AB3A2C"/>
    <w:rsid w:val="00AC65B5"/>
    <w:rsid w:val="00AD03AA"/>
    <w:rsid w:val="00AE19CE"/>
    <w:rsid w:val="00B20189"/>
    <w:rsid w:val="00B43142"/>
    <w:rsid w:val="00B54DCC"/>
    <w:rsid w:val="00B56807"/>
    <w:rsid w:val="00B90EDF"/>
    <w:rsid w:val="00B9473D"/>
    <w:rsid w:val="00BA2BC3"/>
    <w:rsid w:val="00BA33E1"/>
    <w:rsid w:val="00BB7105"/>
    <w:rsid w:val="00BD192A"/>
    <w:rsid w:val="00BE6214"/>
    <w:rsid w:val="00BF1A90"/>
    <w:rsid w:val="00C254FB"/>
    <w:rsid w:val="00C53500"/>
    <w:rsid w:val="00C70FF5"/>
    <w:rsid w:val="00CD3B19"/>
    <w:rsid w:val="00CF07F4"/>
    <w:rsid w:val="00D01F4B"/>
    <w:rsid w:val="00D05C10"/>
    <w:rsid w:val="00D23A48"/>
    <w:rsid w:val="00DB189E"/>
    <w:rsid w:val="00DB34C9"/>
    <w:rsid w:val="00DF71AF"/>
    <w:rsid w:val="00E034A7"/>
    <w:rsid w:val="00E23DED"/>
    <w:rsid w:val="00E43BA7"/>
    <w:rsid w:val="00E63CC0"/>
    <w:rsid w:val="00EB06B6"/>
    <w:rsid w:val="00EC2B3D"/>
    <w:rsid w:val="00EC434B"/>
    <w:rsid w:val="00EE40E3"/>
    <w:rsid w:val="00EE6FD8"/>
    <w:rsid w:val="00F0125F"/>
    <w:rsid w:val="00F14191"/>
    <w:rsid w:val="00F47664"/>
    <w:rsid w:val="00F871E3"/>
    <w:rsid w:val="00F95354"/>
    <w:rsid w:val="00FA146F"/>
    <w:rsid w:val="00FA4FFB"/>
    <w:rsid w:val="00FC435D"/>
    <w:rsid w:val="00FD413A"/>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7E91"/>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F871E3"/>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NormalWeb">
    <w:name w:val="Normal (Web)"/>
    <w:basedOn w:val="Normal"/>
    <w:uiPriority w:val="99"/>
    <w:unhideWhenUsed/>
    <w:rsid w:val="00911072"/>
    <w:pPr>
      <w:widowControl/>
      <w:autoSpaceDE/>
      <w:autoSpaceDN/>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911072"/>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91107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11072"/>
    <w:pPr>
      <w:widowControl/>
      <w:autoSpaceDE/>
      <w:autoSpaceDN/>
    </w:pPr>
    <w:rPr>
      <w:rFonts w:asciiTheme="minorHAnsi" w:eastAsiaTheme="minorHAnsi" w:hAnsiTheme="minorHAnsi" w:cstheme="minorBidi"/>
      <w:vertAlign w:val="superscript"/>
      <w:lang w:val="es-CO"/>
    </w:rPr>
  </w:style>
  <w:style w:type="paragraph" w:customStyle="1" w:styleId="Default">
    <w:name w:val="Default"/>
    <w:rsid w:val="00710BD7"/>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710BD7"/>
    <w:pPr>
      <w:widowControl w:val="0"/>
      <w:autoSpaceDE w:val="0"/>
      <w:autoSpaceDN w:val="0"/>
      <w:spacing w:after="0" w:line="240" w:lineRule="auto"/>
    </w:pPr>
    <w:rPr>
      <w:rFonts w:ascii="Arial MT" w:eastAsia="Arial MT" w:hAnsi="Arial MT" w:cs="Arial MT"/>
      <w:lang w:val="es-ES"/>
    </w:rPr>
  </w:style>
  <w:style w:type="paragraph" w:styleId="Revisin">
    <w:name w:val="Revision"/>
    <w:hidden/>
    <w:uiPriority w:val="99"/>
    <w:semiHidden/>
    <w:rsid w:val="00F14191"/>
    <w:pPr>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8598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4</cp:revision>
  <cp:lastPrinted>2025-08-13T21:28:00Z</cp:lastPrinted>
  <dcterms:created xsi:type="dcterms:W3CDTF">2025-08-13T21:25:00Z</dcterms:created>
  <dcterms:modified xsi:type="dcterms:W3CDTF">2025-08-13T21:28:00Z</dcterms:modified>
</cp:coreProperties>
</file>