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786056" w:rsidRDefault="00F56E1E" w:rsidP="00404E49">
      <w:pPr>
        <w:spacing w:before="53" w:after="0" w:line="240" w:lineRule="auto"/>
        <w:jc w:val="center"/>
        <w:rPr>
          <w:rFonts w:eastAsia="Calibri" w:cstheme="minorHAnsi"/>
          <w:b/>
          <w:bCs/>
          <w:sz w:val="21"/>
          <w:szCs w:val="21"/>
          <w:u w:val="single" w:color="000000"/>
          <w:lang w:val="es-CO"/>
        </w:rPr>
      </w:pPr>
      <w:r w:rsidRPr="00786056">
        <w:rPr>
          <w:rFonts w:eastAsia="Calibri" w:cstheme="minorHAnsi"/>
          <w:b/>
          <w:bCs/>
          <w:spacing w:val="1"/>
          <w:sz w:val="21"/>
          <w:szCs w:val="21"/>
          <w:u w:val="single" w:color="000000"/>
          <w:lang w:val="es-CO"/>
        </w:rPr>
        <w:t>IN</w:t>
      </w:r>
      <w:r w:rsidRPr="00786056">
        <w:rPr>
          <w:rFonts w:eastAsia="Calibri" w:cstheme="minorHAnsi"/>
          <w:b/>
          <w:bCs/>
          <w:sz w:val="21"/>
          <w:szCs w:val="21"/>
          <w:u w:val="single" w:color="000000"/>
          <w:lang w:val="es-CO"/>
        </w:rPr>
        <w:t>F</w:t>
      </w:r>
      <w:r w:rsidRPr="00786056">
        <w:rPr>
          <w:rFonts w:eastAsia="Calibri" w:cstheme="minorHAnsi"/>
          <w:b/>
          <w:bCs/>
          <w:spacing w:val="-1"/>
          <w:sz w:val="21"/>
          <w:szCs w:val="21"/>
          <w:u w:val="single" w:color="000000"/>
          <w:lang w:val="es-CO"/>
        </w:rPr>
        <w:t>O</w:t>
      </w:r>
      <w:r w:rsidRPr="00786056">
        <w:rPr>
          <w:rFonts w:eastAsia="Calibri" w:cstheme="minorHAnsi"/>
          <w:b/>
          <w:bCs/>
          <w:sz w:val="21"/>
          <w:szCs w:val="21"/>
          <w:u w:val="single" w:color="000000"/>
          <w:lang w:val="es-CO"/>
        </w:rPr>
        <w:t>R</w:t>
      </w:r>
      <w:r w:rsidRPr="00786056">
        <w:rPr>
          <w:rFonts w:eastAsia="Calibri" w:cstheme="minorHAnsi"/>
          <w:b/>
          <w:bCs/>
          <w:spacing w:val="-3"/>
          <w:sz w:val="21"/>
          <w:szCs w:val="21"/>
          <w:u w:val="single" w:color="000000"/>
          <w:lang w:val="es-CO"/>
        </w:rPr>
        <w:t>M</w:t>
      </w:r>
      <w:r w:rsidRPr="00786056">
        <w:rPr>
          <w:rFonts w:eastAsia="Calibri" w:cstheme="minorHAnsi"/>
          <w:b/>
          <w:bCs/>
          <w:sz w:val="21"/>
          <w:szCs w:val="21"/>
          <w:u w:val="single" w:color="000000"/>
          <w:lang w:val="es-CO"/>
        </w:rPr>
        <w:t xml:space="preserve">E </w:t>
      </w:r>
      <w:r w:rsidR="003A35CE" w:rsidRPr="00786056">
        <w:rPr>
          <w:rFonts w:eastAsia="Calibri" w:cstheme="minorHAnsi"/>
          <w:b/>
          <w:bCs/>
          <w:spacing w:val="-2"/>
          <w:sz w:val="21"/>
          <w:szCs w:val="21"/>
          <w:u w:val="single" w:color="000000"/>
          <w:lang w:val="es-CO"/>
        </w:rPr>
        <w:t xml:space="preserve">PROCESOS JUDICIALES </w:t>
      </w:r>
      <w:r w:rsidRPr="00786056">
        <w:rPr>
          <w:rFonts w:eastAsia="Calibri" w:cstheme="minorHAnsi"/>
          <w:b/>
          <w:bCs/>
          <w:spacing w:val="1"/>
          <w:sz w:val="21"/>
          <w:szCs w:val="21"/>
          <w:u w:val="single" w:color="000000"/>
          <w:lang w:val="es-CO"/>
        </w:rPr>
        <w:t>C</w:t>
      </w:r>
      <w:r w:rsidRPr="00786056">
        <w:rPr>
          <w:rFonts w:eastAsia="Calibri" w:cstheme="minorHAnsi"/>
          <w:b/>
          <w:bCs/>
          <w:spacing w:val="-2"/>
          <w:sz w:val="21"/>
          <w:szCs w:val="21"/>
          <w:u w:val="single" w:color="000000"/>
          <w:lang w:val="es-CO"/>
        </w:rPr>
        <w:t>H</w:t>
      </w:r>
      <w:r w:rsidRPr="00786056">
        <w:rPr>
          <w:rFonts w:eastAsia="Calibri" w:cstheme="minorHAnsi"/>
          <w:b/>
          <w:bCs/>
          <w:sz w:val="21"/>
          <w:szCs w:val="21"/>
          <w:u w:val="single" w:color="000000"/>
          <w:lang w:val="es-CO"/>
        </w:rPr>
        <w:t>UBB</w:t>
      </w:r>
      <w:r w:rsidRPr="00786056">
        <w:rPr>
          <w:rFonts w:eastAsia="Calibri" w:cstheme="minorHAnsi"/>
          <w:b/>
          <w:bCs/>
          <w:spacing w:val="-1"/>
          <w:sz w:val="21"/>
          <w:szCs w:val="21"/>
          <w:u w:val="single" w:color="000000"/>
          <w:lang w:val="es-CO"/>
        </w:rPr>
        <w:t xml:space="preserve"> S</w:t>
      </w:r>
      <w:r w:rsidRPr="00786056">
        <w:rPr>
          <w:rFonts w:eastAsia="Calibri" w:cstheme="minorHAnsi"/>
          <w:b/>
          <w:bCs/>
          <w:sz w:val="21"/>
          <w:szCs w:val="21"/>
          <w:u w:val="single" w:color="000000"/>
          <w:lang w:val="es-CO"/>
        </w:rPr>
        <w:t>E</w:t>
      </w:r>
      <w:r w:rsidRPr="00786056">
        <w:rPr>
          <w:rFonts w:eastAsia="Calibri" w:cstheme="minorHAnsi"/>
          <w:b/>
          <w:bCs/>
          <w:spacing w:val="1"/>
          <w:sz w:val="21"/>
          <w:szCs w:val="21"/>
          <w:u w:val="single" w:color="000000"/>
          <w:lang w:val="es-CO"/>
        </w:rPr>
        <w:t>G</w:t>
      </w:r>
      <w:r w:rsidRPr="00786056">
        <w:rPr>
          <w:rFonts w:eastAsia="Calibri" w:cstheme="minorHAnsi"/>
          <w:b/>
          <w:bCs/>
          <w:spacing w:val="-3"/>
          <w:sz w:val="21"/>
          <w:szCs w:val="21"/>
          <w:u w:val="single" w:color="000000"/>
          <w:lang w:val="es-CO"/>
        </w:rPr>
        <w:t>U</w:t>
      </w:r>
      <w:r w:rsidRPr="00786056">
        <w:rPr>
          <w:rFonts w:eastAsia="Calibri" w:cstheme="minorHAnsi"/>
          <w:b/>
          <w:bCs/>
          <w:sz w:val="21"/>
          <w:szCs w:val="21"/>
          <w:u w:val="single" w:color="000000"/>
          <w:lang w:val="es-CO"/>
        </w:rPr>
        <w:t>ROS</w:t>
      </w:r>
      <w:r w:rsidRPr="00786056">
        <w:rPr>
          <w:rFonts w:eastAsia="Calibri" w:cstheme="minorHAnsi"/>
          <w:b/>
          <w:bCs/>
          <w:spacing w:val="-1"/>
          <w:sz w:val="21"/>
          <w:szCs w:val="21"/>
          <w:u w:val="single" w:color="000000"/>
          <w:lang w:val="es-CO"/>
        </w:rPr>
        <w:t xml:space="preserve"> </w:t>
      </w:r>
      <w:r w:rsidRPr="00786056">
        <w:rPr>
          <w:rFonts w:eastAsia="Calibri" w:cstheme="minorHAnsi"/>
          <w:b/>
          <w:bCs/>
          <w:spacing w:val="1"/>
          <w:sz w:val="21"/>
          <w:szCs w:val="21"/>
          <w:u w:val="single" w:color="000000"/>
          <w:lang w:val="es-CO"/>
        </w:rPr>
        <w:t>C</w:t>
      </w:r>
      <w:r w:rsidRPr="00786056">
        <w:rPr>
          <w:rFonts w:eastAsia="Calibri" w:cstheme="minorHAnsi"/>
          <w:b/>
          <w:bCs/>
          <w:sz w:val="21"/>
          <w:szCs w:val="21"/>
          <w:u w:val="single" w:color="000000"/>
          <w:lang w:val="es-CO"/>
        </w:rPr>
        <w:t>OL</w:t>
      </w:r>
      <w:r w:rsidRPr="00786056">
        <w:rPr>
          <w:rFonts w:eastAsia="Calibri" w:cstheme="minorHAnsi"/>
          <w:b/>
          <w:bCs/>
          <w:spacing w:val="-1"/>
          <w:sz w:val="21"/>
          <w:szCs w:val="21"/>
          <w:u w:val="single" w:color="000000"/>
          <w:lang w:val="es-CO"/>
        </w:rPr>
        <w:t>O</w:t>
      </w:r>
      <w:r w:rsidRPr="00786056">
        <w:rPr>
          <w:rFonts w:eastAsia="Calibri" w:cstheme="minorHAnsi"/>
          <w:b/>
          <w:bCs/>
          <w:spacing w:val="-3"/>
          <w:sz w:val="21"/>
          <w:szCs w:val="21"/>
          <w:u w:val="single" w:color="000000"/>
          <w:lang w:val="es-CO"/>
        </w:rPr>
        <w:t>M</w:t>
      </w:r>
      <w:r w:rsidRPr="00786056">
        <w:rPr>
          <w:rFonts w:eastAsia="Calibri" w:cstheme="minorHAnsi"/>
          <w:b/>
          <w:bCs/>
          <w:spacing w:val="1"/>
          <w:sz w:val="21"/>
          <w:szCs w:val="21"/>
          <w:u w:val="single" w:color="000000"/>
          <w:lang w:val="es-CO"/>
        </w:rPr>
        <w:t>B</w:t>
      </w:r>
      <w:r w:rsidRPr="00786056">
        <w:rPr>
          <w:rFonts w:eastAsia="Calibri" w:cstheme="minorHAnsi"/>
          <w:b/>
          <w:bCs/>
          <w:spacing w:val="-1"/>
          <w:sz w:val="21"/>
          <w:szCs w:val="21"/>
          <w:u w:val="single" w:color="000000"/>
          <w:lang w:val="es-CO"/>
        </w:rPr>
        <w:t>I</w:t>
      </w:r>
      <w:r w:rsidRPr="00786056">
        <w:rPr>
          <w:rFonts w:eastAsia="Calibri" w:cstheme="minorHAnsi"/>
          <w:b/>
          <w:bCs/>
          <w:sz w:val="21"/>
          <w:szCs w:val="21"/>
          <w:u w:val="single" w:color="000000"/>
          <w:lang w:val="es-CO"/>
        </w:rPr>
        <w:t>A</w:t>
      </w:r>
      <w:r w:rsidRPr="00786056">
        <w:rPr>
          <w:rFonts w:eastAsia="Calibri" w:cstheme="minorHAnsi"/>
          <w:b/>
          <w:bCs/>
          <w:spacing w:val="-1"/>
          <w:sz w:val="21"/>
          <w:szCs w:val="21"/>
          <w:u w:val="single" w:color="000000"/>
          <w:lang w:val="es-CO"/>
        </w:rPr>
        <w:t xml:space="preserve"> S</w:t>
      </w:r>
      <w:r w:rsidRPr="00786056">
        <w:rPr>
          <w:rFonts w:eastAsia="Calibri" w:cstheme="minorHAnsi"/>
          <w:b/>
          <w:bCs/>
          <w:spacing w:val="1"/>
          <w:sz w:val="21"/>
          <w:szCs w:val="21"/>
          <w:u w:val="single" w:color="000000"/>
          <w:lang w:val="es-CO"/>
        </w:rPr>
        <w:t>.</w:t>
      </w:r>
      <w:r w:rsidRPr="00786056">
        <w:rPr>
          <w:rFonts w:eastAsia="Calibri" w:cstheme="minorHAnsi"/>
          <w:b/>
          <w:bCs/>
          <w:sz w:val="21"/>
          <w:szCs w:val="21"/>
          <w:u w:val="single" w:color="000000"/>
          <w:lang w:val="es-CO"/>
        </w:rPr>
        <w:t>A.</w:t>
      </w:r>
    </w:p>
    <w:p w14:paraId="341500F6" w14:textId="357A9A57" w:rsidR="00675B7A" w:rsidRPr="00786056" w:rsidRDefault="00464E10" w:rsidP="00404E49">
      <w:pPr>
        <w:spacing w:before="53" w:after="0" w:line="240" w:lineRule="auto"/>
        <w:jc w:val="center"/>
        <w:rPr>
          <w:rFonts w:eastAsia="Calibri" w:cstheme="minorHAnsi"/>
          <w:b/>
          <w:sz w:val="21"/>
          <w:szCs w:val="21"/>
          <w:lang w:val="es-CO"/>
        </w:rPr>
      </w:pPr>
      <w:r w:rsidRPr="00786056">
        <w:rPr>
          <w:rFonts w:eastAsia="Calibri" w:cstheme="minorHAnsi"/>
          <w:b/>
          <w:color w:val="FF0000"/>
          <w:sz w:val="21"/>
          <w:szCs w:val="21"/>
          <w:lang w:val="es-CO"/>
        </w:rPr>
        <w:t>(</w:t>
      </w:r>
      <w:r w:rsidR="00404E49" w:rsidRPr="00786056">
        <w:rPr>
          <w:rFonts w:eastAsia="Calibri" w:cstheme="minorHAnsi"/>
          <w:b/>
          <w:color w:val="FF0000"/>
          <w:sz w:val="21"/>
          <w:szCs w:val="21"/>
          <w:lang w:val="es-CO"/>
        </w:rPr>
        <w:t>G HERRERA ABOGADOS &amp; ASOCIADOS</w:t>
      </w:r>
      <w:r w:rsidRPr="00786056">
        <w:rPr>
          <w:rFonts w:eastAsia="Calibri" w:cstheme="minorHAnsi"/>
          <w:b/>
          <w:color w:val="FF0000"/>
          <w:sz w:val="21"/>
          <w:szCs w:val="21"/>
          <w:lang w:val="es-CO"/>
        </w:rPr>
        <w:t>)</w:t>
      </w:r>
    </w:p>
    <w:p w14:paraId="24D2A454" w14:textId="77777777" w:rsidR="00A06D0B" w:rsidRPr="00786056" w:rsidRDefault="00A06D0B">
      <w:pPr>
        <w:spacing w:before="12" w:after="0" w:line="260" w:lineRule="exact"/>
        <w:rPr>
          <w:rFonts w:cstheme="minorHAnsi"/>
          <w:sz w:val="21"/>
          <w:szCs w:val="21"/>
          <w:lang w:val="es-CO"/>
        </w:rPr>
      </w:pPr>
    </w:p>
    <w:tbl>
      <w:tblPr>
        <w:tblW w:w="0" w:type="auto"/>
        <w:tblInd w:w="100" w:type="dxa"/>
        <w:tblCellMar>
          <w:left w:w="0" w:type="dxa"/>
          <w:right w:w="0" w:type="dxa"/>
        </w:tblCellMar>
        <w:tblLook w:val="01E0" w:firstRow="1" w:lastRow="1" w:firstColumn="1" w:lastColumn="1" w:noHBand="0" w:noVBand="0"/>
      </w:tblPr>
      <w:tblGrid>
        <w:gridCol w:w="2178"/>
        <w:gridCol w:w="7482"/>
      </w:tblGrid>
      <w:tr w:rsidR="00A06D0B" w:rsidRPr="00786056" w14:paraId="6AFC4489"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FF6DE84"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IN</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RO</w:t>
            </w:r>
          </w:p>
        </w:tc>
        <w:tc>
          <w:tcPr>
            <w:tcW w:w="7482" w:type="dxa"/>
            <w:tcBorders>
              <w:top w:val="single" w:sz="8" w:space="0" w:color="000000"/>
              <w:left w:val="single" w:sz="8" w:space="0" w:color="000000"/>
              <w:bottom w:val="single" w:sz="8" w:space="0" w:color="000000"/>
              <w:right w:val="single" w:sz="8" w:space="0" w:color="000000"/>
            </w:tcBorders>
          </w:tcPr>
          <w:p w14:paraId="7CC34A09" w14:textId="77777777" w:rsidR="00A06D0B" w:rsidRPr="00786056" w:rsidRDefault="00A06D0B">
            <w:pPr>
              <w:spacing w:after="0" w:line="267" w:lineRule="exact"/>
              <w:ind w:left="59" w:right="-20"/>
              <w:rPr>
                <w:rFonts w:eastAsia="Calibri" w:cstheme="minorHAnsi"/>
                <w:sz w:val="21"/>
                <w:szCs w:val="21"/>
                <w:lang w:val="es-CO"/>
              </w:rPr>
            </w:pPr>
          </w:p>
        </w:tc>
      </w:tr>
      <w:tr w:rsidR="00A06D0B" w:rsidRPr="00786056" w14:paraId="3B60B572"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ADE32FA"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A</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 xml:space="preserve">ADO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AL</w:t>
            </w:r>
          </w:p>
        </w:tc>
        <w:tc>
          <w:tcPr>
            <w:tcW w:w="7482" w:type="dxa"/>
            <w:tcBorders>
              <w:top w:val="single" w:sz="8" w:space="0" w:color="000000"/>
              <w:left w:val="single" w:sz="8" w:space="0" w:color="000000"/>
              <w:bottom w:val="single" w:sz="8" w:space="0" w:color="000000"/>
              <w:right w:val="single" w:sz="8" w:space="0" w:color="000000"/>
            </w:tcBorders>
          </w:tcPr>
          <w:p w14:paraId="6956A0B9" w14:textId="4BA800D6" w:rsidR="00A06D0B" w:rsidRPr="00786056" w:rsidRDefault="00B304C9" w:rsidP="0023346F">
            <w:pPr>
              <w:tabs>
                <w:tab w:val="left" w:pos="1080"/>
              </w:tabs>
              <w:spacing w:after="0" w:line="264" w:lineRule="exact"/>
              <w:ind w:left="59" w:right="-20"/>
              <w:rPr>
                <w:rFonts w:eastAsia="Calibri" w:cstheme="minorHAnsi"/>
                <w:sz w:val="21"/>
                <w:szCs w:val="21"/>
                <w:lang w:val="es-CO"/>
              </w:rPr>
            </w:pPr>
            <w:r w:rsidRPr="00B304C9">
              <w:rPr>
                <w:rFonts w:eastAsia="Calibri" w:cstheme="minorHAnsi"/>
                <w:sz w:val="21"/>
                <w:szCs w:val="21"/>
                <w:lang w:val="es-CO"/>
              </w:rPr>
              <w:t>76001-33-33-016-2023-00195-00</w:t>
            </w:r>
          </w:p>
        </w:tc>
      </w:tr>
      <w:tr w:rsidR="00A06D0B" w:rsidRPr="00786056" w14:paraId="17602153"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081DA0E6"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PA</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w:t>
            </w:r>
          </w:p>
        </w:tc>
        <w:tc>
          <w:tcPr>
            <w:tcW w:w="7482" w:type="dxa"/>
            <w:tcBorders>
              <w:top w:val="single" w:sz="8" w:space="0" w:color="000000"/>
              <w:left w:val="single" w:sz="8" w:space="0" w:color="000000"/>
              <w:bottom w:val="single" w:sz="8" w:space="0" w:color="000000"/>
              <w:right w:val="single" w:sz="8" w:space="0" w:color="000000"/>
            </w:tcBorders>
          </w:tcPr>
          <w:p w14:paraId="73B239CB" w14:textId="34D08E0A" w:rsidR="00A06D0B" w:rsidRPr="00786056" w:rsidRDefault="00A56E8B">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 xml:space="preserve">JUZGADO </w:t>
            </w:r>
            <w:r w:rsidR="00593B95" w:rsidRPr="00593B95">
              <w:rPr>
                <w:rFonts w:eastAsia="Calibri" w:cstheme="minorHAnsi"/>
                <w:sz w:val="21"/>
                <w:szCs w:val="21"/>
                <w:lang w:val="es-CO"/>
              </w:rPr>
              <w:t>DIECISÉIS</w:t>
            </w:r>
            <w:r w:rsidR="00B41C8E" w:rsidRPr="00B41C8E">
              <w:rPr>
                <w:rFonts w:eastAsia="Calibri" w:cstheme="minorHAnsi"/>
                <w:sz w:val="21"/>
                <w:szCs w:val="21"/>
                <w:lang w:val="es-CO"/>
              </w:rPr>
              <w:t xml:space="preserve"> ADMINISTRATIVO ORAL DEL CIRCUITO JUDICIAL DE CALI</w:t>
            </w:r>
          </w:p>
        </w:tc>
      </w:tr>
      <w:tr w:rsidR="00A06D0B" w:rsidRPr="00786056" w14:paraId="0192495D"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5DEB3B4D"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L</w:t>
            </w:r>
            <w:r w:rsidRPr="00786056">
              <w:rPr>
                <w:rFonts w:eastAsia="Calibri" w:cstheme="minorHAnsi"/>
                <w:b/>
                <w:bCs/>
                <w:spacing w:val="1"/>
                <w:position w:val="1"/>
                <w:sz w:val="21"/>
                <w:szCs w:val="21"/>
                <w:lang w:val="es-CO"/>
              </w:rPr>
              <w:t>A</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P</w:t>
            </w:r>
            <w:r w:rsidRPr="00786056">
              <w:rPr>
                <w:rFonts w:eastAsia="Calibri" w:cstheme="minorHAnsi"/>
                <w:b/>
                <w:bCs/>
                <w:position w:val="1"/>
                <w:sz w:val="21"/>
                <w:szCs w:val="21"/>
                <w:lang w:val="es-CO"/>
              </w:rPr>
              <w:t>RO</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O</w:t>
            </w:r>
          </w:p>
        </w:tc>
        <w:tc>
          <w:tcPr>
            <w:tcW w:w="7482" w:type="dxa"/>
            <w:tcBorders>
              <w:top w:val="single" w:sz="8" w:space="0" w:color="000000"/>
              <w:left w:val="single" w:sz="8" w:space="0" w:color="000000"/>
              <w:bottom w:val="single" w:sz="8" w:space="0" w:color="000000"/>
              <w:right w:val="single" w:sz="8" w:space="0" w:color="000000"/>
            </w:tcBorders>
          </w:tcPr>
          <w:p w14:paraId="244EE41F" w14:textId="4E0798BC" w:rsidR="00A06D0B" w:rsidRPr="00786056" w:rsidRDefault="0023346F">
            <w:pPr>
              <w:spacing w:after="0" w:line="267" w:lineRule="exact"/>
              <w:ind w:left="59" w:right="-20"/>
              <w:rPr>
                <w:rFonts w:eastAsia="Calibri" w:cstheme="minorHAnsi"/>
                <w:sz w:val="21"/>
                <w:szCs w:val="21"/>
                <w:lang w:val="es-CO"/>
              </w:rPr>
            </w:pPr>
            <w:r w:rsidRPr="00786056">
              <w:rPr>
                <w:rFonts w:eastAsia="Calibri" w:cstheme="minorHAnsi"/>
                <w:sz w:val="21"/>
                <w:szCs w:val="21"/>
                <w:lang w:val="es-CO"/>
              </w:rPr>
              <w:t>REPARACIÓN DIRECTA</w:t>
            </w:r>
          </w:p>
        </w:tc>
      </w:tr>
      <w:tr w:rsidR="00A06D0B" w:rsidRPr="00786056" w14:paraId="38A27C37"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4152EE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p>
        </w:tc>
        <w:tc>
          <w:tcPr>
            <w:tcW w:w="7482" w:type="dxa"/>
            <w:tcBorders>
              <w:top w:val="single" w:sz="8" w:space="0" w:color="000000"/>
              <w:left w:val="single" w:sz="8" w:space="0" w:color="000000"/>
              <w:bottom w:val="single" w:sz="8" w:space="0" w:color="000000"/>
              <w:right w:val="single" w:sz="8" w:space="0" w:color="000000"/>
            </w:tcBorders>
          </w:tcPr>
          <w:p w14:paraId="1BB63881" w14:textId="55530440" w:rsidR="00A06D0B" w:rsidRPr="00786056" w:rsidRDefault="00593B95">
            <w:pPr>
              <w:spacing w:after="0" w:line="264" w:lineRule="exact"/>
              <w:ind w:left="59" w:right="-20"/>
              <w:rPr>
                <w:rFonts w:eastAsia="Calibri" w:cstheme="minorHAnsi"/>
                <w:sz w:val="21"/>
                <w:szCs w:val="21"/>
                <w:lang w:val="es-CO"/>
              </w:rPr>
            </w:pPr>
            <w:r w:rsidRPr="00593B95">
              <w:rPr>
                <w:rFonts w:cstheme="minorHAnsi"/>
                <w:sz w:val="21"/>
                <w:szCs w:val="21"/>
              </w:rPr>
              <w:t>LUIS FERNANDO TELLO</w:t>
            </w:r>
            <w:r w:rsidR="00B41C8E" w:rsidRPr="00786056">
              <w:rPr>
                <w:rFonts w:cstheme="minorHAnsi"/>
                <w:sz w:val="21"/>
                <w:szCs w:val="21"/>
              </w:rPr>
              <w:t>.</w:t>
            </w:r>
          </w:p>
        </w:tc>
      </w:tr>
      <w:tr w:rsidR="00A06D0B" w:rsidRPr="00786056" w14:paraId="1336A0B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4C840B2B"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DADO</w:t>
            </w:r>
          </w:p>
        </w:tc>
        <w:tc>
          <w:tcPr>
            <w:tcW w:w="7482" w:type="dxa"/>
            <w:tcBorders>
              <w:top w:val="single" w:sz="8" w:space="0" w:color="000000"/>
              <w:left w:val="single" w:sz="8" w:space="0" w:color="000000"/>
              <w:bottom w:val="single" w:sz="8" w:space="0" w:color="000000"/>
              <w:right w:val="single" w:sz="8" w:space="0" w:color="000000"/>
            </w:tcBorders>
          </w:tcPr>
          <w:p w14:paraId="00AD4B83" w14:textId="7670DBF4" w:rsidR="00A06D0B" w:rsidRPr="00786056" w:rsidRDefault="0023346F">
            <w:pPr>
              <w:spacing w:after="0" w:line="264" w:lineRule="exact"/>
              <w:ind w:left="59" w:right="-20"/>
              <w:rPr>
                <w:rFonts w:eastAsia="Calibri" w:cstheme="minorHAnsi"/>
                <w:sz w:val="21"/>
                <w:szCs w:val="21"/>
                <w:lang w:val="es-CO"/>
              </w:rPr>
            </w:pPr>
            <w:r w:rsidRPr="00786056">
              <w:rPr>
                <w:rFonts w:cstheme="minorHAnsi"/>
                <w:sz w:val="21"/>
                <w:szCs w:val="21"/>
                <w:lang w:val="es-CO"/>
              </w:rPr>
              <w:t>DISTRITO DE SANTIAGO DE CALI</w:t>
            </w:r>
          </w:p>
        </w:tc>
      </w:tr>
      <w:tr w:rsidR="00A06D0B" w:rsidRPr="00786056" w14:paraId="677CB330"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1C0EBFE"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TI</w:t>
            </w:r>
            <w:r w:rsidRPr="00786056">
              <w:rPr>
                <w:rFonts w:eastAsia="Calibri" w:cstheme="minorHAnsi"/>
                <w:b/>
                <w:bCs/>
                <w:position w:val="1"/>
                <w:sz w:val="21"/>
                <w:szCs w:val="21"/>
                <w:lang w:val="es-CO"/>
              </w:rPr>
              <w:t>PO</w:t>
            </w:r>
            <w:r w:rsidRPr="00786056">
              <w:rPr>
                <w:rFonts w:eastAsia="Calibri" w:cstheme="minorHAnsi"/>
                <w:b/>
                <w:bCs/>
                <w:spacing w:val="-3"/>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3"/>
                <w:position w:val="1"/>
                <w:sz w:val="21"/>
                <w:szCs w:val="21"/>
                <w:lang w:val="es-CO"/>
              </w:rPr>
              <w:t>V</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ON</w:t>
            </w:r>
          </w:p>
          <w:p w14:paraId="512A4E3F"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w:t>
            </w:r>
            <w:r w:rsidRPr="00786056">
              <w:rPr>
                <w:rFonts w:eastAsia="Calibri" w:cstheme="minorHAnsi"/>
                <w:b/>
                <w:bCs/>
                <w:spacing w:val="-3"/>
                <w:sz w:val="21"/>
                <w:szCs w:val="21"/>
                <w:lang w:val="es-CO"/>
              </w:rPr>
              <w:t>O</w:t>
            </w:r>
            <w:r w:rsidRPr="00786056">
              <w:rPr>
                <w:rFonts w:eastAsia="Calibri" w:cstheme="minorHAnsi"/>
                <w:b/>
                <w:bCs/>
                <w:sz w:val="21"/>
                <w:szCs w:val="21"/>
                <w:lang w:val="es-CO"/>
              </w:rPr>
              <w:t>RA</w:t>
            </w:r>
          </w:p>
        </w:tc>
        <w:tc>
          <w:tcPr>
            <w:tcW w:w="7482" w:type="dxa"/>
            <w:tcBorders>
              <w:top w:val="single" w:sz="8" w:space="0" w:color="000000"/>
              <w:left w:val="single" w:sz="8" w:space="0" w:color="000000"/>
              <w:bottom w:val="single" w:sz="8" w:space="0" w:color="000000"/>
              <w:right w:val="single" w:sz="8" w:space="0" w:color="000000"/>
            </w:tcBorders>
          </w:tcPr>
          <w:p w14:paraId="5F089659" w14:textId="3711D5A2" w:rsidR="00A06D0B" w:rsidRPr="00786056" w:rsidRDefault="0023346F">
            <w:pPr>
              <w:spacing w:after="0" w:line="267" w:lineRule="exact"/>
              <w:ind w:left="109" w:right="-20"/>
              <w:rPr>
                <w:rFonts w:eastAsia="Calibri" w:cstheme="minorHAnsi"/>
                <w:sz w:val="21"/>
                <w:szCs w:val="21"/>
                <w:lang w:val="es-CO"/>
              </w:rPr>
            </w:pPr>
            <w:r w:rsidRPr="00786056">
              <w:rPr>
                <w:rFonts w:cstheme="minorHAnsi"/>
                <w:sz w:val="21"/>
                <w:szCs w:val="21"/>
                <w:lang w:val="es-CO"/>
              </w:rPr>
              <w:t>LLAMA</w:t>
            </w:r>
            <w:r w:rsidR="00F32507" w:rsidRPr="00786056">
              <w:rPr>
                <w:rFonts w:cstheme="minorHAnsi"/>
                <w:sz w:val="21"/>
                <w:szCs w:val="21"/>
                <w:lang w:val="es-CO"/>
              </w:rPr>
              <w:t>DA</w:t>
            </w:r>
            <w:r w:rsidRPr="00786056">
              <w:rPr>
                <w:rFonts w:cstheme="minorHAnsi"/>
                <w:sz w:val="21"/>
                <w:szCs w:val="21"/>
                <w:lang w:val="es-CO"/>
              </w:rPr>
              <w:t xml:space="preserve"> EN GARANTÍA</w:t>
            </w:r>
          </w:p>
        </w:tc>
      </w:tr>
      <w:tr w:rsidR="00F56E1E" w:rsidRPr="00786056" w14:paraId="3EEC000C"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5F336FE" w14:textId="77777777" w:rsidR="00F56E1E"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INSTANCIA DEL PROCESO</w:t>
            </w:r>
          </w:p>
        </w:tc>
        <w:tc>
          <w:tcPr>
            <w:tcW w:w="7482" w:type="dxa"/>
            <w:tcBorders>
              <w:top w:val="single" w:sz="8" w:space="0" w:color="000000"/>
              <w:left w:val="single" w:sz="8" w:space="0" w:color="000000"/>
              <w:bottom w:val="single" w:sz="8" w:space="0" w:color="000000"/>
              <w:right w:val="single" w:sz="8" w:space="0" w:color="000000"/>
            </w:tcBorders>
          </w:tcPr>
          <w:p w14:paraId="4E918018" w14:textId="0CAF0A6F" w:rsidR="00F56E1E" w:rsidRPr="00786056" w:rsidRDefault="0023346F">
            <w:pPr>
              <w:spacing w:after="0" w:line="264" w:lineRule="exact"/>
              <w:ind w:left="59" w:right="-20"/>
              <w:rPr>
                <w:rFonts w:eastAsia="Calibri" w:cstheme="minorHAnsi"/>
                <w:spacing w:val="1"/>
                <w:position w:val="1"/>
                <w:sz w:val="21"/>
                <w:szCs w:val="21"/>
                <w:lang w:val="es-CO"/>
              </w:rPr>
            </w:pPr>
            <w:r w:rsidRPr="00786056">
              <w:rPr>
                <w:rFonts w:eastAsia="Calibri" w:cstheme="minorHAnsi"/>
                <w:spacing w:val="1"/>
                <w:position w:val="1"/>
                <w:sz w:val="21"/>
                <w:szCs w:val="21"/>
                <w:lang w:val="es-CO"/>
              </w:rPr>
              <w:t>PRIMERA</w:t>
            </w:r>
          </w:p>
        </w:tc>
      </w:tr>
      <w:tr w:rsidR="00A06D0B" w:rsidRPr="00786056" w14:paraId="57CE14F7"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7ECA925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DE</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3C5D0679" w14:textId="7C659D99" w:rsidR="00A06D0B" w:rsidRPr="00786056" w:rsidRDefault="00975BAE">
            <w:pPr>
              <w:spacing w:after="0" w:line="264" w:lineRule="exact"/>
              <w:ind w:left="59" w:right="-20"/>
              <w:rPr>
                <w:rFonts w:eastAsia="Calibri" w:cstheme="minorHAnsi"/>
                <w:sz w:val="21"/>
                <w:szCs w:val="21"/>
                <w:lang w:val="es-CO"/>
              </w:rPr>
            </w:pPr>
            <w:r w:rsidRPr="00975BAE">
              <w:rPr>
                <w:rFonts w:eastAsia="Calibri" w:cstheme="minorHAnsi"/>
                <w:sz w:val="21"/>
                <w:szCs w:val="21"/>
                <w:lang w:val="es-CO"/>
              </w:rPr>
              <w:t>0</w:t>
            </w:r>
            <w:r w:rsidR="004C6F78">
              <w:rPr>
                <w:rFonts w:eastAsia="Calibri" w:cstheme="minorHAnsi"/>
                <w:sz w:val="21"/>
                <w:szCs w:val="21"/>
                <w:lang w:val="es-CO"/>
              </w:rPr>
              <w:t xml:space="preserve">4 DE JULIO DE </w:t>
            </w:r>
            <w:r w:rsidRPr="00975BAE">
              <w:rPr>
                <w:rFonts w:eastAsia="Calibri" w:cstheme="minorHAnsi"/>
                <w:sz w:val="21"/>
                <w:szCs w:val="21"/>
                <w:lang w:val="es-CO"/>
              </w:rPr>
              <w:t>202</w:t>
            </w:r>
            <w:r w:rsidR="004C6F78">
              <w:rPr>
                <w:rFonts w:eastAsia="Calibri" w:cstheme="minorHAnsi"/>
                <w:sz w:val="21"/>
                <w:szCs w:val="21"/>
                <w:lang w:val="es-CO"/>
              </w:rPr>
              <w:t>3</w:t>
            </w:r>
          </w:p>
        </w:tc>
      </w:tr>
      <w:tr w:rsidR="00A06D0B" w:rsidRPr="00786056" w14:paraId="4F4BA1A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8072CB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S</w:t>
            </w:r>
            <w:r w:rsidRPr="00786056">
              <w:rPr>
                <w:rFonts w:eastAsia="Calibri" w:cstheme="minorHAnsi"/>
                <w:b/>
                <w:bCs/>
                <w:position w:val="1"/>
                <w:sz w:val="21"/>
                <w:szCs w:val="21"/>
                <w:lang w:val="es-CO"/>
              </w:rPr>
              <w:t>OL</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UD</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LL</w:t>
            </w:r>
            <w:r w:rsidRPr="00786056">
              <w:rPr>
                <w:rFonts w:eastAsia="Calibri" w:cstheme="minorHAnsi"/>
                <w:b/>
                <w:bCs/>
                <w:spacing w:val="1"/>
                <w:position w:val="1"/>
                <w:sz w:val="21"/>
                <w:szCs w:val="21"/>
                <w:lang w:val="es-CO"/>
              </w:rPr>
              <w:t>A</w:t>
            </w:r>
            <w:r w:rsidRPr="00786056">
              <w:rPr>
                <w:rFonts w:eastAsia="Calibri" w:cstheme="minorHAnsi"/>
                <w:b/>
                <w:bCs/>
                <w:spacing w:val="-3"/>
                <w:position w:val="1"/>
                <w:sz w:val="21"/>
                <w:szCs w:val="21"/>
                <w:lang w:val="es-CO"/>
              </w:rPr>
              <w:t>M</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M</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EN</w:t>
            </w:r>
          </w:p>
          <w:p w14:paraId="664BFC70" w14:textId="77777777" w:rsidR="00A06D0B" w:rsidRPr="00786056" w:rsidRDefault="00F56E1E">
            <w:pPr>
              <w:spacing w:before="1"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G</w:t>
            </w:r>
            <w:r w:rsidRPr="00786056">
              <w:rPr>
                <w:rFonts w:eastAsia="Calibri" w:cstheme="minorHAnsi"/>
                <w:b/>
                <w:bCs/>
                <w:sz w:val="21"/>
                <w:szCs w:val="21"/>
                <w:lang w:val="es-CO"/>
              </w:rPr>
              <w:t>A</w:t>
            </w:r>
            <w:r w:rsidRPr="00786056">
              <w:rPr>
                <w:rFonts w:eastAsia="Calibri" w:cstheme="minorHAnsi"/>
                <w:b/>
                <w:bCs/>
                <w:spacing w:val="-1"/>
                <w:sz w:val="21"/>
                <w:szCs w:val="21"/>
                <w:lang w:val="es-CO"/>
              </w:rPr>
              <w:t>R</w:t>
            </w:r>
            <w:r w:rsidRPr="00786056">
              <w:rPr>
                <w:rFonts w:eastAsia="Calibri" w:cstheme="minorHAnsi"/>
                <w:b/>
                <w:bCs/>
                <w:sz w:val="21"/>
                <w:szCs w:val="21"/>
                <w:lang w:val="es-CO"/>
              </w:rPr>
              <w:t>A</w:t>
            </w:r>
            <w:r w:rsidRPr="00786056">
              <w:rPr>
                <w:rFonts w:eastAsia="Calibri" w:cstheme="minorHAnsi"/>
                <w:b/>
                <w:bCs/>
                <w:spacing w:val="-1"/>
                <w:sz w:val="21"/>
                <w:szCs w:val="21"/>
                <w:lang w:val="es-CO"/>
              </w:rPr>
              <w:t>NT</w:t>
            </w:r>
            <w:r w:rsidRPr="00786056">
              <w:rPr>
                <w:rFonts w:eastAsia="Calibri" w:cstheme="minorHAnsi"/>
                <w:b/>
                <w:bCs/>
                <w:spacing w:val="1"/>
                <w:sz w:val="21"/>
                <w:szCs w:val="21"/>
                <w:lang w:val="es-CO"/>
              </w:rPr>
              <w:t>Í</w:t>
            </w:r>
            <w:r w:rsidRPr="00786056">
              <w:rPr>
                <w:rFonts w:eastAsia="Calibri" w:cstheme="minorHAnsi"/>
                <w:b/>
                <w:bCs/>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C205438" w14:textId="5A3D5024" w:rsidR="00A06D0B" w:rsidRPr="00786056" w:rsidRDefault="004C6F78">
            <w:pPr>
              <w:spacing w:after="0" w:line="264" w:lineRule="exact"/>
              <w:ind w:left="59" w:right="-20"/>
              <w:rPr>
                <w:rFonts w:eastAsia="Calibri" w:cstheme="minorHAnsi"/>
                <w:sz w:val="21"/>
                <w:szCs w:val="21"/>
                <w:lang w:val="es-CO"/>
              </w:rPr>
            </w:pPr>
            <w:r>
              <w:rPr>
                <w:rFonts w:eastAsia="Calibri" w:cstheme="minorHAnsi"/>
                <w:sz w:val="21"/>
                <w:szCs w:val="21"/>
                <w:lang w:val="es-CO"/>
              </w:rPr>
              <w:t>2</w:t>
            </w:r>
            <w:r w:rsidR="00975BAE">
              <w:rPr>
                <w:rFonts w:eastAsia="Calibri" w:cstheme="minorHAnsi"/>
                <w:sz w:val="21"/>
                <w:szCs w:val="21"/>
                <w:lang w:val="es-CO"/>
              </w:rPr>
              <w:t>8</w:t>
            </w:r>
            <w:r w:rsidR="0023346F" w:rsidRPr="00786056">
              <w:rPr>
                <w:rFonts w:eastAsia="Calibri" w:cstheme="minorHAnsi"/>
                <w:sz w:val="21"/>
                <w:szCs w:val="21"/>
                <w:lang w:val="es-CO"/>
              </w:rPr>
              <w:t xml:space="preserve"> DE </w:t>
            </w:r>
            <w:r w:rsidR="00752537">
              <w:rPr>
                <w:rFonts w:eastAsia="Calibri" w:cstheme="minorHAnsi"/>
                <w:sz w:val="21"/>
                <w:szCs w:val="21"/>
                <w:lang w:val="es-CO"/>
              </w:rPr>
              <w:t>AGOSTO</w:t>
            </w:r>
            <w:r w:rsidR="0023346F" w:rsidRPr="00786056">
              <w:rPr>
                <w:rFonts w:eastAsia="Calibri" w:cstheme="minorHAnsi"/>
                <w:sz w:val="21"/>
                <w:szCs w:val="21"/>
                <w:lang w:val="es-CO"/>
              </w:rPr>
              <w:t xml:space="preserve"> DE 202</w:t>
            </w:r>
            <w:r w:rsidR="00752537">
              <w:rPr>
                <w:rFonts w:eastAsia="Calibri" w:cstheme="minorHAnsi"/>
                <w:sz w:val="21"/>
                <w:szCs w:val="21"/>
                <w:lang w:val="es-CO"/>
              </w:rPr>
              <w:t>3</w:t>
            </w:r>
          </w:p>
        </w:tc>
      </w:tr>
      <w:tr w:rsidR="00A06D0B" w:rsidRPr="00786056" w14:paraId="3BB9C685"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385CEE0"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TI</w:t>
            </w:r>
            <w:r w:rsidRPr="00786056">
              <w:rPr>
                <w:rFonts w:eastAsia="Calibri" w:cstheme="minorHAnsi"/>
                <w:b/>
                <w:bCs/>
                <w:spacing w:val="-3"/>
                <w:position w:val="1"/>
                <w:sz w:val="21"/>
                <w:szCs w:val="21"/>
                <w:lang w:val="es-CO"/>
              </w:rPr>
              <w:t>F</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ÓN</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HU</w:t>
            </w:r>
            <w:r w:rsidRPr="00786056">
              <w:rPr>
                <w:rFonts w:eastAsia="Calibri" w:cstheme="minorHAnsi"/>
                <w:b/>
                <w:bCs/>
                <w:spacing w:val="-2"/>
                <w:position w:val="1"/>
                <w:sz w:val="21"/>
                <w:szCs w:val="21"/>
                <w:lang w:val="es-CO"/>
              </w:rPr>
              <w:t>B</w:t>
            </w:r>
            <w:r w:rsidRPr="00786056">
              <w:rPr>
                <w:rFonts w:eastAsia="Calibri" w:cstheme="minorHAnsi"/>
                <w:b/>
                <w:bCs/>
                <w:position w:val="1"/>
                <w:sz w:val="21"/>
                <w:szCs w:val="21"/>
                <w:lang w:val="es-CO"/>
              </w:rPr>
              <w:t>B</w:t>
            </w:r>
          </w:p>
        </w:tc>
        <w:tc>
          <w:tcPr>
            <w:tcW w:w="7482" w:type="dxa"/>
            <w:tcBorders>
              <w:top w:val="single" w:sz="8" w:space="0" w:color="000000"/>
              <w:left w:val="single" w:sz="8" w:space="0" w:color="000000"/>
              <w:bottom w:val="single" w:sz="8" w:space="0" w:color="000000"/>
              <w:right w:val="single" w:sz="8" w:space="0" w:color="000000"/>
            </w:tcBorders>
          </w:tcPr>
          <w:p w14:paraId="5F5E323A" w14:textId="77D1682E" w:rsidR="00A06D0B" w:rsidRPr="00786056" w:rsidRDefault="00752537">
            <w:pPr>
              <w:spacing w:after="0" w:line="264" w:lineRule="exact"/>
              <w:ind w:left="59" w:right="-20"/>
              <w:rPr>
                <w:rFonts w:eastAsia="Calibri" w:cstheme="minorHAnsi"/>
                <w:sz w:val="21"/>
                <w:szCs w:val="21"/>
                <w:lang w:val="es-CO"/>
              </w:rPr>
            </w:pPr>
            <w:r>
              <w:rPr>
                <w:rFonts w:eastAsia="Calibri" w:cstheme="minorHAnsi"/>
                <w:sz w:val="21"/>
                <w:szCs w:val="21"/>
                <w:lang w:val="es-CO"/>
              </w:rPr>
              <w:t>14</w:t>
            </w:r>
            <w:r w:rsidR="0023346F" w:rsidRPr="00786056">
              <w:rPr>
                <w:rFonts w:eastAsia="Calibri" w:cstheme="minorHAnsi"/>
                <w:sz w:val="21"/>
                <w:szCs w:val="21"/>
                <w:lang w:val="es-CO"/>
              </w:rPr>
              <w:t xml:space="preserve"> DE </w:t>
            </w:r>
            <w:r>
              <w:rPr>
                <w:rFonts w:eastAsia="Calibri" w:cstheme="minorHAnsi"/>
                <w:sz w:val="21"/>
                <w:szCs w:val="21"/>
                <w:lang w:val="es-CO"/>
              </w:rPr>
              <w:t>ENERO</w:t>
            </w:r>
            <w:r w:rsidR="0023346F" w:rsidRPr="00786056">
              <w:rPr>
                <w:rFonts w:eastAsia="Calibri" w:cstheme="minorHAnsi"/>
                <w:sz w:val="21"/>
                <w:szCs w:val="21"/>
                <w:lang w:val="es-CO"/>
              </w:rPr>
              <w:t xml:space="preserve"> DE 202</w:t>
            </w:r>
            <w:r>
              <w:rPr>
                <w:rFonts w:eastAsia="Calibri" w:cstheme="minorHAnsi"/>
                <w:sz w:val="21"/>
                <w:szCs w:val="21"/>
                <w:lang w:val="es-CO"/>
              </w:rPr>
              <w:t>5</w:t>
            </w:r>
          </w:p>
        </w:tc>
      </w:tr>
      <w:tr w:rsidR="00A06D0B" w:rsidRPr="00786056" w14:paraId="090C674D"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101A1EC" w14:textId="77777777" w:rsidR="00675B7A" w:rsidRPr="00786056" w:rsidRDefault="00F56E1E"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DEL SINIESTRO</w:t>
            </w:r>
          </w:p>
          <w:p w14:paraId="16ADD120" w14:textId="77777777" w:rsidR="00675B7A" w:rsidRPr="00786056" w:rsidRDefault="00675B7A"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Claims Made: _____</w:t>
            </w:r>
          </w:p>
          <w:p w14:paraId="253C6BCE" w14:textId="47BE2B40" w:rsidR="00675B7A" w:rsidRPr="00786056" w:rsidRDefault="00CB13AC"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Ocurrencia:</w:t>
            </w:r>
            <w:r w:rsidR="00675B7A" w:rsidRPr="00786056">
              <w:rPr>
                <w:rFonts w:eastAsia="Calibri" w:cstheme="minorHAnsi"/>
                <w:b/>
                <w:bCs/>
                <w:position w:val="1"/>
                <w:sz w:val="21"/>
                <w:szCs w:val="21"/>
                <w:lang w:val="es-CO"/>
              </w:rPr>
              <w:t xml:space="preserve"> __</w:t>
            </w:r>
            <w:r w:rsidR="0023346F" w:rsidRPr="00786056">
              <w:rPr>
                <w:rFonts w:eastAsia="Calibri" w:cstheme="minorHAnsi"/>
                <w:b/>
                <w:bCs/>
                <w:position w:val="1"/>
                <w:sz w:val="21"/>
                <w:szCs w:val="21"/>
                <w:lang w:val="es-CO"/>
              </w:rPr>
              <w:t>X</w:t>
            </w:r>
            <w:r w:rsidR="00675B7A" w:rsidRPr="00786056">
              <w:rPr>
                <w:rFonts w:eastAsia="Calibri" w:cstheme="minorHAnsi"/>
                <w:b/>
                <w:bCs/>
                <w:position w:val="1"/>
                <w:sz w:val="21"/>
                <w:szCs w:val="21"/>
                <w:lang w:val="es-CO"/>
              </w:rPr>
              <w:t>___</w:t>
            </w:r>
          </w:p>
          <w:p w14:paraId="1A0073A3" w14:textId="77777777" w:rsidR="00675B7A" w:rsidRPr="00786056" w:rsidRDefault="00675B7A"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Descubrimiento: _____</w:t>
            </w:r>
          </w:p>
        </w:tc>
        <w:tc>
          <w:tcPr>
            <w:tcW w:w="7482" w:type="dxa"/>
            <w:tcBorders>
              <w:top w:val="single" w:sz="8" w:space="0" w:color="000000"/>
              <w:left w:val="single" w:sz="8" w:space="0" w:color="000000"/>
              <w:bottom w:val="single" w:sz="8" w:space="0" w:color="000000"/>
              <w:right w:val="single" w:sz="8" w:space="0" w:color="000000"/>
            </w:tcBorders>
          </w:tcPr>
          <w:p w14:paraId="1E60F7BA" w14:textId="303624F1" w:rsidR="00A06D0B" w:rsidRPr="00786056" w:rsidRDefault="00752537">
            <w:pPr>
              <w:spacing w:after="0" w:line="267" w:lineRule="exact"/>
              <w:ind w:left="59" w:right="-20"/>
              <w:rPr>
                <w:rFonts w:eastAsia="Calibri" w:cstheme="minorHAnsi"/>
                <w:sz w:val="21"/>
                <w:szCs w:val="21"/>
                <w:lang w:val="es-CO"/>
              </w:rPr>
            </w:pPr>
            <w:r>
              <w:rPr>
                <w:rFonts w:eastAsia="Calibri" w:cstheme="minorHAnsi"/>
                <w:sz w:val="21"/>
                <w:szCs w:val="21"/>
                <w:lang w:val="es-CO"/>
              </w:rPr>
              <w:t>23</w:t>
            </w:r>
            <w:r w:rsidR="0023346F" w:rsidRPr="00786056">
              <w:rPr>
                <w:rFonts w:eastAsia="Calibri" w:cstheme="minorHAnsi"/>
                <w:sz w:val="21"/>
                <w:szCs w:val="21"/>
                <w:lang w:val="es-CO"/>
              </w:rPr>
              <w:t xml:space="preserve"> DE </w:t>
            </w:r>
            <w:r>
              <w:rPr>
                <w:rFonts w:eastAsia="Calibri" w:cstheme="minorHAnsi"/>
                <w:sz w:val="21"/>
                <w:szCs w:val="21"/>
                <w:lang w:val="es-CO"/>
              </w:rPr>
              <w:t>MAYO</w:t>
            </w:r>
            <w:r w:rsidR="0023346F" w:rsidRPr="00786056">
              <w:rPr>
                <w:rFonts w:eastAsia="Calibri" w:cstheme="minorHAnsi"/>
                <w:sz w:val="21"/>
                <w:szCs w:val="21"/>
                <w:lang w:val="es-CO"/>
              </w:rPr>
              <w:t xml:space="preserve"> DE 202</w:t>
            </w:r>
            <w:r w:rsidR="00E63E2F">
              <w:rPr>
                <w:rFonts w:eastAsia="Calibri" w:cstheme="minorHAnsi"/>
                <w:sz w:val="21"/>
                <w:szCs w:val="21"/>
                <w:lang w:val="es-CO"/>
              </w:rPr>
              <w:t>2</w:t>
            </w:r>
          </w:p>
        </w:tc>
      </w:tr>
      <w:tr w:rsidR="00F56E1E" w:rsidRPr="00786056" w14:paraId="5BBDB62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BE3A873" w14:textId="77777777" w:rsidR="00F56E1E" w:rsidRPr="00786056" w:rsidRDefault="00F56E1E">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 LOS HECHOS</w:t>
            </w:r>
          </w:p>
        </w:tc>
        <w:tc>
          <w:tcPr>
            <w:tcW w:w="7482" w:type="dxa"/>
            <w:tcBorders>
              <w:top w:val="single" w:sz="8" w:space="0" w:color="000000"/>
              <w:left w:val="single" w:sz="8" w:space="0" w:color="000000"/>
              <w:bottom w:val="single" w:sz="8" w:space="0" w:color="000000"/>
              <w:right w:val="single" w:sz="8" w:space="0" w:color="000000"/>
            </w:tcBorders>
          </w:tcPr>
          <w:p w14:paraId="27C21573" w14:textId="2E33BC3A" w:rsidR="00F56E1E" w:rsidRPr="00786056" w:rsidRDefault="002865D4">
            <w:pPr>
              <w:spacing w:after="0" w:line="267" w:lineRule="exact"/>
              <w:ind w:left="59" w:right="-20"/>
              <w:rPr>
                <w:rFonts w:eastAsia="Calibri" w:cstheme="minorHAnsi"/>
                <w:sz w:val="21"/>
                <w:szCs w:val="21"/>
                <w:lang w:val="es-CO"/>
              </w:rPr>
            </w:pPr>
            <w:r>
              <w:rPr>
                <w:rFonts w:eastAsia="Calibri" w:cstheme="minorHAnsi"/>
                <w:sz w:val="21"/>
                <w:szCs w:val="21"/>
                <w:lang w:val="es-CO"/>
              </w:rPr>
              <w:t>23</w:t>
            </w:r>
            <w:r w:rsidRPr="00786056">
              <w:rPr>
                <w:rFonts w:eastAsia="Calibri" w:cstheme="minorHAnsi"/>
                <w:sz w:val="21"/>
                <w:szCs w:val="21"/>
                <w:lang w:val="es-CO"/>
              </w:rPr>
              <w:t xml:space="preserve"> DE </w:t>
            </w:r>
            <w:r>
              <w:rPr>
                <w:rFonts w:eastAsia="Calibri" w:cstheme="minorHAnsi"/>
                <w:sz w:val="21"/>
                <w:szCs w:val="21"/>
                <w:lang w:val="es-CO"/>
              </w:rPr>
              <w:t>MAYO</w:t>
            </w:r>
            <w:r w:rsidRPr="00786056">
              <w:rPr>
                <w:rFonts w:eastAsia="Calibri" w:cstheme="minorHAnsi"/>
                <w:sz w:val="21"/>
                <w:szCs w:val="21"/>
                <w:lang w:val="es-CO"/>
              </w:rPr>
              <w:t xml:space="preserve"> DE 202</w:t>
            </w:r>
            <w:r w:rsidR="0011364F">
              <w:rPr>
                <w:rFonts w:eastAsia="Calibri" w:cstheme="minorHAnsi"/>
                <w:sz w:val="21"/>
                <w:szCs w:val="21"/>
                <w:lang w:val="es-CO"/>
              </w:rPr>
              <w:t>2</w:t>
            </w:r>
          </w:p>
        </w:tc>
      </w:tr>
      <w:tr w:rsidR="00A06D0B" w:rsidRPr="00786056" w14:paraId="25AAEB7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8025DD9"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HE</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HOS</w:t>
            </w:r>
          </w:p>
        </w:tc>
        <w:tc>
          <w:tcPr>
            <w:tcW w:w="7482" w:type="dxa"/>
            <w:tcBorders>
              <w:top w:val="single" w:sz="8" w:space="0" w:color="000000"/>
              <w:left w:val="single" w:sz="8" w:space="0" w:color="000000"/>
              <w:bottom w:val="single" w:sz="8" w:space="0" w:color="000000"/>
              <w:right w:val="single" w:sz="8" w:space="0" w:color="000000"/>
            </w:tcBorders>
          </w:tcPr>
          <w:p w14:paraId="2FFD5B79" w14:textId="69D7A89A" w:rsidR="00A06D0B" w:rsidRPr="00786056" w:rsidRDefault="002865D4" w:rsidP="00713BAA">
            <w:pPr>
              <w:spacing w:after="0" w:line="264" w:lineRule="exact"/>
              <w:ind w:left="59" w:right="7"/>
              <w:jc w:val="both"/>
              <w:rPr>
                <w:rFonts w:eastAsia="Calibri" w:cstheme="minorHAnsi"/>
                <w:sz w:val="21"/>
                <w:szCs w:val="21"/>
                <w:lang w:val="es-CO"/>
              </w:rPr>
            </w:pPr>
            <w:r w:rsidRPr="002865D4">
              <w:rPr>
                <w:rFonts w:eastAsia="Calibri" w:cstheme="minorHAnsi"/>
                <w:sz w:val="21"/>
                <w:szCs w:val="21"/>
                <w:lang w:val="es-CO"/>
              </w:rPr>
              <w:t xml:space="preserve">Según el relato de la demanda, el 23 de Mayo de 2022 alrededor de las 8:16PM el señor LUIS FERNANDO TELLO se movilizaba en la motocicleta de placas UWK49E, por el sector de la Calle 73 con Carrera 11 de la ciudad de Cali cuando debido al mal estado de la vía no le fue posible visibilizar oportunamente un hueco en el que cayó la motocicleta causándole trauma en hombros, codos y antebrazos bilaterales, trauma en rodilla derecha con dolor y limitación, traumatismo de tendón del manguito rotatorio del hombro, traumatismos múltiples no especificados, ruptura completa sin retracción del extremo proximal de supraespinoso, </w:t>
            </w:r>
            <w:proofErr w:type="spellStart"/>
            <w:r w:rsidRPr="002865D4">
              <w:rPr>
                <w:rFonts w:eastAsia="Calibri" w:cstheme="minorHAnsi"/>
                <w:sz w:val="21"/>
                <w:szCs w:val="21"/>
                <w:lang w:val="es-CO"/>
              </w:rPr>
              <w:t>tendinosis</w:t>
            </w:r>
            <w:proofErr w:type="spellEnd"/>
            <w:r w:rsidRPr="002865D4">
              <w:rPr>
                <w:rFonts w:eastAsia="Calibri" w:cstheme="minorHAnsi"/>
                <w:sz w:val="21"/>
                <w:szCs w:val="21"/>
                <w:lang w:val="es-CO"/>
              </w:rPr>
              <w:t xml:space="preserve"> del infraespinoso y pequeño foco de ruptura parcial, bursitis subacromial y </w:t>
            </w:r>
            <w:proofErr w:type="spellStart"/>
            <w:r w:rsidRPr="002865D4">
              <w:rPr>
                <w:rFonts w:eastAsia="Calibri" w:cstheme="minorHAnsi"/>
                <w:sz w:val="21"/>
                <w:szCs w:val="21"/>
                <w:lang w:val="es-CO"/>
              </w:rPr>
              <w:t>tendinosis</w:t>
            </w:r>
            <w:proofErr w:type="spellEnd"/>
            <w:r w:rsidRPr="002865D4">
              <w:rPr>
                <w:rFonts w:eastAsia="Calibri" w:cstheme="minorHAnsi"/>
                <w:sz w:val="21"/>
                <w:szCs w:val="21"/>
                <w:lang w:val="es-CO"/>
              </w:rPr>
              <w:t xml:space="preserve"> del subescapular, lesiones en el hombro, fractura no desplazada del borde más superior de la tuberosidad mayor; ruptura extremo proximal del pequeño foco de ruptura supraespinoso; </w:t>
            </w:r>
            <w:proofErr w:type="spellStart"/>
            <w:r w:rsidRPr="002865D4">
              <w:rPr>
                <w:rFonts w:eastAsia="Calibri" w:cstheme="minorHAnsi"/>
                <w:sz w:val="21"/>
                <w:szCs w:val="21"/>
                <w:lang w:val="es-CO"/>
              </w:rPr>
              <w:t>tendinosis</w:t>
            </w:r>
            <w:proofErr w:type="spellEnd"/>
            <w:r w:rsidRPr="002865D4">
              <w:rPr>
                <w:rFonts w:eastAsia="Calibri" w:cstheme="minorHAnsi"/>
                <w:sz w:val="21"/>
                <w:szCs w:val="21"/>
                <w:lang w:val="es-CO"/>
              </w:rPr>
              <w:t xml:space="preserve"> del infraespinoso y parcial; bursitis subacromial y </w:t>
            </w:r>
            <w:proofErr w:type="spellStart"/>
            <w:r w:rsidRPr="002865D4">
              <w:rPr>
                <w:rFonts w:eastAsia="Calibri" w:cstheme="minorHAnsi"/>
                <w:sz w:val="21"/>
                <w:szCs w:val="21"/>
                <w:lang w:val="es-CO"/>
              </w:rPr>
              <w:t>tendinosis</w:t>
            </w:r>
            <w:proofErr w:type="spellEnd"/>
            <w:r w:rsidRPr="002865D4">
              <w:rPr>
                <w:rFonts w:eastAsia="Calibri" w:cstheme="minorHAnsi"/>
                <w:sz w:val="21"/>
                <w:szCs w:val="21"/>
                <w:lang w:val="es-CO"/>
              </w:rPr>
              <w:t xml:space="preserve"> del subescapular, con quirúrgico. Adicionalmente, las lesiones dejaron graves secuelas que han impedido que el señor LUIS FERNANDO TELLO, pueda continuar con normalidad sus labores diarias y su vida cotidiana, habida cuenta que su movilidad quedo reducida impidiéndole trabajar normalmente y con ello afectado su estabilidad económica, estando incapacitado desde la fecha del accidente hasta el mes de enero del año 2023, es decir por más de ocho (8) meses y quedando con restricciones medicas para realizar su actividad laboral en miras de establecer una pérdida de capacidad laboral, debido a las graves lesiones sufridas en su hombro</w:t>
            </w:r>
            <w:r w:rsidR="0023346F" w:rsidRPr="00786056">
              <w:rPr>
                <w:rFonts w:eastAsia="Calibri" w:cstheme="minorHAnsi"/>
                <w:sz w:val="21"/>
                <w:szCs w:val="21"/>
                <w:lang w:val="es-CO"/>
              </w:rPr>
              <w:t>.</w:t>
            </w:r>
          </w:p>
        </w:tc>
      </w:tr>
      <w:tr w:rsidR="00A06D0B" w:rsidRPr="00786056" w14:paraId="467CDCD4"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9187BD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PR</w:t>
            </w:r>
            <w:r w:rsidRPr="00786056">
              <w:rPr>
                <w:rFonts w:eastAsia="Calibri" w:cstheme="minorHAnsi"/>
                <w:b/>
                <w:bCs/>
                <w:spacing w:val="1"/>
                <w:position w:val="1"/>
                <w:sz w:val="21"/>
                <w:szCs w:val="21"/>
                <w:lang w:val="es-CO"/>
              </w:rPr>
              <w:t>E</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S</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p>
        </w:tc>
        <w:tc>
          <w:tcPr>
            <w:tcW w:w="7482" w:type="dxa"/>
            <w:tcBorders>
              <w:top w:val="single" w:sz="8" w:space="0" w:color="000000"/>
              <w:left w:val="single" w:sz="8" w:space="0" w:color="000000"/>
              <w:bottom w:val="single" w:sz="8" w:space="0" w:color="000000"/>
              <w:right w:val="single" w:sz="8" w:space="0" w:color="000000"/>
            </w:tcBorders>
          </w:tcPr>
          <w:p w14:paraId="70251987" w14:textId="16F1660D"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Lucro cesante</w:t>
            </w:r>
            <w:r w:rsidRPr="00786056">
              <w:rPr>
                <w:rFonts w:eastAsia="Calibri" w:cstheme="minorHAnsi"/>
                <w:sz w:val="21"/>
                <w:szCs w:val="21"/>
                <w:lang w:val="es-CO"/>
              </w:rPr>
              <w:t xml:space="preserve">: </w:t>
            </w:r>
            <w:r w:rsidR="002865D4" w:rsidRPr="002865D4">
              <w:rPr>
                <w:rFonts w:eastAsia="Calibri" w:cstheme="minorHAnsi"/>
                <w:sz w:val="21"/>
                <w:szCs w:val="21"/>
                <w:lang w:val="es-CO"/>
              </w:rPr>
              <w:t>$11.335.619</w:t>
            </w:r>
          </w:p>
          <w:p w14:paraId="48CAC610" w14:textId="77777777" w:rsidR="00474C09" w:rsidRPr="00786056" w:rsidRDefault="00474C09" w:rsidP="00AC128C">
            <w:pPr>
              <w:spacing w:after="0" w:line="240" w:lineRule="auto"/>
              <w:ind w:left="59" w:right="-2"/>
              <w:jc w:val="both"/>
              <w:rPr>
                <w:rFonts w:eastAsia="Calibri" w:cstheme="minorHAnsi"/>
                <w:b/>
                <w:bCs/>
                <w:sz w:val="21"/>
                <w:szCs w:val="21"/>
                <w:lang w:val="es-CO"/>
              </w:rPr>
            </w:pPr>
          </w:p>
          <w:p w14:paraId="5A514BF9" w14:textId="4DD9B9D0"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emergente</w:t>
            </w:r>
            <w:r w:rsidRPr="00786056">
              <w:rPr>
                <w:rFonts w:eastAsia="Calibri" w:cstheme="minorHAnsi"/>
                <w:sz w:val="21"/>
                <w:szCs w:val="21"/>
                <w:lang w:val="es-CO"/>
              </w:rPr>
              <w:t xml:space="preserve">: </w:t>
            </w:r>
            <w:r w:rsidR="005B1DE9">
              <w:rPr>
                <w:rFonts w:eastAsia="Calibri" w:cstheme="minorHAnsi"/>
                <w:sz w:val="21"/>
                <w:szCs w:val="21"/>
                <w:lang w:val="es-CO"/>
              </w:rPr>
              <w:t>2</w:t>
            </w:r>
            <w:r w:rsidR="005B1DE9" w:rsidRPr="00786056">
              <w:rPr>
                <w:rFonts w:eastAsia="Calibri" w:cstheme="minorHAnsi"/>
                <w:sz w:val="21"/>
                <w:szCs w:val="21"/>
                <w:lang w:val="es-CO"/>
              </w:rPr>
              <w:t>.</w:t>
            </w:r>
            <w:r w:rsidR="002865D4">
              <w:rPr>
                <w:rFonts w:eastAsia="Calibri" w:cstheme="minorHAnsi"/>
                <w:sz w:val="21"/>
                <w:szCs w:val="21"/>
                <w:lang w:val="es-CO"/>
              </w:rPr>
              <w:t>163</w:t>
            </w:r>
            <w:r w:rsidR="005B1DE9" w:rsidRPr="00786056">
              <w:rPr>
                <w:rFonts w:eastAsia="Calibri" w:cstheme="minorHAnsi"/>
                <w:sz w:val="21"/>
                <w:szCs w:val="21"/>
                <w:lang w:val="es-CO"/>
              </w:rPr>
              <w:t>.0</w:t>
            </w:r>
            <w:r w:rsidR="002865D4">
              <w:rPr>
                <w:rFonts w:eastAsia="Calibri" w:cstheme="minorHAnsi"/>
                <w:sz w:val="21"/>
                <w:szCs w:val="21"/>
                <w:lang w:val="es-CO"/>
              </w:rPr>
              <w:t>5</w:t>
            </w:r>
            <w:r w:rsidR="005B1DE9" w:rsidRPr="00786056">
              <w:rPr>
                <w:rFonts w:eastAsia="Calibri" w:cstheme="minorHAnsi"/>
                <w:sz w:val="21"/>
                <w:szCs w:val="21"/>
                <w:lang w:val="es-CO"/>
              </w:rPr>
              <w:t>0</w:t>
            </w:r>
          </w:p>
          <w:p w14:paraId="48563260" w14:textId="77777777" w:rsidR="00474C09" w:rsidRPr="00786056" w:rsidRDefault="00474C09" w:rsidP="00474C09">
            <w:pPr>
              <w:spacing w:after="0" w:line="240" w:lineRule="auto"/>
              <w:ind w:left="59" w:right="-2"/>
              <w:jc w:val="both"/>
              <w:rPr>
                <w:rFonts w:eastAsia="Calibri" w:cstheme="minorHAnsi"/>
                <w:b/>
                <w:bCs/>
                <w:sz w:val="21"/>
                <w:szCs w:val="21"/>
                <w:lang w:val="es-CO"/>
              </w:rPr>
            </w:pPr>
          </w:p>
          <w:p w14:paraId="2B53BCC0" w14:textId="63D5DC6A" w:rsidR="00A06D0B" w:rsidRPr="00786056" w:rsidRDefault="00AC128C" w:rsidP="00032D4D">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Perjuicios morales</w:t>
            </w:r>
            <w:r w:rsidRPr="00786056">
              <w:rPr>
                <w:rFonts w:eastAsia="Calibri" w:cstheme="minorHAnsi"/>
                <w:sz w:val="21"/>
                <w:szCs w:val="21"/>
                <w:lang w:val="es-CO"/>
              </w:rPr>
              <w:t xml:space="preserve">: </w:t>
            </w:r>
            <w:r w:rsidR="002865D4" w:rsidRPr="002865D4">
              <w:rPr>
                <w:rFonts w:eastAsia="Calibri" w:cstheme="minorHAnsi"/>
                <w:sz w:val="21"/>
                <w:szCs w:val="21"/>
                <w:lang w:val="es-CO"/>
              </w:rPr>
              <w:t>$1</w:t>
            </w:r>
            <w:r w:rsidR="003B1067">
              <w:rPr>
                <w:rFonts w:eastAsia="Calibri" w:cstheme="minorHAnsi"/>
                <w:sz w:val="21"/>
                <w:szCs w:val="21"/>
                <w:lang w:val="es-CO"/>
              </w:rPr>
              <w:t>4</w:t>
            </w:r>
            <w:r w:rsidR="002865D4" w:rsidRPr="002865D4">
              <w:rPr>
                <w:rFonts w:eastAsia="Calibri" w:cstheme="minorHAnsi"/>
                <w:sz w:val="21"/>
                <w:szCs w:val="21"/>
                <w:lang w:val="es-CO"/>
              </w:rPr>
              <w:t>.</w:t>
            </w:r>
            <w:r w:rsidR="003B1067">
              <w:rPr>
                <w:rFonts w:eastAsia="Calibri" w:cstheme="minorHAnsi"/>
                <w:sz w:val="21"/>
                <w:szCs w:val="21"/>
                <w:lang w:val="es-CO"/>
              </w:rPr>
              <w:t>2</w:t>
            </w:r>
            <w:r w:rsidR="002865D4" w:rsidRPr="002865D4">
              <w:rPr>
                <w:rFonts w:eastAsia="Calibri" w:cstheme="minorHAnsi"/>
                <w:sz w:val="21"/>
                <w:szCs w:val="21"/>
                <w:lang w:val="es-CO"/>
              </w:rPr>
              <w:t>35.</w:t>
            </w:r>
            <w:r w:rsidR="003B1067">
              <w:rPr>
                <w:rFonts w:eastAsia="Calibri" w:cstheme="minorHAnsi"/>
                <w:sz w:val="21"/>
                <w:szCs w:val="21"/>
                <w:lang w:val="es-CO"/>
              </w:rPr>
              <w:t>000</w:t>
            </w:r>
          </w:p>
        </w:tc>
      </w:tr>
      <w:tr w:rsidR="00A06D0B" w:rsidRPr="00786056" w14:paraId="3BB4AA49"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F308B01"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lastRenderedPageBreak/>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AS</w:t>
            </w:r>
          </w:p>
          <w:p w14:paraId="445184F9"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PR</w:t>
            </w:r>
            <w:r w:rsidRPr="00786056">
              <w:rPr>
                <w:rFonts w:eastAsia="Calibri" w:cstheme="minorHAnsi"/>
                <w:b/>
                <w:bCs/>
                <w:spacing w:val="1"/>
                <w:sz w:val="21"/>
                <w:szCs w:val="21"/>
                <w:lang w:val="es-CO"/>
              </w:rPr>
              <w:t>E</w:t>
            </w:r>
            <w:r w:rsidRPr="00786056">
              <w:rPr>
                <w:rFonts w:eastAsia="Calibri" w:cstheme="minorHAnsi"/>
                <w:b/>
                <w:bCs/>
                <w:spacing w:val="-1"/>
                <w:sz w:val="21"/>
                <w:szCs w:val="21"/>
                <w:lang w:val="es-CO"/>
              </w:rPr>
              <w:t>T</w:t>
            </w:r>
            <w:r w:rsidRPr="00786056">
              <w:rPr>
                <w:rFonts w:eastAsia="Calibri" w:cstheme="minorHAnsi"/>
                <w:b/>
                <w:bCs/>
                <w:sz w:val="21"/>
                <w:szCs w:val="21"/>
                <w:lang w:val="es-CO"/>
              </w:rPr>
              <w:t>E</w:t>
            </w:r>
            <w:r w:rsidRPr="00786056">
              <w:rPr>
                <w:rFonts w:eastAsia="Calibri" w:cstheme="minorHAnsi"/>
                <w:b/>
                <w:bCs/>
                <w:spacing w:val="1"/>
                <w:sz w:val="21"/>
                <w:szCs w:val="21"/>
                <w:lang w:val="es-CO"/>
              </w:rPr>
              <w:t>N</w:t>
            </w:r>
            <w:r w:rsidRPr="00786056">
              <w:rPr>
                <w:rFonts w:eastAsia="Calibri" w:cstheme="minorHAnsi"/>
                <w:b/>
                <w:bCs/>
                <w:spacing w:val="-3"/>
                <w:sz w:val="21"/>
                <w:szCs w:val="21"/>
                <w:lang w:val="es-CO"/>
              </w:rPr>
              <w:t>S</w:t>
            </w:r>
            <w:r w:rsidRPr="00786056">
              <w:rPr>
                <w:rFonts w:eastAsia="Calibri" w:cstheme="minorHAnsi"/>
                <w:b/>
                <w:bCs/>
                <w:spacing w:val="1"/>
                <w:sz w:val="21"/>
                <w:szCs w:val="21"/>
                <w:lang w:val="es-CO"/>
              </w:rPr>
              <w:t>I</w:t>
            </w:r>
            <w:r w:rsidRPr="00786056">
              <w:rPr>
                <w:rFonts w:eastAsia="Calibri" w:cstheme="minorHAnsi"/>
                <w:b/>
                <w:bCs/>
                <w:sz w:val="21"/>
                <w:szCs w:val="21"/>
                <w:lang w:val="es-CO"/>
              </w:rPr>
              <w:t>O</w:t>
            </w:r>
            <w:r w:rsidRPr="00786056">
              <w:rPr>
                <w:rFonts w:eastAsia="Calibri" w:cstheme="minorHAnsi"/>
                <w:b/>
                <w:bCs/>
                <w:spacing w:val="-2"/>
                <w:sz w:val="21"/>
                <w:szCs w:val="21"/>
                <w:lang w:val="es-CO"/>
              </w:rPr>
              <w:t>N</w:t>
            </w:r>
            <w:r w:rsidRPr="00786056">
              <w:rPr>
                <w:rFonts w:eastAsia="Calibri" w:cstheme="minorHAnsi"/>
                <w:b/>
                <w:bCs/>
                <w:sz w:val="21"/>
                <w:szCs w:val="21"/>
                <w:lang w:val="es-CO"/>
              </w:rPr>
              <w:t>ES</w:t>
            </w:r>
          </w:p>
        </w:tc>
        <w:tc>
          <w:tcPr>
            <w:tcW w:w="7482" w:type="dxa"/>
            <w:tcBorders>
              <w:top w:val="single" w:sz="8" w:space="0" w:color="000000"/>
              <w:left w:val="single" w:sz="8" w:space="0" w:color="000000"/>
              <w:bottom w:val="single" w:sz="8" w:space="0" w:color="000000"/>
              <w:right w:val="single" w:sz="8" w:space="0" w:color="000000"/>
            </w:tcBorders>
          </w:tcPr>
          <w:p w14:paraId="0667159C" w14:textId="3127630C" w:rsidR="00A06D0B" w:rsidRPr="00786056" w:rsidRDefault="00032D4D" w:rsidP="003C401A">
            <w:pPr>
              <w:spacing w:after="0" w:line="240" w:lineRule="auto"/>
              <w:ind w:right="39"/>
              <w:rPr>
                <w:rFonts w:eastAsia="Calibri" w:cstheme="minorHAnsi"/>
                <w:sz w:val="21"/>
                <w:szCs w:val="21"/>
                <w:lang w:val="es-CO"/>
              </w:rPr>
            </w:pPr>
            <w:r w:rsidRPr="00032D4D">
              <w:rPr>
                <w:rFonts w:eastAsia="Calibri" w:cstheme="minorHAnsi"/>
                <w:sz w:val="21"/>
                <w:szCs w:val="21"/>
                <w:lang w:val="es-CO"/>
              </w:rPr>
              <w:t>$2</w:t>
            </w:r>
            <w:r w:rsidR="001861D9">
              <w:rPr>
                <w:rFonts w:eastAsia="Calibri" w:cstheme="minorHAnsi"/>
                <w:sz w:val="21"/>
                <w:szCs w:val="21"/>
                <w:lang w:val="es-CO"/>
              </w:rPr>
              <w:t>7</w:t>
            </w:r>
            <w:r w:rsidRPr="00032D4D">
              <w:rPr>
                <w:rFonts w:eastAsia="Calibri" w:cstheme="minorHAnsi"/>
                <w:sz w:val="21"/>
                <w:szCs w:val="21"/>
                <w:lang w:val="es-CO"/>
              </w:rPr>
              <w:t>.</w:t>
            </w:r>
            <w:r w:rsidR="001861D9">
              <w:rPr>
                <w:rFonts w:eastAsia="Calibri" w:cstheme="minorHAnsi"/>
                <w:sz w:val="21"/>
                <w:szCs w:val="21"/>
                <w:lang w:val="es-CO"/>
              </w:rPr>
              <w:t>773</w:t>
            </w:r>
            <w:r w:rsidRPr="00032D4D">
              <w:rPr>
                <w:rFonts w:eastAsia="Calibri" w:cstheme="minorHAnsi"/>
                <w:sz w:val="21"/>
                <w:szCs w:val="21"/>
                <w:lang w:val="es-CO"/>
              </w:rPr>
              <w:t>.</w:t>
            </w:r>
            <w:r w:rsidR="001861D9">
              <w:rPr>
                <w:rFonts w:eastAsia="Calibri" w:cstheme="minorHAnsi"/>
                <w:sz w:val="21"/>
                <w:szCs w:val="21"/>
                <w:lang w:val="es-CO"/>
              </w:rPr>
              <w:t>669</w:t>
            </w:r>
            <w:r w:rsidR="00474C09" w:rsidRPr="00786056">
              <w:rPr>
                <w:rFonts w:eastAsia="Calibri" w:cstheme="minorHAnsi"/>
                <w:sz w:val="21"/>
                <w:szCs w:val="21"/>
                <w:lang w:val="es-CO"/>
              </w:rPr>
              <w:t xml:space="preserve"> calculados con el SMMLV de 202</w:t>
            </w:r>
            <w:r w:rsidR="00061613">
              <w:rPr>
                <w:rFonts w:eastAsia="Calibri" w:cstheme="minorHAnsi"/>
                <w:sz w:val="21"/>
                <w:szCs w:val="21"/>
                <w:lang w:val="es-CO"/>
              </w:rPr>
              <w:t>5</w:t>
            </w:r>
          </w:p>
        </w:tc>
      </w:tr>
      <w:tr w:rsidR="00A06D0B" w:rsidRPr="00786056" w14:paraId="1A648038"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CF5773B" w14:textId="77777777" w:rsidR="00A06D0B"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spacing w:val="-1"/>
                <w:position w:val="1"/>
                <w:sz w:val="21"/>
                <w:szCs w:val="21"/>
                <w:lang w:val="es-CO"/>
              </w:rPr>
              <w:t>V</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L</w:t>
            </w:r>
            <w:r w:rsidRPr="00786056">
              <w:rPr>
                <w:rFonts w:eastAsia="Calibri" w:cstheme="minorHAnsi"/>
                <w:b/>
                <w:bCs/>
                <w:position w:val="1"/>
                <w:sz w:val="21"/>
                <w:szCs w:val="21"/>
                <w:lang w:val="es-CO"/>
              </w:rPr>
              <w:t>OR</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p w14:paraId="0FEBDB91" w14:textId="4846EB59" w:rsidR="00F56E1E" w:rsidRPr="00786056" w:rsidRDefault="0023346F">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(Pretensiones</w:t>
            </w:r>
            <w:r w:rsidR="00F56E1E" w:rsidRPr="00786056">
              <w:rPr>
                <w:rFonts w:eastAsia="Calibri" w:cstheme="minorHAnsi"/>
                <w:b/>
                <w:bCs/>
                <w:position w:val="1"/>
                <w:sz w:val="21"/>
                <w:szCs w:val="21"/>
                <w:lang w:val="es-CO"/>
              </w:rPr>
              <w:t xml:space="preserve"> Objetivadas)</w:t>
            </w:r>
          </w:p>
        </w:tc>
        <w:tc>
          <w:tcPr>
            <w:tcW w:w="7482" w:type="dxa"/>
            <w:tcBorders>
              <w:top w:val="single" w:sz="8" w:space="0" w:color="000000"/>
              <w:left w:val="single" w:sz="8" w:space="0" w:color="000000"/>
              <w:bottom w:val="single" w:sz="8" w:space="0" w:color="000000"/>
              <w:right w:val="single" w:sz="8" w:space="0" w:color="000000"/>
            </w:tcBorders>
          </w:tcPr>
          <w:p w14:paraId="47384ED9" w14:textId="16187093" w:rsidR="002F01CC" w:rsidRPr="002F01CC" w:rsidRDefault="002F01CC" w:rsidP="002F01CC">
            <w:pPr>
              <w:spacing w:after="0" w:line="240" w:lineRule="auto"/>
              <w:ind w:left="59" w:right="-2"/>
              <w:jc w:val="both"/>
              <w:rPr>
                <w:rFonts w:eastAsia="Calibri" w:cstheme="minorHAnsi"/>
                <w:sz w:val="21"/>
                <w:szCs w:val="21"/>
                <w:lang w:val="es-CO"/>
              </w:rPr>
            </w:pPr>
            <w:r w:rsidRPr="002F01CC">
              <w:rPr>
                <w:rFonts w:eastAsia="Calibri" w:cstheme="minorHAnsi"/>
                <w:sz w:val="21"/>
                <w:szCs w:val="21"/>
                <w:lang w:val="es-CO"/>
              </w:rPr>
              <w:t xml:space="preserve">Total: </w:t>
            </w:r>
            <w:r w:rsidR="00AD07F3" w:rsidRPr="00AD07F3">
              <w:rPr>
                <w:rFonts w:eastAsia="Calibri" w:cstheme="minorHAnsi"/>
                <w:b/>
                <w:bCs/>
                <w:sz w:val="21"/>
                <w:szCs w:val="21"/>
                <w:lang w:val="es-CO"/>
              </w:rPr>
              <w:t>$2.787.540</w:t>
            </w:r>
            <w:r w:rsidRPr="002F01CC">
              <w:rPr>
                <w:rFonts w:eastAsia="Calibri" w:cstheme="minorHAnsi"/>
                <w:sz w:val="21"/>
                <w:szCs w:val="21"/>
                <w:lang w:val="es-CO"/>
              </w:rPr>
              <w:t xml:space="preserve">. A este valor se llegó tomando el reconocimiento de 10 SMMLV por daño moral, lo cual arroja un resultado de $14.235.000 (liquidado con el SMMLV de 2025). A este valor se debe restar el deducible pactado (5% de la pérdida o mínimo 3 SMMLV), en este caso se toman los 3 SMMLV ($4.279.500), lo cual arroja un total de $9.955.500, valor del cual se debe calcular el porcentaje de coaseguro asumido por </w:t>
            </w:r>
            <w:r>
              <w:rPr>
                <w:rFonts w:eastAsia="Calibri" w:cstheme="minorHAnsi"/>
                <w:sz w:val="21"/>
                <w:szCs w:val="21"/>
                <w:lang w:val="es-CO"/>
              </w:rPr>
              <w:t>CHUBB</w:t>
            </w:r>
            <w:r w:rsidRPr="002F01CC">
              <w:rPr>
                <w:rFonts w:eastAsia="Calibri" w:cstheme="minorHAnsi"/>
                <w:sz w:val="21"/>
                <w:szCs w:val="21"/>
                <w:lang w:val="es-CO"/>
              </w:rPr>
              <w:t xml:space="preserve"> Seguros, que en este caso es del 2</w:t>
            </w:r>
            <w:r>
              <w:rPr>
                <w:rFonts w:eastAsia="Calibri" w:cstheme="minorHAnsi"/>
                <w:sz w:val="21"/>
                <w:szCs w:val="21"/>
                <w:lang w:val="es-CO"/>
              </w:rPr>
              <w:t>8</w:t>
            </w:r>
            <w:r w:rsidRPr="002F01CC">
              <w:rPr>
                <w:rFonts w:eastAsia="Calibri" w:cstheme="minorHAnsi"/>
                <w:sz w:val="21"/>
                <w:szCs w:val="21"/>
                <w:lang w:val="es-CO"/>
              </w:rPr>
              <w:t>%, lo que arroja un total de $</w:t>
            </w:r>
            <w:r w:rsidR="0046782B">
              <w:rPr>
                <w:rFonts w:eastAsia="Calibri" w:cstheme="minorHAnsi"/>
                <w:sz w:val="21"/>
                <w:szCs w:val="21"/>
                <w:lang w:val="es-CO"/>
              </w:rPr>
              <w:t>2</w:t>
            </w:r>
            <w:r w:rsidRPr="002F01CC">
              <w:rPr>
                <w:rFonts w:eastAsia="Calibri" w:cstheme="minorHAnsi"/>
                <w:sz w:val="21"/>
                <w:szCs w:val="21"/>
                <w:lang w:val="es-CO"/>
              </w:rPr>
              <w:t>.</w:t>
            </w:r>
            <w:r w:rsidR="0046782B">
              <w:rPr>
                <w:rFonts w:eastAsia="Calibri" w:cstheme="minorHAnsi"/>
                <w:sz w:val="21"/>
                <w:szCs w:val="21"/>
                <w:lang w:val="es-CO"/>
              </w:rPr>
              <w:t>787</w:t>
            </w:r>
            <w:r w:rsidRPr="002F01CC">
              <w:rPr>
                <w:rFonts w:eastAsia="Calibri" w:cstheme="minorHAnsi"/>
                <w:sz w:val="21"/>
                <w:szCs w:val="21"/>
                <w:lang w:val="es-CO"/>
              </w:rPr>
              <w:t>.</w:t>
            </w:r>
            <w:r w:rsidR="0046782B">
              <w:rPr>
                <w:rFonts w:eastAsia="Calibri" w:cstheme="minorHAnsi"/>
                <w:sz w:val="21"/>
                <w:szCs w:val="21"/>
                <w:lang w:val="es-CO"/>
              </w:rPr>
              <w:t>54</w:t>
            </w:r>
            <w:r w:rsidRPr="002F01CC">
              <w:rPr>
                <w:rFonts w:eastAsia="Calibri" w:cstheme="minorHAnsi"/>
                <w:sz w:val="21"/>
                <w:szCs w:val="21"/>
                <w:lang w:val="es-CO"/>
              </w:rPr>
              <w:t xml:space="preserve">0. </w:t>
            </w:r>
          </w:p>
          <w:p w14:paraId="5635B665" w14:textId="77777777" w:rsidR="002F01CC" w:rsidRPr="002F01CC" w:rsidRDefault="002F01CC" w:rsidP="002F01CC">
            <w:pPr>
              <w:spacing w:after="0" w:line="240" w:lineRule="auto"/>
              <w:ind w:left="59" w:right="-2"/>
              <w:jc w:val="both"/>
              <w:rPr>
                <w:rFonts w:eastAsia="Calibri" w:cstheme="minorHAnsi"/>
                <w:sz w:val="21"/>
                <w:szCs w:val="21"/>
                <w:lang w:val="es-CO"/>
              </w:rPr>
            </w:pPr>
          </w:p>
          <w:p w14:paraId="665307F0" w14:textId="3D09E768" w:rsidR="00A06D0B" w:rsidRPr="00545BE0" w:rsidRDefault="002F01CC" w:rsidP="002F01CC">
            <w:pPr>
              <w:spacing w:after="0" w:line="240" w:lineRule="auto"/>
              <w:ind w:left="59" w:right="-2"/>
              <w:jc w:val="both"/>
              <w:rPr>
                <w:rFonts w:eastAsia="Calibri" w:cstheme="minorHAnsi"/>
                <w:sz w:val="21"/>
                <w:szCs w:val="21"/>
                <w:lang w:val="es-CO"/>
              </w:rPr>
            </w:pPr>
            <w:r w:rsidRPr="002F01CC">
              <w:rPr>
                <w:rFonts w:eastAsia="Calibri" w:cstheme="minorHAnsi"/>
                <w:sz w:val="21"/>
                <w:szCs w:val="21"/>
                <w:lang w:val="es-CO"/>
              </w:rPr>
              <w:t>Dichos valores reconocidos se detallan de la siguiente manera: Lucro cesante: 0 SMMLV. Toda vez que no se aporta certificación de laboral que refleje la cantidad de ingresos que percibía la víctima al momento de la lesión, así como tampoco si tenía un vínculo laboral estable y duradero en el tiempo el cual perdió a causa del accidente. Daño emergente: $0. Toda vez que, al proceso no se allegó prueba alguna de los gastos efectivamente incurridos y pagados por el demandante a causa del accidente. Perjuicio moral: 10 SMMLV ($14.235.000 en SMMLV de 2025). Correspondientes al valor mínimo de indemnización por este tipo de daño según el consejo de estado para el nivel 1 (víctima), toda vez que, al no existir dictamen de pérdida de capacidad laboral, no es posible reconocer suma superior."</w:t>
            </w:r>
            <w:r w:rsidRPr="002F01CC">
              <w:rPr>
                <w:rFonts w:eastAsia="Calibri" w:cstheme="minorHAnsi"/>
                <w:sz w:val="21"/>
                <w:szCs w:val="21"/>
                <w:lang w:val="es-CO"/>
              </w:rPr>
              <w:tab/>
            </w:r>
            <w:r w:rsidRPr="002F01CC">
              <w:rPr>
                <w:rFonts w:eastAsia="Calibri" w:cstheme="minorHAnsi"/>
                <w:b/>
                <w:bCs/>
                <w:sz w:val="21"/>
                <w:szCs w:val="21"/>
                <w:lang w:val="es-CO"/>
              </w:rPr>
              <w:tab/>
            </w:r>
          </w:p>
        </w:tc>
      </w:tr>
      <w:tr w:rsidR="00A06D0B" w:rsidRPr="00786056" w14:paraId="74E8693F"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C97ABC1"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position w:val="1"/>
                <w:sz w:val="21"/>
                <w:szCs w:val="21"/>
                <w:lang w:val="es-CO"/>
              </w:rPr>
              <w:t>POL</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Z</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VI</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ULA</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7CC9C88" w14:textId="42A14CD9" w:rsidR="003F152F" w:rsidRPr="00786056" w:rsidRDefault="003F152F" w:rsidP="003F152F">
            <w:pPr>
              <w:spacing w:after="0" w:line="267" w:lineRule="exact"/>
              <w:ind w:left="59" w:right="-20"/>
              <w:rPr>
                <w:rFonts w:eastAsia="Calibri" w:cstheme="minorHAnsi"/>
                <w:sz w:val="21"/>
                <w:szCs w:val="21"/>
                <w:lang w:val="es-CO"/>
              </w:rPr>
            </w:pPr>
            <w:r w:rsidRPr="00786056">
              <w:rPr>
                <w:rFonts w:eastAsia="Calibri" w:cstheme="minorHAnsi"/>
                <w:spacing w:val="-1"/>
                <w:position w:val="1"/>
                <w:sz w:val="21"/>
                <w:szCs w:val="21"/>
                <w:lang w:val="es-CO"/>
              </w:rPr>
              <w:t>N</w:t>
            </w:r>
            <w:r w:rsidRPr="00786056">
              <w:rPr>
                <w:rFonts w:eastAsia="Calibri" w:cstheme="minorHAnsi"/>
                <w:spacing w:val="1"/>
                <w:position w:val="1"/>
                <w:sz w:val="21"/>
                <w:szCs w:val="21"/>
                <w:lang w:val="es-CO"/>
              </w:rPr>
              <w:t>úmero</w:t>
            </w:r>
            <w:r w:rsidRPr="00786056">
              <w:rPr>
                <w:rFonts w:eastAsia="Calibri" w:cstheme="minorHAnsi"/>
                <w:position w:val="1"/>
                <w:sz w:val="21"/>
                <w:szCs w:val="21"/>
                <w:lang w:val="es-CO"/>
              </w:rPr>
              <w:t xml:space="preserve">: </w:t>
            </w:r>
            <w:r w:rsidR="00430C05" w:rsidRPr="00430C05">
              <w:rPr>
                <w:rFonts w:eastAsia="Calibri" w:cstheme="minorHAnsi"/>
                <w:position w:val="1"/>
                <w:sz w:val="21"/>
                <w:szCs w:val="21"/>
                <w:lang w:val="es-CO"/>
              </w:rPr>
              <w:t>1507222001226</w:t>
            </w:r>
            <w:r w:rsidR="00B01B8A" w:rsidRPr="00B01B8A">
              <w:rPr>
                <w:rFonts w:eastAsia="Calibri" w:cstheme="minorHAnsi"/>
                <w:position w:val="1"/>
                <w:sz w:val="21"/>
                <w:szCs w:val="21"/>
                <w:lang w:val="es-CO"/>
              </w:rPr>
              <w:t xml:space="preserve"> (Anexo </w:t>
            </w:r>
            <w:r w:rsidR="00430C05">
              <w:rPr>
                <w:rFonts w:eastAsia="Calibri" w:cstheme="minorHAnsi"/>
                <w:position w:val="1"/>
                <w:sz w:val="21"/>
                <w:szCs w:val="21"/>
                <w:lang w:val="es-CO"/>
              </w:rPr>
              <w:t>0</w:t>
            </w:r>
            <w:r w:rsidR="00B01B8A" w:rsidRPr="00B01B8A">
              <w:rPr>
                <w:rFonts w:eastAsia="Calibri" w:cstheme="minorHAnsi"/>
                <w:position w:val="1"/>
                <w:sz w:val="21"/>
                <w:szCs w:val="21"/>
                <w:lang w:val="es-CO"/>
              </w:rPr>
              <w:t>)</w:t>
            </w:r>
            <w:r w:rsidRPr="00786056">
              <w:rPr>
                <w:rFonts w:eastAsia="Calibri" w:cstheme="minorHAnsi"/>
                <w:position w:val="1"/>
                <w:sz w:val="21"/>
                <w:szCs w:val="21"/>
                <w:lang w:val="es-CO"/>
              </w:rPr>
              <w:t xml:space="preserve">, vigente desde el </w:t>
            </w:r>
            <w:r w:rsidR="00430C05" w:rsidRPr="00430C05">
              <w:rPr>
                <w:rFonts w:eastAsia="Calibri" w:cstheme="minorHAnsi"/>
                <w:position w:val="1"/>
                <w:sz w:val="21"/>
                <w:szCs w:val="21"/>
                <w:lang w:val="es-CO"/>
              </w:rPr>
              <w:t>30</w:t>
            </w:r>
            <w:r w:rsidR="00E15128">
              <w:rPr>
                <w:rFonts w:eastAsia="Calibri" w:cstheme="minorHAnsi"/>
                <w:position w:val="1"/>
                <w:sz w:val="21"/>
                <w:szCs w:val="21"/>
                <w:lang w:val="es-CO"/>
              </w:rPr>
              <w:t xml:space="preserve"> de abril de </w:t>
            </w:r>
            <w:r w:rsidR="00430C05" w:rsidRPr="00430C05">
              <w:rPr>
                <w:rFonts w:eastAsia="Calibri" w:cstheme="minorHAnsi"/>
                <w:position w:val="1"/>
                <w:sz w:val="21"/>
                <w:szCs w:val="21"/>
                <w:lang w:val="es-CO"/>
              </w:rPr>
              <w:t>2022 a 01</w:t>
            </w:r>
            <w:r w:rsidR="00E15128">
              <w:rPr>
                <w:rFonts w:eastAsia="Calibri" w:cstheme="minorHAnsi"/>
                <w:position w:val="1"/>
                <w:sz w:val="21"/>
                <w:szCs w:val="21"/>
                <w:lang w:val="es-CO"/>
              </w:rPr>
              <w:t xml:space="preserve"> de diciembre de </w:t>
            </w:r>
            <w:r w:rsidR="00430C05" w:rsidRPr="00430C05">
              <w:rPr>
                <w:rFonts w:eastAsia="Calibri" w:cstheme="minorHAnsi"/>
                <w:position w:val="1"/>
                <w:sz w:val="21"/>
                <w:szCs w:val="21"/>
                <w:lang w:val="es-CO"/>
              </w:rPr>
              <w:t>2022</w:t>
            </w:r>
            <w:r w:rsidR="00B01B8A">
              <w:rPr>
                <w:rFonts w:eastAsia="Calibri" w:cstheme="minorHAnsi"/>
                <w:position w:val="1"/>
                <w:sz w:val="21"/>
                <w:szCs w:val="21"/>
                <w:lang w:val="es-CO"/>
              </w:rPr>
              <w:t>.</w:t>
            </w:r>
          </w:p>
          <w:p w14:paraId="4F9DBD96" w14:textId="77777777" w:rsidR="003F152F" w:rsidRPr="00786056" w:rsidRDefault="003F152F" w:rsidP="003F152F">
            <w:pPr>
              <w:spacing w:after="0" w:line="266" w:lineRule="exact"/>
              <w:ind w:left="59" w:right="-20"/>
              <w:rPr>
                <w:rFonts w:eastAsia="Calibri" w:cstheme="minorHAnsi"/>
                <w:sz w:val="21"/>
                <w:szCs w:val="21"/>
                <w:lang w:val="es-CO"/>
              </w:rPr>
            </w:pPr>
            <w:r w:rsidRPr="00786056">
              <w:rPr>
                <w:rFonts w:eastAsia="Calibri" w:cstheme="minorHAnsi"/>
                <w:position w:val="1"/>
                <w:sz w:val="21"/>
                <w:szCs w:val="21"/>
                <w:lang w:val="es-CO"/>
              </w:rPr>
              <w:t>Ra</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 Responsabilidad Civil Extracontractual</w:t>
            </w:r>
          </w:p>
          <w:p w14:paraId="717EF576" w14:textId="77777777" w:rsidR="003F152F" w:rsidRPr="00786056" w:rsidRDefault="003F152F" w:rsidP="003F152F">
            <w:pPr>
              <w:spacing w:after="0" w:line="240" w:lineRule="auto"/>
              <w:ind w:left="59" w:right="55"/>
              <w:rPr>
                <w:rFonts w:eastAsia="Calibri" w:cstheme="minorHAnsi"/>
                <w:sz w:val="21"/>
                <w:szCs w:val="21"/>
                <w:lang w:val="es-CO"/>
              </w:rPr>
            </w:pPr>
            <w:r w:rsidRPr="00786056">
              <w:rPr>
                <w:rFonts w:eastAsia="Calibri" w:cstheme="minorHAnsi"/>
                <w:sz w:val="21"/>
                <w:szCs w:val="21"/>
                <w:lang w:val="es-CO"/>
              </w:rPr>
              <w:t>Amparo</w:t>
            </w:r>
            <w:r w:rsidRPr="00786056">
              <w:rPr>
                <w:rFonts w:eastAsia="Calibri" w:cstheme="minorHAnsi"/>
                <w:spacing w:val="-2"/>
                <w:sz w:val="21"/>
                <w:szCs w:val="21"/>
                <w:lang w:val="es-CO"/>
              </w:rPr>
              <w:t xml:space="preserve"> </w:t>
            </w:r>
            <w:r w:rsidRPr="00786056">
              <w:rPr>
                <w:rFonts w:eastAsia="Calibri" w:cstheme="minorHAnsi"/>
                <w:sz w:val="21"/>
                <w:szCs w:val="21"/>
                <w:lang w:val="es-CO"/>
              </w:rPr>
              <w:t>por afectar: Predios, labores y operaciones</w:t>
            </w:r>
          </w:p>
          <w:p w14:paraId="2E9BA522" w14:textId="694FBEC4" w:rsidR="003F152F" w:rsidRPr="00786056" w:rsidRDefault="003F152F" w:rsidP="003F152F">
            <w:pPr>
              <w:spacing w:after="0" w:line="240" w:lineRule="auto"/>
              <w:ind w:left="59" w:right="-20"/>
              <w:rPr>
                <w:rFonts w:eastAsia="Calibri" w:cstheme="minorHAnsi"/>
                <w:sz w:val="21"/>
                <w:szCs w:val="21"/>
                <w:lang w:val="es-CO"/>
              </w:rPr>
            </w:pPr>
            <w:r w:rsidRPr="00786056">
              <w:rPr>
                <w:rFonts w:eastAsia="Calibri" w:cstheme="minorHAnsi"/>
                <w:spacing w:val="1"/>
                <w:sz w:val="21"/>
                <w:szCs w:val="21"/>
                <w:lang w:val="es-CO"/>
              </w:rPr>
              <w:t>D</w:t>
            </w:r>
            <w:r w:rsidRPr="00786056">
              <w:rPr>
                <w:rFonts w:eastAsia="Calibri" w:cstheme="minorHAnsi"/>
                <w:sz w:val="21"/>
                <w:szCs w:val="21"/>
                <w:lang w:val="es-CO"/>
              </w:rPr>
              <w:t>ed</w:t>
            </w:r>
            <w:r w:rsidRPr="00786056">
              <w:rPr>
                <w:rFonts w:eastAsia="Calibri" w:cstheme="minorHAnsi"/>
                <w:spacing w:val="-1"/>
                <w:sz w:val="21"/>
                <w:szCs w:val="21"/>
                <w:lang w:val="es-CO"/>
              </w:rPr>
              <w:t>u</w:t>
            </w:r>
            <w:r w:rsidRPr="00786056">
              <w:rPr>
                <w:rFonts w:eastAsia="Calibri" w:cstheme="minorHAnsi"/>
                <w:sz w:val="21"/>
                <w:szCs w:val="21"/>
                <w:lang w:val="es-CO"/>
              </w:rPr>
              <w:t>ci</w:t>
            </w:r>
            <w:r w:rsidRPr="00786056">
              <w:rPr>
                <w:rFonts w:eastAsia="Calibri" w:cstheme="minorHAnsi"/>
                <w:spacing w:val="-1"/>
                <w:sz w:val="21"/>
                <w:szCs w:val="21"/>
                <w:lang w:val="es-CO"/>
              </w:rPr>
              <w:t>b</w:t>
            </w:r>
            <w:r w:rsidRPr="00786056">
              <w:rPr>
                <w:rFonts w:eastAsia="Calibri" w:cstheme="minorHAnsi"/>
                <w:sz w:val="21"/>
                <w:szCs w:val="21"/>
                <w:lang w:val="es-CO"/>
              </w:rPr>
              <w:t>l</w:t>
            </w:r>
            <w:r w:rsidRPr="00786056">
              <w:rPr>
                <w:rFonts w:eastAsia="Calibri" w:cstheme="minorHAnsi"/>
                <w:spacing w:val="-2"/>
                <w:sz w:val="21"/>
                <w:szCs w:val="21"/>
                <w:lang w:val="es-CO"/>
              </w:rPr>
              <w:t>e (Si Aplica)</w:t>
            </w:r>
            <w:r w:rsidRPr="00786056">
              <w:rPr>
                <w:rFonts w:eastAsia="Calibri" w:cstheme="minorHAnsi"/>
                <w:sz w:val="21"/>
                <w:szCs w:val="21"/>
                <w:lang w:val="es-CO"/>
              </w:rPr>
              <w:t>:</w:t>
            </w:r>
            <w:r w:rsidRPr="00786056">
              <w:rPr>
                <w:rFonts w:eastAsia="Calibri" w:cstheme="minorHAnsi"/>
                <w:spacing w:val="1"/>
                <w:sz w:val="21"/>
                <w:szCs w:val="21"/>
                <w:lang w:val="es-CO"/>
              </w:rPr>
              <w:t xml:space="preserve"> </w:t>
            </w:r>
            <w:r w:rsidR="00E15128" w:rsidRPr="00E15128">
              <w:rPr>
                <w:rFonts w:eastAsia="Calibri" w:cstheme="minorHAnsi"/>
                <w:spacing w:val="1"/>
                <w:sz w:val="21"/>
                <w:szCs w:val="21"/>
                <w:lang w:val="es-CO"/>
              </w:rPr>
              <w:t>5% pérdida, mínimo 3 SMMLV</w:t>
            </w:r>
          </w:p>
          <w:p w14:paraId="241AC72B" w14:textId="77777777" w:rsidR="003F152F"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Va</w:t>
            </w:r>
            <w:r w:rsidRPr="00786056">
              <w:rPr>
                <w:rFonts w:eastAsia="Calibri" w:cstheme="minorHAnsi"/>
                <w:spacing w:val="-1"/>
                <w:sz w:val="21"/>
                <w:szCs w:val="21"/>
                <w:lang w:val="es-CO"/>
              </w:rPr>
              <w:t>l</w:t>
            </w:r>
            <w:r w:rsidRPr="00786056">
              <w:rPr>
                <w:rFonts w:eastAsia="Calibri" w:cstheme="minorHAnsi"/>
                <w:spacing w:val="1"/>
                <w:sz w:val="21"/>
                <w:szCs w:val="21"/>
                <w:lang w:val="es-CO"/>
              </w:rPr>
              <w:t>o</w:t>
            </w:r>
            <w:r w:rsidRPr="00786056">
              <w:rPr>
                <w:rFonts w:eastAsia="Calibri" w:cstheme="minorHAnsi"/>
                <w:sz w:val="21"/>
                <w:szCs w:val="21"/>
                <w:lang w:val="es-CO"/>
              </w:rPr>
              <w:t>r a</w:t>
            </w:r>
            <w:r w:rsidRPr="00786056">
              <w:rPr>
                <w:rFonts w:eastAsia="Calibri" w:cstheme="minorHAnsi"/>
                <w:spacing w:val="-2"/>
                <w:sz w:val="21"/>
                <w:szCs w:val="21"/>
                <w:lang w:val="es-CO"/>
              </w:rPr>
              <w:t>s</w:t>
            </w:r>
            <w:r w:rsidRPr="00786056">
              <w:rPr>
                <w:rFonts w:eastAsia="Calibri" w:cstheme="minorHAnsi"/>
                <w:sz w:val="21"/>
                <w:szCs w:val="21"/>
                <w:lang w:val="es-CO"/>
              </w:rPr>
              <w:t>eg</w:t>
            </w:r>
            <w:r w:rsidRPr="00786056">
              <w:rPr>
                <w:rFonts w:eastAsia="Calibri" w:cstheme="minorHAnsi"/>
                <w:spacing w:val="-1"/>
                <w:sz w:val="21"/>
                <w:szCs w:val="21"/>
                <w:lang w:val="es-CO"/>
              </w:rPr>
              <w:t>u</w:t>
            </w:r>
            <w:r w:rsidRPr="00786056">
              <w:rPr>
                <w:rFonts w:eastAsia="Calibri" w:cstheme="minorHAnsi"/>
                <w:sz w:val="21"/>
                <w:szCs w:val="21"/>
                <w:lang w:val="es-CO"/>
              </w:rPr>
              <w:t>ra</w:t>
            </w:r>
            <w:r w:rsidRPr="00786056">
              <w:rPr>
                <w:rFonts w:eastAsia="Calibri" w:cstheme="minorHAnsi"/>
                <w:spacing w:val="-1"/>
                <w:sz w:val="21"/>
                <w:szCs w:val="21"/>
                <w:lang w:val="es-CO"/>
              </w:rPr>
              <w:t>d</w:t>
            </w:r>
            <w:r w:rsidRPr="00786056">
              <w:rPr>
                <w:rFonts w:eastAsia="Calibri" w:cstheme="minorHAnsi"/>
                <w:spacing w:val="1"/>
                <w:sz w:val="21"/>
                <w:szCs w:val="21"/>
                <w:lang w:val="es-CO"/>
              </w:rPr>
              <w:t>o</w:t>
            </w:r>
            <w:r w:rsidRPr="00786056">
              <w:rPr>
                <w:rFonts w:eastAsia="Calibri" w:cstheme="minorHAnsi"/>
                <w:sz w:val="21"/>
                <w:szCs w:val="21"/>
                <w:lang w:val="es-CO"/>
              </w:rPr>
              <w:t>: $7.000.000.000</w:t>
            </w:r>
          </w:p>
          <w:p w14:paraId="5CDF12FD" w14:textId="325790D7" w:rsidR="00675B7A"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Placa (Si Aplica): N/A</w:t>
            </w:r>
          </w:p>
        </w:tc>
      </w:tr>
      <w:tr w:rsidR="00675B7A" w:rsidRPr="00786056" w14:paraId="290C2A56"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31A80F6" w14:textId="77777777" w:rsidR="00675B7A" w:rsidRPr="00786056" w:rsidRDefault="00675B7A" w:rsidP="00675B7A">
            <w:pPr>
              <w:spacing w:after="0" w:line="267" w:lineRule="exact"/>
              <w:ind w:right="-20"/>
              <w:rPr>
                <w:rFonts w:eastAsia="Calibri" w:cstheme="minorHAnsi"/>
                <w:sz w:val="21"/>
                <w:szCs w:val="21"/>
                <w:lang w:val="es-CO"/>
              </w:rPr>
            </w:pP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EL</w:t>
            </w:r>
          </w:p>
          <w:p w14:paraId="7AD22692" w14:textId="77777777" w:rsidR="00675B7A" w:rsidRPr="00786056" w:rsidRDefault="00675B7A">
            <w:pPr>
              <w:rPr>
                <w:rFonts w:eastAsia="Calibri" w:cstheme="minorHAnsi"/>
                <w:b/>
                <w:bCs/>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DO</w:t>
            </w:r>
          </w:p>
          <w:p w14:paraId="6B1E9AA2" w14:textId="77777777" w:rsidR="00675B7A" w:rsidRPr="00786056" w:rsidRDefault="00675B7A">
            <w:pPr>
              <w:rPr>
                <w:rFonts w:eastAsia="Calibri" w:cstheme="minorHAnsi"/>
                <w:b/>
                <w:bCs/>
                <w:sz w:val="21"/>
                <w:szCs w:val="21"/>
                <w:lang w:val="es-CO"/>
              </w:rPr>
            </w:pPr>
          </w:p>
          <w:p w14:paraId="101F32C3" w14:textId="77777777" w:rsidR="00675B7A" w:rsidRPr="00786056" w:rsidRDefault="00675B7A">
            <w:pPr>
              <w:rPr>
                <w:rFonts w:cstheme="minorHAnsi"/>
                <w:sz w:val="21"/>
                <w:szCs w:val="21"/>
                <w:lang w:val="es-CO"/>
              </w:rPr>
            </w:pPr>
          </w:p>
        </w:tc>
        <w:tc>
          <w:tcPr>
            <w:tcW w:w="7482" w:type="dxa"/>
            <w:tcBorders>
              <w:top w:val="single" w:sz="8" w:space="0" w:color="000000"/>
              <w:left w:val="single" w:sz="8" w:space="0" w:color="000000"/>
              <w:bottom w:val="single" w:sz="8" w:space="0" w:color="000000"/>
              <w:right w:val="single" w:sz="8" w:space="0" w:color="000000"/>
            </w:tcBorders>
          </w:tcPr>
          <w:p w14:paraId="3215A892" w14:textId="776E24FE" w:rsidR="00675B7A" w:rsidRPr="00E46C79" w:rsidRDefault="00E46C79" w:rsidP="00B97195">
            <w:pPr>
              <w:pStyle w:val="Prrafodelista"/>
              <w:numPr>
                <w:ilvl w:val="0"/>
                <w:numId w:val="3"/>
              </w:numPr>
              <w:spacing w:after="0" w:line="266" w:lineRule="exact"/>
              <w:ind w:right="-20"/>
              <w:rPr>
                <w:rFonts w:eastAsia="Calibri" w:cstheme="minorHAnsi"/>
                <w:sz w:val="21"/>
                <w:szCs w:val="21"/>
                <w:lang w:val="es-CO"/>
              </w:rPr>
            </w:pPr>
            <w:r w:rsidRPr="00E46C79">
              <w:rPr>
                <w:rFonts w:eastAsia="Calibri" w:cstheme="minorHAnsi"/>
                <w:sz w:val="21"/>
                <w:szCs w:val="21"/>
                <w:lang w:val="es-CO"/>
              </w:rPr>
              <w:t>NO DEMOSTRACIÓN DE LA FALLA POR PARTE DEL MUNICIPIO DE SANTIAGO DE</w:t>
            </w:r>
            <w:r>
              <w:rPr>
                <w:rFonts w:eastAsia="Calibri" w:cstheme="minorHAnsi"/>
                <w:sz w:val="21"/>
                <w:szCs w:val="21"/>
                <w:lang w:val="es-CO"/>
              </w:rPr>
              <w:t xml:space="preserve"> </w:t>
            </w:r>
            <w:r w:rsidRPr="00E46C79">
              <w:rPr>
                <w:rFonts w:eastAsia="Calibri" w:cstheme="minorHAnsi"/>
                <w:sz w:val="21"/>
                <w:szCs w:val="21"/>
                <w:lang w:val="es-CO"/>
              </w:rPr>
              <w:t>CALI</w:t>
            </w:r>
          </w:p>
          <w:p w14:paraId="1743FD29" w14:textId="7B84D8EE" w:rsidR="00E46C79" w:rsidRPr="00E46C79" w:rsidRDefault="00E46C79" w:rsidP="00E46C79">
            <w:pPr>
              <w:pStyle w:val="Prrafodelista"/>
              <w:numPr>
                <w:ilvl w:val="0"/>
                <w:numId w:val="3"/>
              </w:numPr>
              <w:spacing w:after="0" w:line="266" w:lineRule="exact"/>
              <w:ind w:right="-20"/>
              <w:rPr>
                <w:rFonts w:eastAsia="Calibri" w:cstheme="minorHAnsi"/>
                <w:sz w:val="21"/>
                <w:szCs w:val="21"/>
                <w:lang w:val="es-CO"/>
              </w:rPr>
            </w:pPr>
            <w:r w:rsidRPr="00E46C79">
              <w:rPr>
                <w:rFonts w:eastAsia="Calibri" w:cstheme="minorHAnsi"/>
                <w:sz w:val="21"/>
                <w:szCs w:val="21"/>
              </w:rPr>
              <w:t>CULPA EXCLUSIVA DE LA VICTIMA CON RESPECTO AL SEÑOR LUIS FERNANDO</w:t>
            </w:r>
            <w:r>
              <w:rPr>
                <w:rFonts w:eastAsia="Calibri" w:cstheme="minorHAnsi"/>
                <w:sz w:val="21"/>
                <w:szCs w:val="21"/>
              </w:rPr>
              <w:t xml:space="preserve"> </w:t>
            </w:r>
            <w:r w:rsidRPr="00E46C79">
              <w:rPr>
                <w:rFonts w:eastAsia="Calibri" w:cstheme="minorHAnsi"/>
                <w:sz w:val="21"/>
                <w:szCs w:val="21"/>
              </w:rPr>
              <w:t>TELLO, QUE ROMPERÍA EL NEXO CAUSAL E IMPIDE DECLARACIÓN DE RESPONSABILIDAD DEL MUNICIPIO DE SANTIAGO DE CALI.</w:t>
            </w:r>
          </w:p>
          <w:p w14:paraId="132261BC" w14:textId="4BD8B466" w:rsidR="00E46C79" w:rsidRPr="00E46C79" w:rsidRDefault="00E46C79" w:rsidP="00E46C79">
            <w:pPr>
              <w:pStyle w:val="Prrafodelista"/>
              <w:numPr>
                <w:ilvl w:val="0"/>
                <w:numId w:val="3"/>
              </w:numPr>
              <w:spacing w:after="0" w:line="266" w:lineRule="exact"/>
              <w:ind w:right="-20"/>
              <w:rPr>
                <w:rFonts w:eastAsia="Calibri" w:cstheme="minorHAnsi"/>
                <w:sz w:val="21"/>
                <w:szCs w:val="21"/>
                <w:lang w:val="es-CO"/>
              </w:rPr>
            </w:pPr>
            <w:r w:rsidRPr="00E46C79">
              <w:rPr>
                <w:rFonts w:eastAsia="Calibri" w:cstheme="minorHAnsi"/>
                <w:sz w:val="21"/>
                <w:szCs w:val="21"/>
              </w:rPr>
              <w:t>EXCEPCIÓN GENÉRICA O INNOMINADA</w:t>
            </w:r>
          </w:p>
        </w:tc>
      </w:tr>
      <w:tr w:rsidR="00675B7A" w:rsidRPr="00786056" w14:paraId="3E43BC23"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52C0F231"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lastRenderedPageBreak/>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p>
          <w:p w14:paraId="4F18308B"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C</w:t>
            </w:r>
            <w:r w:rsidRPr="00786056">
              <w:rPr>
                <w:rFonts w:eastAsia="Calibri" w:cstheme="minorHAnsi"/>
                <w:b/>
                <w:bCs/>
                <w:sz w:val="21"/>
                <w:szCs w:val="21"/>
                <w:lang w:val="es-CO"/>
              </w:rPr>
              <w:t>HU</w:t>
            </w:r>
            <w:r w:rsidRPr="00786056">
              <w:rPr>
                <w:rFonts w:eastAsia="Calibri" w:cstheme="minorHAnsi"/>
                <w:b/>
                <w:bCs/>
                <w:spacing w:val="-2"/>
                <w:sz w:val="21"/>
                <w:szCs w:val="21"/>
                <w:lang w:val="es-CO"/>
              </w:rPr>
              <w:t>B</w:t>
            </w:r>
            <w:r w:rsidRPr="00786056">
              <w:rPr>
                <w:rFonts w:eastAsia="Calibri" w:cstheme="minorHAnsi"/>
                <w:b/>
                <w:bCs/>
                <w:sz w:val="21"/>
                <w:szCs w:val="21"/>
                <w:lang w:val="es-CO"/>
              </w:rPr>
              <w:t>B</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pacing w:val="-2"/>
                <w:sz w:val="21"/>
                <w:szCs w:val="21"/>
                <w:lang w:val="es-CO"/>
              </w:rPr>
              <w:t>E</w:t>
            </w:r>
            <w:r w:rsidRPr="00786056">
              <w:rPr>
                <w:rFonts w:eastAsia="Calibri" w:cstheme="minorHAnsi"/>
                <w:b/>
                <w:bCs/>
                <w:spacing w:val="1"/>
                <w:sz w:val="21"/>
                <w:szCs w:val="21"/>
                <w:lang w:val="es-CO"/>
              </w:rPr>
              <w:t>G</w:t>
            </w:r>
            <w:r w:rsidRPr="00786056">
              <w:rPr>
                <w:rFonts w:eastAsia="Calibri" w:cstheme="minorHAnsi"/>
                <w:b/>
                <w:bCs/>
                <w:sz w:val="21"/>
                <w:szCs w:val="21"/>
                <w:lang w:val="es-CO"/>
              </w:rPr>
              <w:t>UROS</w:t>
            </w:r>
            <w:r w:rsidRPr="00786056">
              <w:rPr>
                <w:rFonts w:eastAsia="Calibri" w:cstheme="minorHAnsi"/>
                <w:b/>
                <w:bCs/>
                <w:spacing w:val="-3"/>
                <w:sz w:val="21"/>
                <w:szCs w:val="21"/>
                <w:lang w:val="es-CO"/>
              </w:rPr>
              <w:t xml:space="preserve"> </w:t>
            </w:r>
            <w:r w:rsidRPr="00786056">
              <w:rPr>
                <w:rFonts w:eastAsia="Calibri" w:cstheme="minorHAnsi"/>
                <w:b/>
                <w:bCs/>
                <w:spacing w:val="1"/>
                <w:sz w:val="21"/>
                <w:szCs w:val="21"/>
                <w:lang w:val="es-CO"/>
              </w:rPr>
              <w:t>C</w:t>
            </w:r>
            <w:r w:rsidRPr="00786056">
              <w:rPr>
                <w:rFonts w:eastAsia="Calibri" w:cstheme="minorHAnsi"/>
                <w:b/>
                <w:bCs/>
                <w:sz w:val="21"/>
                <w:szCs w:val="21"/>
                <w:lang w:val="es-CO"/>
              </w:rPr>
              <w:t>OL</w:t>
            </w:r>
            <w:r w:rsidRPr="00786056">
              <w:rPr>
                <w:rFonts w:eastAsia="Calibri" w:cstheme="minorHAnsi"/>
                <w:b/>
                <w:bCs/>
                <w:spacing w:val="-1"/>
                <w:sz w:val="21"/>
                <w:szCs w:val="21"/>
                <w:lang w:val="es-CO"/>
              </w:rPr>
              <w:t>O</w:t>
            </w:r>
            <w:r w:rsidRPr="00786056">
              <w:rPr>
                <w:rFonts w:eastAsia="Calibri" w:cstheme="minorHAnsi"/>
                <w:b/>
                <w:bCs/>
                <w:spacing w:val="-3"/>
                <w:sz w:val="21"/>
                <w:szCs w:val="21"/>
                <w:lang w:val="es-CO"/>
              </w:rPr>
              <w:t>M</w:t>
            </w:r>
            <w:r w:rsidRPr="00786056">
              <w:rPr>
                <w:rFonts w:eastAsia="Calibri" w:cstheme="minorHAnsi"/>
                <w:b/>
                <w:bCs/>
                <w:spacing w:val="-1"/>
                <w:sz w:val="21"/>
                <w:szCs w:val="21"/>
                <w:lang w:val="es-CO"/>
              </w:rPr>
              <w:t>B</w:t>
            </w:r>
            <w:r w:rsidRPr="00786056">
              <w:rPr>
                <w:rFonts w:eastAsia="Calibri" w:cstheme="minorHAnsi"/>
                <w:b/>
                <w:bCs/>
                <w:spacing w:val="1"/>
                <w:sz w:val="21"/>
                <w:szCs w:val="21"/>
                <w:lang w:val="es-CO"/>
              </w:rPr>
              <w:t>I</w:t>
            </w:r>
            <w:r w:rsidRPr="00786056">
              <w:rPr>
                <w:rFonts w:eastAsia="Calibri" w:cstheme="minorHAnsi"/>
                <w:b/>
                <w:bCs/>
                <w:sz w:val="21"/>
                <w:szCs w:val="21"/>
                <w:lang w:val="es-CO"/>
              </w:rPr>
              <w:t>A</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18120AFD"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b/>
                <w:bCs/>
                <w:sz w:val="21"/>
                <w:szCs w:val="21"/>
                <w:lang w:val="es-CO"/>
              </w:rPr>
              <w:t>Frente a la demanda</w:t>
            </w:r>
            <w:r w:rsidRPr="002958B0">
              <w:rPr>
                <w:rFonts w:eastAsia="Calibri" w:cstheme="minorHAnsi"/>
                <w:sz w:val="21"/>
                <w:szCs w:val="21"/>
                <w:lang w:val="es-CO"/>
              </w:rPr>
              <w:t>:</w:t>
            </w:r>
          </w:p>
          <w:p w14:paraId="073C3BB8"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1.</w:t>
            </w:r>
            <w:r w:rsidRPr="002958B0">
              <w:rPr>
                <w:rFonts w:eastAsia="Calibri" w:cstheme="minorHAnsi"/>
                <w:sz w:val="21"/>
                <w:szCs w:val="21"/>
                <w:lang w:val="es-CO"/>
              </w:rPr>
              <w:tab/>
              <w:t>INEXISTENCIA DE FALLA EN LA PRESTACIÓN DEL SERVICIO</w:t>
            </w:r>
          </w:p>
          <w:p w14:paraId="2CCBB0FA"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2.</w:t>
            </w:r>
            <w:r w:rsidRPr="002958B0">
              <w:rPr>
                <w:rFonts w:eastAsia="Calibri" w:cstheme="minorHAnsi"/>
                <w:sz w:val="21"/>
                <w:szCs w:val="21"/>
                <w:lang w:val="es-CO"/>
              </w:rPr>
              <w:tab/>
              <w:t>CULPA EXCLUSIVA DE LA VÍCTIMA COMO EXIMENTE DE RESPONSABILIDAD</w:t>
            </w:r>
          </w:p>
          <w:p w14:paraId="1D5123F7"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3.</w:t>
            </w:r>
            <w:r w:rsidRPr="002958B0">
              <w:rPr>
                <w:rFonts w:eastAsia="Calibri" w:cstheme="minorHAnsi"/>
                <w:sz w:val="21"/>
                <w:szCs w:val="21"/>
                <w:lang w:val="es-CO"/>
              </w:rPr>
              <w:tab/>
              <w:t>INEXISTENCIA DE RESPONSABILIDAD POR FALTA DE ACREDITACIÓN DEL NEXO CAUSAL ENTRE EL ACTUAR DEL DISTRITO DE SANTIAGO DE CALI Y EL DAÑO ALEGADO</w:t>
            </w:r>
          </w:p>
          <w:p w14:paraId="4CDD7699"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4.</w:t>
            </w:r>
            <w:r w:rsidRPr="002958B0">
              <w:rPr>
                <w:rFonts w:eastAsia="Calibri" w:cstheme="minorHAnsi"/>
                <w:sz w:val="21"/>
                <w:szCs w:val="21"/>
                <w:lang w:val="es-CO"/>
              </w:rPr>
              <w:tab/>
              <w:t>CONCURRENCIA DE CULPAS</w:t>
            </w:r>
          </w:p>
          <w:p w14:paraId="671BAA70"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5.</w:t>
            </w:r>
            <w:r w:rsidRPr="002958B0">
              <w:rPr>
                <w:rFonts w:eastAsia="Calibri" w:cstheme="minorHAnsi"/>
                <w:sz w:val="21"/>
                <w:szCs w:val="21"/>
                <w:lang w:val="es-CO"/>
              </w:rPr>
              <w:tab/>
              <w:t>FALTA DE ACREDITACIÓN PROBATORIA DE LOS PERJUICIOS Y EXAGERADA TASACIÓN DE ESTOS</w:t>
            </w:r>
          </w:p>
          <w:p w14:paraId="2B66893E"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b/>
                <w:bCs/>
                <w:sz w:val="21"/>
                <w:szCs w:val="21"/>
                <w:lang w:val="es-CO"/>
              </w:rPr>
              <w:t>Frente al llamamiento en garantía</w:t>
            </w:r>
            <w:r w:rsidRPr="002958B0">
              <w:rPr>
                <w:rFonts w:eastAsia="Calibri" w:cstheme="minorHAnsi"/>
                <w:sz w:val="21"/>
                <w:szCs w:val="21"/>
                <w:lang w:val="es-CO"/>
              </w:rPr>
              <w:t>:</w:t>
            </w:r>
          </w:p>
          <w:p w14:paraId="17ABE159"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1.</w:t>
            </w:r>
            <w:r w:rsidRPr="002958B0">
              <w:rPr>
                <w:rFonts w:eastAsia="Calibri" w:cstheme="minorHAnsi"/>
                <w:sz w:val="21"/>
                <w:szCs w:val="21"/>
                <w:lang w:val="es-CO"/>
              </w:rPr>
              <w:tab/>
              <w:t>INEXIGIBILIDAD DE LA OBLIGACIÓN INDEMNIZATORIA A CARGO DE LA COMPAÑÍA ASEGURADORA AL NO REALIZARSE EL RIESGO ASEGURADO EN LA PÓLIZA</w:t>
            </w:r>
          </w:p>
          <w:p w14:paraId="37F0D44C"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2.</w:t>
            </w:r>
            <w:r w:rsidRPr="002958B0">
              <w:rPr>
                <w:rFonts w:eastAsia="Calibri" w:cstheme="minorHAnsi"/>
                <w:sz w:val="21"/>
                <w:szCs w:val="21"/>
                <w:lang w:val="es-CO"/>
              </w:rPr>
              <w:tab/>
              <w:t>LA EVENTUAL OBLIGACIÓN DE LA COMPAÑÍA ASEGURADORA NO PUEDE EXCEDER EL LÍMITE DEL VALOR ASEGURADO EN LA PÓLIZA</w:t>
            </w:r>
          </w:p>
          <w:p w14:paraId="2D0D2D98"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3.</w:t>
            </w:r>
            <w:r w:rsidRPr="002958B0">
              <w:rPr>
                <w:rFonts w:eastAsia="Calibri" w:cstheme="minorHAnsi"/>
                <w:sz w:val="21"/>
                <w:szCs w:val="21"/>
                <w:lang w:val="es-CO"/>
              </w:rPr>
              <w:tab/>
              <w:t>LA RESPONSABILIDAD DE LA ASEGURADORA SE CIRCUNSCRIBE AL PORCENTAJE DE PARTICIPACIÓN CONFORME AL COASEGURO PACTADO - INEXISTENCIA DE SOLIDARIDAD</w:t>
            </w:r>
          </w:p>
          <w:p w14:paraId="6D9AECB8"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4.</w:t>
            </w:r>
            <w:r w:rsidRPr="002958B0">
              <w:rPr>
                <w:rFonts w:eastAsia="Calibri" w:cstheme="minorHAnsi"/>
                <w:sz w:val="21"/>
                <w:szCs w:val="21"/>
                <w:lang w:val="es-CO"/>
              </w:rPr>
              <w:tab/>
              <w:t>EXISTENCIA DE UN DEDUCIBLE PACTADO EN LA PÓLIZA DE RESPONSABILIDAD</w:t>
            </w:r>
          </w:p>
          <w:p w14:paraId="6B783A24"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5.</w:t>
            </w:r>
            <w:r w:rsidRPr="002958B0">
              <w:rPr>
                <w:rFonts w:eastAsia="Calibri" w:cstheme="minorHAnsi"/>
                <w:sz w:val="21"/>
                <w:szCs w:val="21"/>
                <w:lang w:val="es-CO"/>
              </w:rPr>
              <w:tab/>
              <w:t>CIVIL EXTRACONTRACTUAL No. 1507222001226</w:t>
            </w:r>
          </w:p>
          <w:p w14:paraId="7E5B551C"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6.</w:t>
            </w:r>
            <w:r w:rsidRPr="002958B0">
              <w:rPr>
                <w:rFonts w:eastAsia="Calibri" w:cstheme="minorHAnsi"/>
                <w:sz w:val="21"/>
                <w:szCs w:val="21"/>
                <w:lang w:val="es-CO"/>
              </w:rPr>
              <w:tab/>
              <w:t>LAS EXCLUSIONES DE AMPARO CONCERTADAS EN LA PÓLIZA DE RESPONSABILIDAD CIVIL EXTRACONTRACTUAL No. 1507222001226</w:t>
            </w:r>
          </w:p>
          <w:p w14:paraId="10DD11E1"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7.</w:t>
            </w:r>
            <w:r w:rsidRPr="002958B0">
              <w:rPr>
                <w:rFonts w:eastAsia="Calibri" w:cstheme="minorHAnsi"/>
                <w:sz w:val="21"/>
                <w:szCs w:val="21"/>
                <w:lang w:val="es-CO"/>
              </w:rPr>
              <w:tab/>
              <w:t>DISPONIBILIDAD DEL VALOR ASEGURADO</w:t>
            </w:r>
          </w:p>
          <w:p w14:paraId="0C039E36"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8.</w:t>
            </w:r>
            <w:r w:rsidRPr="002958B0">
              <w:rPr>
                <w:rFonts w:eastAsia="Calibri" w:cstheme="minorHAnsi"/>
                <w:sz w:val="21"/>
                <w:szCs w:val="21"/>
                <w:lang w:val="es-CO"/>
              </w:rPr>
              <w:tab/>
              <w:t>CARÁCTER MERAMENTE INDEMNIZATORIO DE LOS CONTRATOS DE SEGUROS</w:t>
            </w:r>
          </w:p>
          <w:p w14:paraId="01D93D4F"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9.</w:t>
            </w:r>
            <w:r w:rsidRPr="002958B0">
              <w:rPr>
                <w:rFonts w:eastAsia="Calibri" w:cstheme="minorHAnsi"/>
                <w:sz w:val="21"/>
                <w:szCs w:val="21"/>
                <w:lang w:val="es-CO"/>
              </w:rPr>
              <w:tab/>
              <w:t>PAGO POR REEMBOLSO</w:t>
            </w:r>
          </w:p>
          <w:p w14:paraId="0611C250" w14:textId="77777777" w:rsidR="00E46C79" w:rsidRPr="002958B0" w:rsidRDefault="00E46C79" w:rsidP="00E46C79">
            <w:pPr>
              <w:spacing w:after="0" w:line="266" w:lineRule="exact"/>
              <w:ind w:right="-20"/>
              <w:rPr>
                <w:rFonts w:eastAsia="Calibri" w:cstheme="minorHAnsi"/>
                <w:sz w:val="21"/>
                <w:szCs w:val="21"/>
                <w:lang w:val="es-CO"/>
              </w:rPr>
            </w:pPr>
            <w:r w:rsidRPr="002958B0">
              <w:rPr>
                <w:rFonts w:eastAsia="Calibri" w:cstheme="minorHAnsi"/>
                <w:sz w:val="21"/>
                <w:szCs w:val="21"/>
                <w:lang w:val="es-CO"/>
              </w:rPr>
              <w:t>10.</w:t>
            </w:r>
            <w:r w:rsidRPr="002958B0">
              <w:rPr>
                <w:rFonts w:eastAsia="Calibri" w:cstheme="minorHAnsi"/>
                <w:sz w:val="21"/>
                <w:szCs w:val="21"/>
                <w:lang w:val="es-CO"/>
              </w:rPr>
              <w:tab/>
              <w:t>AUSENCIA DE SOLIDARIDAD ENTRE MI MANDANTE Y EL DISTRITO ESPECIAL DE SANTIAGO DE CALI</w:t>
            </w:r>
          </w:p>
          <w:p w14:paraId="6E0B302A" w14:textId="72583CE5" w:rsidR="00675B7A" w:rsidRPr="00786056" w:rsidRDefault="00E46C79" w:rsidP="00E46C79">
            <w:pPr>
              <w:spacing w:after="0" w:line="240" w:lineRule="auto"/>
              <w:ind w:right="-20"/>
              <w:rPr>
                <w:rFonts w:eastAsia="Calibri" w:cstheme="minorHAnsi"/>
                <w:sz w:val="21"/>
                <w:szCs w:val="21"/>
                <w:lang w:val="es-CO"/>
              </w:rPr>
            </w:pPr>
            <w:r w:rsidRPr="002958B0">
              <w:rPr>
                <w:rFonts w:eastAsia="Calibri" w:cstheme="minorHAnsi"/>
                <w:sz w:val="21"/>
                <w:szCs w:val="21"/>
                <w:lang w:val="es-CO"/>
              </w:rPr>
              <w:t>11.</w:t>
            </w:r>
            <w:r w:rsidRPr="002958B0">
              <w:rPr>
                <w:rFonts w:eastAsia="Calibri" w:cstheme="minorHAnsi"/>
                <w:sz w:val="21"/>
                <w:szCs w:val="21"/>
                <w:lang w:val="es-CO"/>
              </w:rPr>
              <w:tab/>
              <w:t>GENÉRICA O INNOMINADA.</w:t>
            </w:r>
          </w:p>
        </w:tc>
      </w:tr>
      <w:tr w:rsidR="00675B7A" w:rsidRPr="00786056" w14:paraId="1FE4E6B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47954E60"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L</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O</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45EC938A" w14:textId="1AD52B39" w:rsidR="00675B7A" w:rsidRPr="00786056" w:rsidRDefault="00675B7A">
            <w:pPr>
              <w:spacing w:after="0" w:line="240" w:lineRule="auto"/>
              <w:ind w:left="59" w:right="-2"/>
              <w:jc w:val="both"/>
              <w:rPr>
                <w:rFonts w:eastAsia="Calibri" w:cstheme="minorHAnsi"/>
                <w:sz w:val="21"/>
                <w:szCs w:val="21"/>
                <w:lang w:val="es-CO"/>
              </w:rPr>
            </w:pPr>
            <w:r w:rsidRPr="00786056">
              <w:rPr>
                <w:rFonts w:eastAsia="Calibri" w:cstheme="minorHAnsi"/>
                <w:position w:val="1"/>
                <w:sz w:val="21"/>
                <w:szCs w:val="21"/>
                <w:lang w:val="es-CO"/>
              </w:rPr>
              <w:t>Re</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ta</w:t>
            </w:r>
            <w:r w:rsidRPr="00786056">
              <w:rPr>
                <w:rFonts w:eastAsia="Calibri" w:cstheme="minorHAnsi"/>
                <w:spacing w:val="-1"/>
                <w:position w:val="1"/>
                <w:sz w:val="21"/>
                <w:szCs w:val="21"/>
                <w:lang w:val="es-CO"/>
              </w:rPr>
              <w:t xml:space="preserve"> </w:t>
            </w:r>
            <w:r w:rsidRPr="00786056">
              <w:rPr>
                <w:rFonts w:eastAsia="Calibri" w:cstheme="minorHAnsi"/>
                <w:position w:val="1"/>
                <w:sz w:val="21"/>
                <w:szCs w:val="21"/>
                <w:u w:val="single" w:color="000000"/>
                <w:lang w:val="es-CO"/>
              </w:rPr>
              <w:t xml:space="preserve">  </w:t>
            </w:r>
            <w:proofErr w:type="spellStart"/>
            <w:r w:rsidR="00D42A55">
              <w:rPr>
                <w:rFonts w:eastAsia="Calibri" w:cstheme="minorHAnsi"/>
                <w:position w:val="1"/>
                <w:sz w:val="21"/>
                <w:szCs w:val="21"/>
                <w:u w:val="single" w:color="000000"/>
                <w:lang w:val="es-CO"/>
              </w:rPr>
              <w:t>X</w:t>
            </w:r>
            <w:r w:rsidR="007C1ED6" w:rsidRPr="00786056">
              <w:rPr>
                <w:rFonts w:eastAsia="Calibri" w:cstheme="minorHAnsi"/>
                <w:position w:val="1"/>
                <w:sz w:val="21"/>
                <w:szCs w:val="21"/>
                <w:u w:val="single" w:color="000000"/>
                <w:lang w:val="es-CO"/>
              </w:rPr>
              <w:t>__</w:t>
            </w:r>
            <w:r w:rsidRPr="00786056">
              <w:rPr>
                <w:rFonts w:eastAsia="Calibri" w:cstheme="minorHAnsi"/>
                <w:position w:val="1"/>
                <w:sz w:val="21"/>
                <w:szCs w:val="21"/>
                <w:lang w:val="es-CO"/>
              </w:rPr>
              <w:t>E</w:t>
            </w:r>
            <w:r w:rsidRPr="00786056">
              <w:rPr>
                <w:rFonts w:eastAsia="Calibri" w:cstheme="minorHAnsi"/>
                <w:spacing w:val="-1"/>
                <w:position w:val="1"/>
                <w:sz w:val="21"/>
                <w:szCs w:val="21"/>
                <w:lang w:val="es-CO"/>
              </w:rPr>
              <w:t>v</w:t>
            </w:r>
            <w:r w:rsidRPr="00786056">
              <w:rPr>
                <w:rFonts w:eastAsia="Calibri" w:cstheme="minorHAnsi"/>
                <w:position w:val="1"/>
                <w:sz w:val="21"/>
                <w:szCs w:val="21"/>
                <w:lang w:val="es-CO"/>
              </w:rPr>
              <w:t>entu</w:t>
            </w:r>
            <w:r w:rsidRPr="00786056">
              <w:rPr>
                <w:rFonts w:eastAsia="Calibri" w:cstheme="minorHAnsi"/>
                <w:spacing w:val="-1"/>
                <w:position w:val="1"/>
                <w:sz w:val="21"/>
                <w:szCs w:val="21"/>
                <w:lang w:val="es-CO"/>
              </w:rPr>
              <w:t>a</w:t>
            </w:r>
            <w:r w:rsidRPr="00786056">
              <w:rPr>
                <w:rFonts w:eastAsia="Calibri" w:cstheme="minorHAnsi"/>
                <w:position w:val="1"/>
                <w:sz w:val="21"/>
                <w:szCs w:val="21"/>
                <w:lang w:val="es-CO"/>
              </w:rPr>
              <w:t>l</w:t>
            </w:r>
            <w:proofErr w:type="spellEnd"/>
            <w:r w:rsidRPr="00786056">
              <w:rPr>
                <w:rFonts w:eastAsia="Calibri" w:cstheme="minorHAnsi"/>
                <w:spacing w:val="1"/>
                <w:position w:val="1"/>
                <w:sz w:val="21"/>
                <w:szCs w:val="21"/>
                <w:lang w:val="es-CO"/>
              </w:rPr>
              <w:t xml:space="preserve"> </w:t>
            </w:r>
            <w:r w:rsidRPr="00786056">
              <w:rPr>
                <w:rFonts w:eastAsia="Calibri" w:cstheme="minorHAnsi"/>
                <w:spacing w:val="-2"/>
                <w:position w:val="1"/>
                <w:sz w:val="21"/>
                <w:szCs w:val="21"/>
                <w:lang w:val="es-CO"/>
              </w:rPr>
              <w:t>_</w:t>
            </w:r>
            <w:r w:rsidRPr="00786056">
              <w:rPr>
                <w:rFonts w:eastAsia="Calibri" w:cstheme="minorHAnsi"/>
                <w:position w:val="1"/>
                <w:sz w:val="21"/>
                <w:szCs w:val="21"/>
                <w:u w:val="single" w:color="000000"/>
                <w:lang w:val="es-CO"/>
              </w:rPr>
              <w:t xml:space="preserve">   </w:t>
            </w:r>
            <w:r w:rsidRPr="00786056">
              <w:rPr>
                <w:rFonts w:eastAsia="Calibri" w:cstheme="minorHAnsi"/>
                <w:spacing w:val="19"/>
                <w:position w:val="1"/>
                <w:sz w:val="21"/>
                <w:szCs w:val="21"/>
                <w:u w:val="single" w:color="000000"/>
                <w:lang w:val="es-CO"/>
              </w:rPr>
              <w:t xml:space="preserve"> </w:t>
            </w:r>
            <w:r w:rsidRPr="00786056">
              <w:rPr>
                <w:rFonts w:eastAsia="Calibri" w:cstheme="minorHAnsi"/>
                <w:spacing w:val="-1"/>
                <w:position w:val="1"/>
                <w:sz w:val="21"/>
                <w:szCs w:val="21"/>
                <w:lang w:val="es-CO"/>
              </w:rPr>
              <w:t xml:space="preserve"> P</w:t>
            </w:r>
            <w:r w:rsidRPr="00786056">
              <w:rPr>
                <w:rFonts w:eastAsia="Calibri" w:cstheme="minorHAnsi"/>
                <w:position w:val="1"/>
                <w:sz w:val="21"/>
                <w:szCs w:val="21"/>
                <w:lang w:val="es-CO"/>
              </w:rPr>
              <w:t>r</w:t>
            </w:r>
            <w:r w:rsidRPr="00786056">
              <w:rPr>
                <w:rFonts w:eastAsia="Calibri" w:cstheme="minorHAnsi"/>
                <w:spacing w:val="1"/>
                <w:position w:val="1"/>
                <w:sz w:val="21"/>
                <w:szCs w:val="21"/>
                <w:lang w:val="es-CO"/>
              </w:rPr>
              <w:t>o</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a</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le</w:t>
            </w:r>
            <w:r w:rsidRPr="00786056">
              <w:rPr>
                <w:rFonts w:eastAsia="Calibri" w:cstheme="minorHAnsi"/>
                <w:position w:val="1"/>
                <w:sz w:val="21"/>
                <w:szCs w:val="21"/>
                <w:u w:val="single" w:color="000000"/>
                <w:lang w:val="es-CO"/>
              </w:rPr>
              <w:t xml:space="preserve"> </w:t>
            </w:r>
            <w:r w:rsidR="007C1ED6" w:rsidRPr="00786056">
              <w:rPr>
                <w:rFonts w:eastAsia="Calibri" w:cstheme="minorHAnsi"/>
                <w:position w:val="1"/>
                <w:sz w:val="21"/>
                <w:szCs w:val="21"/>
                <w:u w:val="single" w:color="000000"/>
                <w:lang w:val="es-CO"/>
              </w:rPr>
              <w:t>_</w:t>
            </w:r>
            <w:r w:rsidRPr="00786056">
              <w:rPr>
                <w:rFonts w:eastAsia="Calibri" w:cstheme="minorHAnsi"/>
                <w:position w:val="1"/>
                <w:sz w:val="21"/>
                <w:szCs w:val="21"/>
                <w:u w:val="single" w:color="000000"/>
                <w:lang w:val="es-CO"/>
              </w:rPr>
              <w:tab/>
            </w:r>
          </w:p>
        </w:tc>
      </w:tr>
      <w:tr w:rsidR="00675B7A" w:rsidRPr="00786056" w14:paraId="08C8F82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B74665B" w14:textId="68C6C686"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lastRenderedPageBreak/>
              <w:t>C</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2"/>
                <w:position w:val="1"/>
                <w:sz w:val="21"/>
                <w:szCs w:val="21"/>
                <w:lang w:val="es-CO"/>
              </w:rPr>
              <w:t>P</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 xml:space="preserve">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 xml:space="preserve">O </w:t>
            </w:r>
            <w:r w:rsidR="008A63E8" w:rsidRPr="00786056">
              <w:rPr>
                <w:rFonts w:eastAsia="Calibri" w:cstheme="minorHAnsi"/>
                <w:b/>
                <w:bCs/>
                <w:position w:val="1"/>
                <w:sz w:val="21"/>
                <w:szCs w:val="21"/>
                <w:lang w:val="es-CO"/>
              </w:rPr>
              <w:t>(Motivo</w:t>
            </w:r>
            <w:r w:rsidRPr="00786056">
              <w:rPr>
                <w:rFonts w:eastAsia="Calibri" w:cstheme="minorHAnsi"/>
                <w:b/>
                <w:bCs/>
                <w:position w:val="1"/>
                <w:sz w:val="21"/>
                <w:szCs w:val="21"/>
                <w:lang w:val="es-CO"/>
              </w:rPr>
              <w:t xml:space="preserve"> de la Calificación de la Contingencia)</w:t>
            </w:r>
          </w:p>
        </w:tc>
        <w:tc>
          <w:tcPr>
            <w:tcW w:w="7482" w:type="dxa"/>
            <w:tcBorders>
              <w:top w:val="single" w:sz="8" w:space="0" w:color="000000"/>
              <w:left w:val="single" w:sz="8" w:space="0" w:color="000000"/>
              <w:bottom w:val="single" w:sz="8" w:space="0" w:color="000000"/>
              <w:right w:val="single" w:sz="8" w:space="0" w:color="000000"/>
            </w:tcBorders>
          </w:tcPr>
          <w:p w14:paraId="602A1A54" w14:textId="47F5C946" w:rsidR="006B6AC6" w:rsidRPr="006B6AC6" w:rsidRDefault="006B6AC6" w:rsidP="006B6AC6">
            <w:pPr>
              <w:tabs>
                <w:tab w:val="left" w:pos="3520"/>
              </w:tabs>
              <w:spacing w:after="0" w:line="264" w:lineRule="exact"/>
              <w:ind w:left="59" w:right="-20"/>
              <w:rPr>
                <w:rFonts w:cstheme="minorHAnsi"/>
                <w:sz w:val="21"/>
                <w:szCs w:val="21"/>
                <w:lang w:val="es-ES_tradnl"/>
              </w:rPr>
            </w:pPr>
            <w:r w:rsidRPr="006B6AC6">
              <w:rPr>
                <w:rFonts w:cstheme="minorHAnsi"/>
                <w:sz w:val="21"/>
                <w:szCs w:val="21"/>
                <w:lang w:val="es-ES_tradnl"/>
              </w:rPr>
              <w:t>Se califica como REMOTA, Toda vez que en la demanda no se aporta material probatorio que dé fe de la existencia de una falla en el servicio en cuanto al mantenimiento de la vía que se pueda relacionar directamente con el daño alegado. De igual manera no existe IPAT que pueda apoyar la tesis de</w:t>
            </w:r>
            <w:r>
              <w:rPr>
                <w:rFonts w:cstheme="minorHAnsi"/>
                <w:sz w:val="21"/>
                <w:szCs w:val="21"/>
                <w:lang w:val="es-ES_tradnl"/>
              </w:rPr>
              <w:t>l</w:t>
            </w:r>
            <w:r w:rsidRPr="006B6AC6">
              <w:rPr>
                <w:rFonts w:cstheme="minorHAnsi"/>
                <w:sz w:val="21"/>
                <w:szCs w:val="21"/>
                <w:lang w:val="es-ES_tradnl"/>
              </w:rPr>
              <w:t xml:space="preserve"> demandante</w:t>
            </w:r>
            <w:r>
              <w:rPr>
                <w:rFonts w:cstheme="minorHAnsi"/>
                <w:sz w:val="21"/>
                <w:szCs w:val="21"/>
                <w:lang w:val="es-ES_tradnl"/>
              </w:rPr>
              <w:t>,</w:t>
            </w:r>
            <w:r w:rsidRPr="006B6AC6">
              <w:rPr>
                <w:rFonts w:cstheme="minorHAnsi"/>
                <w:sz w:val="21"/>
                <w:szCs w:val="21"/>
                <w:lang w:val="es-ES_tradnl"/>
              </w:rPr>
              <w:t xml:space="preserve"> así como tampoco existe en el plenario dictamen de pérdida de capacidad laboral que permita determinar el alcance del presunto daño. Lo primero que se debe decir es que la póliza de responsabilidad civil extracontractual 1507222001226 anexo 0 cuyo tomador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23 de mayo de 2022 y la vigencia de la póliza (anexo 0) corrió desde el 30 de abril de 2022 hasta el 01 de diciembre 2022 </w:t>
            </w:r>
            <w:proofErr w:type="gramStart"/>
            <w:r w:rsidRPr="006B6AC6">
              <w:rPr>
                <w:rFonts w:cstheme="minorHAnsi"/>
                <w:sz w:val="21"/>
                <w:szCs w:val="21"/>
                <w:lang w:val="es-ES_tradnl"/>
              </w:rPr>
              <w:t>y</w:t>
            </w:r>
            <w:proofErr w:type="gramEnd"/>
            <w:r w:rsidRPr="006B6AC6">
              <w:rPr>
                <w:rFonts w:cstheme="minorHAnsi"/>
                <w:sz w:val="21"/>
                <w:szCs w:val="21"/>
                <w:lang w:val="es-ES_tradnl"/>
              </w:rPr>
              <w:t xml:space="preserve"> por tanto, aquel se encuentra dentro de la delimitación temporal de la póliza en mención. Aunado a ello la póliza presta cobertura material por amparar la responsabilidad civil extracontractual respecto de predios, labores y operaciones.</w:t>
            </w:r>
          </w:p>
          <w:p w14:paraId="2B878368" w14:textId="48BBB838" w:rsidR="00AB3CDD" w:rsidRPr="00786056" w:rsidRDefault="006B6AC6" w:rsidP="006B6AC6">
            <w:pPr>
              <w:tabs>
                <w:tab w:val="left" w:pos="3520"/>
              </w:tabs>
              <w:spacing w:after="0" w:line="264" w:lineRule="exact"/>
              <w:ind w:left="59" w:right="-20"/>
              <w:rPr>
                <w:rFonts w:eastAsia="Calibri" w:cstheme="minorHAnsi"/>
                <w:sz w:val="21"/>
                <w:szCs w:val="21"/>
                <w:lang w:val="es-CO"/>
              </w:rPr>
            </w:pPr>
            <w:r w:rsidRPr="006B6AC6">
              <w:rPr>
                <w:rFonts w:cstheme="minorHAnsi"/>
                <w:sz w:val="21"/>
                <w:szCs w:val="21"/>
                <w:lang w:val="es-ES_tradnl"/>
              </w:rPr>
              <w:t xml:space="preserve">Por otro lado, frente a la responsabilidad del asegurado debe decirse que en el caso no existe IPAT que pueda usarse por la parte actora para establecer la real ocurrencia de los hechos y las condiciones en que ellos se dieron, y si bien es cierto se aportan algunas fotografías, las mismas no corroboran que el siniestro se presentó por causa exclusiva del estado de la vía, pues incluso del material </w:t>
            </w:r>
            <w:r w:rsidR="00535371" w:rsidRPr="006B6AC6">
              <w:rPr>
                <w:rFonts w:cstheme="minorHAnsi"/>
                <w:sz w:val="21"/>
                <w:szCs w:val="21"/>
                <w:lang w:val="es-ES_tradnl"/>
              </w:rPr>
              <w:t>fotográfico</w:t>
            </w:r>
            <w:r w:rsidRPr="006B6AC6">
              <w:rPr>
                <w:rFonts w:cstheme="minorHAnsi"/>
                <w:sz w:val="21"/>
                <w:szCs w:val="21"/>
                <w:lang w:val="es-ES_tradnl"/>
              </w:rPr>
              <w:t xml:space="preserve"> surge la duda acerca del sitio exacto del hecho así como de si existe o no una malformación en la vía, debido a una contradicción en las direcciones indicadas como lugar de los hechos. En igual sentido no existe dictamen de pérdida de capacidad laboral que permita determinar la gravedad de los presuntos daños, generando con ello que la contingencia respecto del caso sea REMOTA.</w:t>
            </w:r>
          </w:p>
        </w:tc>
      </w:tr>
      <w:tr w:rsidR="00675B7A" w:rsidRPr="00786056" w14:paraId="7BCB1D92"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0E50C65"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ER</w:t>
            </w:r>
            <w:r w:rsidRPr="00786056">
              <w:rPr>
                <w:rFonts w:eastAsia="Calibri" w:cstheme="minorHAnsi"/>
                <w:b/>
                <w:bCs/>
                <w:spacing w:val="-1"/>
                <w:position w:val="1"/>
                <w:sz w:val="21"/>
                <w:szCs w:val="21"/>
                <w:lang w:val="es-CO"/>
              </w:rPr>
              <w:t>V</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 xml:space="preserve"> </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UG</w:t>
            </w:r>
            <w:r w:rsidRPr="00786056">
              <w:rPr>
                <w:rFonts w:eastAsia="Calibri" w:cstheme="minorHAnsi"/>
                <w:b/>
                <w:bCs/>
                <w:spacing w:val="-2"/>
                <w:position w:val="1"/>
                <w:sz w:val="21"/>
                <w:szCs w:val="21"/>
                <w:lang w:val="es-CO"/>
              </w:rPr>
              <w:t>E</w:t>
            </w: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E194DD2" w14:textId="27D4F29B" w:rsidR="00675B7A" w:rsidRPr="00786056" w:rsidRDefault="00AD07F3">
            <w:pPr>
              <w:spacing w:after="0" w:line="239" w:lineRule="auto"/>
              <w:ind w:left="59" w:right="-2"/>
              <w:jc w:val="both"/>
              <w:rPr>
                <w:rFonts w:eastAsia="Calibri" w:cstheme="minorHAnsi"/>
                <w:sz w:val="21"/>
                <w:szCs w:val="21"/>
                <w:lang w:val="es-CO"/>
              </w:rPr>
            </w:pPr>
            <w:r w:rsidRPr="00AD07F3">
              <w:rPr>
                <w:rFonts w:eastAsia="Calibri" w:cstheme="minorHAnsi"/>
                <w:b/>
                <w:bCs/>
                <w:sz w:val="21"/>
                <w:szCs w:val="21"/>
                <w:lang w:val="es-CO"/>
              </w:rPr>
              <w:t>$2.787.540</w:t>
            </w:r>
          </w:p>
        </w:tc>
      </w:tr>
      <w:tr w:rsidR="00675B7A" w:rsidRPr="00786056" w14:paraId="36D1BFB4"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A3A514A"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UL</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p>
        </w:tc>
        <w:tc>
          <w:tcPr>
            <w:tcW w:w="7482" w:type="dxa"/>
            <w:tcBorders>
              <w:top w:val="single" w:sz="8" w:space="0" w:color="000000"/>
              <w:left w:val="single" w:sz="8" w:space="0" w:color="000000"/>
              <w:bottom w:val="single" w:sz="8" w:space="0" w:color="000000"/>
              <w:right w:val="single" w:sz="8" w:space="0" w:color="000000"/>
            </w:tcBorders>
          </w:tcPr>
          <w:p w14:paraId="6A4D6969" w14:textId="58F60C79" w:rsidR="00675B7A" w:rsidRPr="00786056" w:rsidRDefault="008A63E8">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Presentación de la contestación a la demanda y al llamamiento en garantía</w:t>
            </w:r>
          </w:p>
        </w:tc>
      </w:tr>
      <w:tr w:rsidR="00675B7A" w:rsidRPr="00786056" w14:paraId="7FD67F4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7B43F13" w14:textId="77777777" w:rsidR="00675B7A" w:rsidRPr="00786056" w:rsidRDefault="00675B7A" w:rsidP="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RECOMENDACIÓN (Estrategia a seguir en el caso)</w:t>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p>
        </w:tc>
        <w:tc>
          <w:tcPr>
            <w:tcW w:w="7482" w:type="dxa"/>
            <w:tcBorders>
              <w:top w:val="single" w:sz="8" w:space="0" w:color="000000"/>
              <w:left w:val="single" w:sz="8" w:space="0" w:color="000000"/>
              <w:bottom w:val="single" w:sz="8" w:space="0" w:color="000000"/>
              <w:right w:val="single" w:sz="8" w:space="0" w:color="000000"/>
            </w:tcBorders>
          </w:tcPr>
          <w:p w14:paraId="48E477D8" w14:textId="162E64DF" w:rsidR="00675B7A" w:rsidRPr="00786056" w:rsidRDefault="00225253">
            <w:pPr>
              <w:spacing w:after="0" w:line="240" w:lineRule="auto"/>
              <w:ind w:left="59" w:right="-20"/>
              <w:rPr>
                <w:rFonts w:eastAsia="Calibri" w:cstheme="minorHAnsi"/>
                <w:sz w:val="21"/>
                <w:szCs w:val="21"/>
                <w:lang w:val="es-CO"/>
              </w:rPr>
            </w:pPr>
            <w:r>
              <w:rPr>
                <w:rFonts w:eastAsia="Calibri" w:cstheme="minorHAnsi"/>
                <w:sz w:val="21"/>
                <w:szCs w:val="21"/>
                <w:lang w:val="es-CO"/>
              </w:rPr>
              <w:t xml:space="preserve">Esperar el curso del proceso </w:t>
            </w:r>
            <w:r w:rsidR="00A023D7">
              <w:rPr>
                <w:rFonts w:eastAsia="Calibri" w:cstheme="minorHAnsi"/>
                <w:sz w:val="21"/>
                <w:szCs w:val="21"/>
                <w:lang w:val="es-CO"/>
              </w:rPr>
              <w:t>para verificar si la práctica de pruebas modifica en algún sentido la calificación de la contingencia.</w:t>
            </w:r>
          </w:p>
        </w:tc>
      </w:tr>
    </w:tbl>
    <w:p w14:paraId="62DE5AAD" w14:textId="77777777" w:rsidR="00BF3035" w:rsidRPr="00786056" w:rsidRDefault="00BF3035">
      <w:pPr>
        <w:rPr>
          <w:rFonts w:cstheme="minorHAnsi"/>
          <w:sz w:val="21"/>
          <w:szCs w:val="21"/>
          <w:lang w:val="es-CO"/>
        </w:rPr>
      </w:pPr>
    </w:p>
    <w:p w14:paraId="2D481454" w14:textId="4A89AF4A" w:rsidR="00972C94" w:rsidRPr="00786056" w:rsidRDefault="00972C94">
      <w:pPr>
        <w:rPr>
          <w:rFonts w:cstheme="minorHAnsi"/>
          <w:b/>
          <w:color w:val="FF0000"/>
          <w:sz w:val="21"/>
          <w:szCs w:val="21"/>
          <w:lang w:val="es-CO"/>
        </w:rPr>
      </w:pPr>
      <w:r w:rsidRPr="00786056">
        <w:rPr>
          <w:rFonts w:cstheme="minorHAnsi"/>
          <w:b/>
          <w:color w:val="FF0000"/>
          <w:sz w:val="21"/>
          <w:szCs w:val="21"/>
          <w:lang w:val="es-CO"/>
        </w:rPr>
        <w:t xml:space="preserve">Nombre apoderado Chubb que realiza el informe: </w:t>
      </w:r>
      <w:r w:rsidR="00073C40" w:rsidRPr="00786056">
        <w:rPr>
          <w:rFonts w:cstheme="minorHAnsi"/>
          <w:b/>
          <w:color w:val="FF0000"/>
          <w:sz w:val="21"/>
          <w:szCs w:val="21"/>
          <w:lang w:val="es-CO"/>
        </w:rPr>
        <w:t>GUSTAVO ALBERTO HERRERA ÁVILA</w:t>
      </w:r>
    </w:p>
    <w:sectPr w:rsidR="00972C94" w:rsidRPr="00786056">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F22D" w14:textId="77777777" w:rsidR="002B4E6D" w:rsidRDefault="002B4E6D" w:rsidP="00464E10">
      <w:pPr>
        <w:spacing w:after="0" w:line="240" w:lineRule="auto"/>
      </w:pPr>
      <w:r>
        <w:separator/>
      </w:r>
    </w:p>
  </w:endnote>
  <w:endnote w:type="continuationSeparator" w:id="0">
    <w:p w14:paraId="1852FABA" w14:textId="77777777" w:rsidR="002B4E6D" w:rsidRDefault="002B4E6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9B5F" w14:textId="77777777" w:rsidR="002B4E6D" w:rsidRDefault="002B4E6D" w:rsidP="00464E10">
      <w:pPr>
        <w:spacing w:after="0" w:line="240" w:lineRule="auto"/>
      </w:pPr>
      <w:r>
        <w:separator/>
      </w:r>
    </w:p>
  </w:footnote>
  <w:footnote w:type="continuationSeparator" w:id="0">
    <w:p w14:paraId="1234F938" w14:textId="77777777" w:rsidR="002B4E6D" w:rsidRDefault="002B4E6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7298E"/>
    <w:multiLevelType w:val="hybridMultilevel"/>
    <w:tmpl w:val="002E3044"/>
    <w:lvl w:ilvl="0" w:tplc="2BD28022">
      <w:start w:val="1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2"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1795364559">
    <w:abstractNumId w:val="2"/>
  </w:num>
  <w:num w:numId="2" w16cid:durableId="1444225048">
    <w:abstractNumId w:val="1"/>
  </w:num>
  <w:num w:numId="3" w16cid:durableId="126638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12723"/>
    <w:rsid w:val="00032D4D"/>
    <w:rsid w:val="00061613"/>
    <w:rsid w:val="00062F94"/>
    <w:rsid w:val="00073C40"/>
    <w:rsid w:val="000E000A"/>
    <w:rsid w:val="000E7A4B"/>
    <w:rsid w:val="0010041D"/>
    <w:rsid w:val="00107A20"/>
    <w:rsid w:val="0011364F"/>
    <w:rsid w:val="001208B8"/>
    <w:rsid w:val="001637DE"/>
    <w:rsid w:val="001861D9"/>
    <w:rsid w:val="001D54FD"/>
    <w:rsid w:val="00202426"/>
    <w:rsid w:val="00225253"/>
    <w:rsid w:val="0023346F"/>
    <w:rsid w:val="00272259"/>
    <w:rsid w:val="00281CB9"/>
    <w:rsid w:val="002865D4"/>
    <w:rsid w:val="002958B0"/>
    <w:rsid w:val="002B4240"/>
    <w:rsid w:val="002B4E6D"/>
    <w:rsid w:val="002F01CC"/>
    <w:rsid w:val="003075CA"/>
    <w:rsid w:val="0031175D"/>
    <w:rsid w:val="00314B91"/>
    <w:rsid w:val="00331623"/>
    <w:rsid w:val="00341F6E"/>
    <w:rsid w:val="003A35CE"/>
    <w:rsid w:val="003B1067"/>
    <w:rsid w:val="003C401A"/>
    <w:rsid w:val="003D5921"/>
    <w:rsid w:val="003F152F"/>
    <w:rsid w:val="003F1C7E"/>
    <w:rsid w:val="00404E49"/>
    <w:rsid w:val="00430C05"/>
    <w:rsid w:val="00436014"/>
    <w:rsid w:val="004569D1"/>
    <w:rsid w:val="00464E10"/>
    <w:rsid w:val="0046782B"/>
    <w:rsid w:val="00474C09"/>
    <w:rsid w:val="00493F1D"/>
    <w:rsid w:val="004C6F78"/>
    <w:rsid w:val="004E6FEA"/>
    <w:rsid w:val="004F3F99"/>
    <w:rsid w:val="0052737C"/>
    <w:rsid w:val="00535371"/>
    <w:rsid w:val="00545BE0"/>
    <w:rsid w:val="0055290A"/>
    <w:rsid w:val="00564FB7"/>
    <w:rsid w:val="00593B95"/>
    <w:rsid w:val="005A6030"/>
    <w:rsid w:val="005B1DE9"/>
    <w:rsid w:val="005E0844"/>
    <w:rsid w:val="005F28D6"/>
    <w:rsid w:val="00600835"/>
    <w:rsid w:val="006332FC"/>
    <w:rsid w:val="006752FD"/>
    <w:rsid w:val="00675B7A"/>
    <w:rsid w:val="00693C3F"/>
    <w:rsid w:val="006B6AC6"/>
    <w:rsid w:val="006C5193"/>
    <w:rsid w:val="00713BAA"/>
    <w:rsid w:val="00721B5E"/>
    <w:rsid w:val="00747BD1"/>
    <w:rsid w:val="00752537"/>
    <w:rsid w:val="00770C1B"/>
    <w:rsid w:val="007832D3"/>
    <w:rsid w:val="00786056"/>
    <w:rsid w:val="00795BB3"/>
    <w:rsid w:val="007B404F"/>
    <w:rsid w:val="007B56E8"/>
    <w:rsid w:val="007C1ED6"/>
    <w:rsid w:val="007D24D7"/>
    <w:rsid w:val="007F064E"/>
    <w:rsid w:val="00810D9F"/>
    <w:rsid w:val="008218EE"/>
    <w:rsid w:val="008313BA"/>
    <w:rsid w:val="008336E4"/>
    <w:rsid w:val="00877354"/>
    <w:rsid w:val="008A63E8"/>
    <w:rsid w:val="008B15CE"/>
    <w:rsid w:val="008C7778"/>
    <w:rsid w:val="00931F1F"/>
    <w:rsid w:val="00955309"/>
    <w:rsid w:val="009610BE"/>
    <w:rsid w:val="00964F17"/>
    <w:rsid w:val="00971774"/>
    <w:rsid w:val="00972C94"/>
    <w:rsid w:val="00975BAE"/>
    <w:rsid w:val="009C5F5F"/>
    <w:rsid w:val="009D0EBE"/>
    <w:rsid w:val="009E58B2"/>
    <w:rsid w:val="00A023D7"/>
    <w:rsid w:val="00A06D0B"/>
    <w:rsid w:val="00A51635"/>
    <w:rsid w:val="00A56E8B"/>
    <w:rsid w:val="00A7088B"/>
    <w:rsid w:val="00A8478D"/>
    <w:rsid w:val="00AB3CDD"/>
    <w:rsid w:val="00AC128C"/>
    <w:rsid w:val="00AD07F3"/>
    <w:rsid w:val="00AD6C62"/>
    <w:rsid w:val="00AF7919"/>
    <w:rsid w:val="00B01B8A"/>
    <w:rsid w:val="00B23EA1"/>
    <w:rsid w:val="00B304C9"/>
    <w:rsid w:val="00B41C8E"/>
    <w:rsid w:val="00B636AB"/>
    <w:rsid w:val="00B94BBB"/>
    <w:rsid w:val="00BB042A"/>
    <w:rsid w:val="00BD250A"/>
    <w:rsid w:val="00BF3035"/>
    <w:rsid w:val="00BF4C90"/>
    <w:rsid w:val="00C00323"/>
    <w:rsid w:val="00C03918"/>
    <w:rsid w:val="00C04020"/>
    <w:rsid w:val="00C207E8"/>
    <w:rsid w:val="00C51E4E"/>
    <w:rsid w:val="00C60E0B"/>
    <w:rsid w:val="00C73A6A"/>
    <w:rsid w:val="00C84FF1"/>
    <w:rsid w:val="00CB0CEC"/>
    <w:rsid w:val="00CB13AC"/>
    <w:rsid w:val="00CD0108"/>
    <w:rsid w:val="00CF586C"/>
    <w:rsid w:val="00D067CB"/>
    <w:rsid w:val="00D13EEB"/>
    <w:rsid w:val="00D17A8B"/>
    <w:rsid w:val="00D27670"/>
    <w:rsid w:val="00D34AD8"/>
    <w:rsid w:val="00D37CA8"/>
    <w:rsid w:val="00D42A55"/>
    <w:rsid w:val="00D47832"/>
    <w:rsid w:val="00D8357B"/>
    <w:rsid w:val="00DB3CCD"/>
    <w:rsid w:val="00DF4211"/>
    <w:rsid w:val="00E01200"/>
    <w:rsid w:val="00E15128"/>
    <w:rsid w:val="00E24756"/>
    <w:rsid w:val="00E27408"/>
    <w:rsid w:val="00E3302D"/>
    <w:rsid w:val="00E4297A"/>
    <w:rsid w:val="00E46C79"/>
    <w:rsid w:val="00E63E2F"/>
    <w:rsid w:val="00E95DAC"/>
    <w:rsid w:val="00E97772"/>
    <w:rsid w:val="00F32507"/>
    <w:rsid w:val="00F42EBB"/>
    <w:rsid w:val="00F56E1E"/>
    <w:rsid w:val="00F62046"/>
    <w:rsid w:val="00F87449"/>
    <w:rsid w:val="00FD07DF"/>
    <w:rsid w:val="00FD3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535371"/>
    <w:rPr>
      <w:sz w:val="16"/>
      <w:szCs w:val="16"/>
    </w:rPr>
  </w:style>
  <w:style w:type="paragraph" w:styleId="Textocomentario">
    <w:name w:val="annotation text"/>
    <w:basedOn w:val="Normal"/>
    <w:link w:val="TextocomentarioCar"/>
    <w:uiPriority w:val="99"/>
    <w:semiHidden/>
    <w:unhideWhenUsed/>
    <w:rsid w:val="00535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371"/>
    <w:rPr>
      <w:sz w:val="20"/>
      <w:szCs w:val="20"/>
    </w:rPr>
  </w:style>
  <w:style w:type="paragraph" w:styleId="Asuntodelcomentario">
    <w:name w:val="annotation subject"/>
    <w:basedOn w:val="Textocomentario"/>
    <w:next w:val="Textocomentario"/>
    <w:link w:val="AsuntodelcomentarioCar"/>
    <w:uiPriority w:val="99"/>
    <w:semiHidden/>
    <w:unhideWhenUsed/>
    <w:rsid w:val="00535371"/>
    <w:rPr>
      <w:b/>
      <w:bCs/>
    </w:rPr>
  </w:style>
  <w:style w:type="character" w:customStyle="1" w:styleId="AsuntodelcomentarioCar">
    <w:name w:val="Asunto del comentario Car"/>
    <w:basedOn w:val="TextocomentarioCar"/>
    <w:link w:val="Asuntodelcomentario"/>
    <w:uiPriority w:val="99"/>
    <w:semiHidden/>
    <w:rsid w:val="00535371"/>
    <w:rPr>
      <w:b/>
      <w:bCs/>
      <w:sz w:val="20"/>
      <w:szCs w:val="20"/>
    </w:rPr>
  </w:style>
  <w:style w:type="paragraph" w:styleId="Textodeglobo">
    <w:name w:val="Balloon Text"/>
    <w:basedOn w:val="Normal"/>
    <w:link w:val="TextodegloboCar"/>
    <w:uiPriority w:val="99"/>
    <w:semiHidden/>
    <w:unhideWhenUsed/>
    <w:rsid w:val="005353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6681">
      <w:bodyDiv w:val="1"/>
      <w:marLeft w:val="0"/>
      <w:marRight w:val="0"/>
      <w:marTop w:val="0"/>
      <w:marBottom w:val="0"/>
      <w:divBdr>
        <w:top w:val="none" w:sz="0" w:space="0" w:color="auto"/>
        <w:left w:val="none" w:sz="0" w:space="0" w:color="auto"/>
        <w:bottom w:val="none" w:sz="0" w:space="0" w:color="auto"/>
        <w:right w:val="none" w:sz="0" w:space="0" w:color="auto"/>
      </w:divBdr>
    </w:div>
    <w:div w:id="7565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2.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1313</Words>
  <Characters>7222</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112</cp:revision>
  <dcterms:created xsi:type="dcterms:W3CDTF">2019-02-18T18:02:00Z</dcterms:created>
  <dcterms:modified xsi:type="dcterms:W3CDTF">2025-02-11T16:38:00Z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