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2D10B" w14:textId="030FB86E" w:rsidR="00DF71AF" w:rsidRPr="00D448EF" w:rsidRDefault="00DF71AF" w:rsidP="00DC556B">
      <w:pPr>
        <w:tabs>
          <w:tab w:val="left" w:pos="5626"/>
        </w:tabs>
        <w:spacing w:line="360" w:lineRule="auto"/>
        <w:rPr>
          <w:rFonts w:ascii="Arial" w:hAnsi="Arial" w:cs="Arial"/>
        </w:rPr>
      </w:pPr>
    </w:p>
    <w:p w14:paraId="45FCA091" w14:textId="77777777" w:rsidR="006122D3" w:rsidRPr="00D448EF" w:rsidRDefault="006122D3" w:rsidP="00DC556B">
      <w:pPr>
        <w:tabs>
          <w:tab w:val="left" w:pos="5626"/>
          <w:tab w:val="left" w:pos="9072"/>
        </w:tabs>
        <w:spacing w:line="360" w:lineRule="auto"/>
        <w:jc w:val="both"/>
        <w:rPr>
          <w:rFonts w:ascii="Arial" w:hAnsi="Arial" w:cs="Arial"/>
        </w:rPr>
      </w:pPr>
      <w:r w:rsidRPr="00D448EF">
        <w:rPr>
          <w:rFonts w:ascii="Arial" w:hAnsi="Arial" w:cs="Arial"/>
        </w:rPr>
        <w:t>Señores</w:t>
      </w:r>
    </w:p>
    <w:p w14:paraId="07A8BAD0" w14:textId="1726133B" w:rsidR="006122D3" w:rsidRPr="00D448EF" w:rsidRDefault="00D448EF" w:rsidP="00DC556B">
      <w:pPr>
        <w:tabs>
          <w:tab w:val="left" w:pos="5626"/>
          <w:tab w:val="left" w:pos="9072"/>
        </w:tabs>
        <w:spacing w:line="360" w:lineRule="auto"/>
        <w:jc w:val="both"/>
        <w:rPr>
          <w:rFonts w:ascii="Arial" w:hAnsi="Arial" w:cs="Arial"/>
          <w:b/>
          <w:bCs/>
        </w:rPr>
      </w:pPr>
      <w:r w:rsidRPr="00D448EF">
        <w:rPr>
          <w:rFonts w:ascii="Arial" w:hAnsi="Arial" w:cs="Arial"/>
          <w:b/>
          <w:bCs/>
        </w:rPr>
        <w:t>JUZGADO ONCE (11º) CIVIL DEL CIRCUITO DE CALI</w:t>
      </w:r>
    </w:p>
    <w:p w14:paraId="1DD1C222" w14:textId="7A0B8203" w:rsidR="00D448EF" w:rsidRPr="00D448EF" w:rsidRDefault="00D448EF" w:rsidP="00DC556B">
      <w:pPr>
        <w:tabs>
          <w:tab w:val="left" w:pos="5626"/>
          <w:tab w:val="left" w:pos="9072"/>
        </w:tabs>
        <w:spacing w:line="360" w:lineRule="auto"/>
        <w:jc w:val="both"/>
        <w:rPr>
          <w:rFonts w:ascii="Arial" w:hAnsi="Arial" w:cs="Arial"/>
        </w:rPr>
      </w:pPr>
      <w:hyperlink r:id="rId8" w:history="1">
        <w:r w:rsidRPr="00D448EF">
          <w:rPr>
            <w:rStyle w:val="Hipervnculo"/>
            <w:rFonts w:ascii="Arial" w:hAnsi="Arial" w:cs="Arial"/>
          </w:rPr>
          <w:t>j11cccali@cendoj.ramajudicial.gov.co</w:t>
        </w:r>
      </w:hyperlink>
      <w:r w:rsidRPr="00D448EF">
        <w:rPr>
          <w:rFonts w:ascii="Arial" w:hAnsi="Arial" w:cs="Arial"/>
        </w:rPr>
        <w:t xml:space="preserve"> </w:t>
      </w:r>
    </w:p>
    <w:p w14:paraId="58267B54" w14:textId="2ABC889D" w:rsidR="006122D3" w:rsidRPr="00D448EF" w:rsidRDefault="006122D3" w:rsidP="00DC556B">
      <w:pPr>
        <w:tabs>
          <w:tab w:val="left" w:pos="5626"/>
          <w:tab w:val="left" w:pos="9072"/>
        </w:tabs>
        <w:spacing w:line="360" w:lineRule="auto"/>
        <w:jc w:val="both"/>
        <w:rPr>
          <w:rFonts w:ascii="Arial" w:hAnsi="Arial" w:cs="Arial"/>
        </w:rPr>
      </w:pPr>
      <w:r w:rsidRPr="00D448EF">
        <w:rPr>
          <w:rFonts w:ascii="Arial" w:hAnsi="Arial" w:cs="Arial"/>
        </w:rPr>
        <w:t>E.      S.      D.</w:t>
      </w:r>
    </w:p>
    <w:p w14:paraId="57563349" w14:textId="77777777" w:rsidR="006122D3" w:rsidRPr="00D448EF" w:rsidRDefault="006122D3" w:rsidP="00DC556B">
      <w:pPr>
        <w:tabs>
          <w:tab w:val="left" w:pos="9072"/>
        </w:tabs>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7229"/>
      </w:tblGrid>
      <w:tr w:rsidR="006122D3" w:rsidRPr="00D448EF" w14:paraId="5CA74650" w14:textId="77777777" w:rsidTr="0024779E">
        <w:tc>
          <w:tcPr>
            <w:tcW w:w="1843" w:type="dxa"/>
          </w:tcPr>
          <w:p w14:paraId="20FA5555" w14:textId="5CCBDE99" w:rsidR="006122D3" w:rsidRPr="00D448EF" w:rsidRDefault="00504784" w:rsidP="00DC556B">
            <w:pPr>
              <w:tabs>
                <w:tab w:val="left" w:pos="9072"/>
              </w:tabs>
              <w:spacing w:line="360" w:lineRule="auto"/>
              <w:jc w:val="both"/>
              <w:rPr>
                <w:rFonts w:ascii="Arial" w:hAnsi="Arial" w:cs="Arial"/>
              </w:rPr>
            </w:pPr>
            <w:r>
              <w:rPr>
                <w:rFonts w:ascii="Arial" w:hAnsi="Arial" w:cs="Arial"/>
                <w:b/>
                <w:bCs/>
              </w:rPr>
              <w:t>PROCESO</w:t>
            </w:r>
            <w:r w:rsidR="006122D3" w:rsidRPr="00D448EF">
              <w:rPr>
                <w:rFonts w:ascii="Arial" w:hAnsi="Arial" w:cs="Arial"/>
              </w:rPr>
              <w:t xml:space="preserve">:       </w:t>
            </w:r>
          </w:p>
        </w:tc>
        <w:tc>
          <w:tcPr>
            <w:tcW w:w="7229" w:type="dxa"/>
          </w:tcPr>
          <w:p w14:paraId="3EA8613D" w14:textId="2092DCEE" w:rsidR="006122D3" w:rsidRPr="00D448EF" w:rsidRDefault="00C441A8" w:rsidP="00DC556B">
            <w:pPr>
              <w:tabs>
                <w:tab w:val="left" w:pos="9072"/>
              </w:tabs>
              <w:spacing w:line="360" w:lineRule="auto"/>
              <w:jc w:val="both"/>
              <w:rPr>
                <w:rFonts w:ascii="Arial" w:hAnsi="Arial" w:cs="Arial"/>
              </w:rPr>
            </w:pPr>
            <w:r w:rsidRPr="00D448EF">
              <w:rPr>
                <w:rFonts w:ascii="Arial" w:hAnsi="Arial" w:cs="Arial"/>
              </w:rPr>
              <w:t>VERBAL</w:t>
            </w:r>
            <w:r w:rsidR="00D448EF">
              <w:rPr>
                <w:rFonts w:ascii="Arial" w:hAnsi="Arial" w:cs="Arial"/>
              </w:rPr>
              <w:t xml:space="preserve"> </w:t>
            </w:r>
            <w:r w:rsidR="008E61D7">
              <w:rPr>
                <w:rFonts w:ascii="Arial" w:hAnsi="Arial" w:cs="Arial"/>
              </w:rPr>
              <w:t xml:space="preserve">DECLARATIVO </w:t>
            </w:r>
          </w:p>
        </w:tc>
      </w:tr>
      <w:tr w:rsidR="006122D3" w:rsidRPr="00D448EF" w14:paraId="5E8CB137" w14:textId="77777777" w:rsidTr="0024779E">
        <w:tc>
          <w:tcPr>
            <w:tcW w:w="1843" w:type="dxa"/>
          </w:tcPr>
          <w:p w14:paraId="18414D25" w14:textId="05174494" w:rsidR="006122D3" w:rsidRPr="00D448EF" w:rsidRDefault="00504784" w:rsidP="00DC556B">
            <w:pPr>
              <w:tabs>
                <w:tab w:val="left" w:pos="9072"/>
              </w:tabs>
              <w:spacing w:line="360" w:lineRule="auto"/>
              <w:jc w:val="both"/>
              <w:rPr>
                <w:rFonts w:ascii="Arial" w:hAnsi="Arial" w:cs="Arial"/>
              </w:rPr>
            </w:pPr>
            <w:r w:rsidRPr="00D448EF">
              <w:rPr>
                <w:rFonts w:ascii="Arial" w:hAnsi="Arial" w:cs="Arial"/>
                <w:b/>
                <w:bCs/>
              </w:rPr>
              <w:t>DEMANDANTE</w:t>
            </w:r>
            <w:r w:rsidR="006122D3" w:rsidRPr="00D448EF">
              <w:rPr>
                <w:rFonts w:ascii="Arial" w:hAnsi="Arial" w:cs="Arial"/>
              </w:rPr>
              <w:t xml:space="preserve">:            </w:t>
            </w:r>
          </w:p>
        </w:tc>
        <w:tc>
          <w:tcPr>
            <w:tcW w:w="7229" w:type="dxa"/>
          </w:tcPr>
          <w:p w14:paraId="1C39555E" w14:textId="590459A6" w:rsidR="006122D3" w:rsidRPr="00D448EF" w:rsidRDefault="00365A76" w:rsidP="00DC556B">
            <w:pPr>
              <w:tabs>
                <w:tab w:val="left" w:pos="5626"/>
                <w:tab w:val="left" w:pos="9072"/>
              </w:tabs>
              <w:spacing w:line="360" w:lineRule="auto"/>
              <w:jc w:val="both"/>
              <w:rPr>
                <w:rFonts w:ascii="Arial" w:hAnsi="Arial" w:cs="Arial"/>
              </w:rPr>
            </w:pPr>
            <w:r>
              <w:rPr>
                <w:rFonts w:ascii="Arial" w:hAnsi="Arial" w:cs="Arial"/>
              </w:rPr>
              <w:t>FABISALUD IPS S.A.S.</w:t>
            </w:r>
          </w:p>
        </w:tc>
      </w:tr>
      <w:tr w:rsidR="006122D3" w:rsidRPr="00D448EF" w14:paraId="58552291" w14:textId="77777777" w:rsidTr="0024779E">
        <w:tc>
          <w:tcPr>
            <w:tcW w:w="1843" w:type="dxa"/>
          </w:tcPr>
          <w:p w14:paraId="5677826A" w14:textId="14B86396" w:rsidR="006122D3" w:rsidRPr="00D448EF" w:rsidRDefault="00504784" w:rsidP="00DC556B">
            <w:pPr>
              <w:tabs>
                <w:tab w:val="left" w:pos="9072"/>
              </w:tabs>
              <w:spacing w:line="360" w:lineRule="auto"/>
              <w:jc w:val="both"/>
              <w:rPr>
                <w:rFonts w:ascii="Arial" w:hAnsi="Arial" w:cs="Arial"/>
              </w:rPr>
            </w:pPr>
            <w:r w:rsidRPr="00D448EF">
              <w:rPr>
                <w:rFonts w:ascii="Arial" w:hAnsi="Arial" w:cs="Arial"/>
                <w:b/>
                <w:bCs/>
                <w:lang w:val="es-CO"/>
              </w:rPr>
              <w:t>DEMANDADOS</w:t>
            </w:r>
            <w:r w:rsidR="006122D3" w:rsidRPr="00D448EF">
              <w:rPr>
                <w:rFonts w:ascii="Arial" w:hAnsi="Arial" w:cs="Arial"/>
                <w:lang w:val="es-CO"/>
              </w:rPr>
              <w:t xml:space="preserve">:           </w:t>
            </w:r>
          </w:p>
        </w:tc>
        <w:tc>
          <w:tcPr>
            <w:tcW w:w="7229" w:type="dxa"/>
          </w:tcPr>
          <w:p w14:paraId="41D30AE1" w14:textId="16F0191D" w:rsidR="006122D3" w:rsidRPr="00D448EF" w:rsidRDefault="00C441A8" w:rsidP="00DC556B">
            <w:pPr>
              <w:tabs>
                <w:tab w:val="left" w:pos="5626"/>
                <w:tab w:val="left" w:pos="9072"/>
              </w:tabs>
              <w:spacing w:line="360" w:lineRule="auto"/>
              <w:jc w:val="both"/>
              <w:rPr>
                <w:rFonts w:ascii="Arial" w:hAnsi="Arial" w:cs="Arial"/>
              </w:rPr>
            </w:pPr>
            <w:r w:rsidRPr="00D448EF">
              <w:rPr>
                <w:rFonts w:ascii="Arial" w:hAnsi="Arial" w:cs="Arial"/>
              </w:rPr>
              <w:t>EPS SURAMERICANA S.A..</w:t>
            </w:r>
          </w:p>
        </w:tc>
      </w:tr>
      <w:tr w:rsidR="006122D3" w:rsidRPr="00D448EF" w14:paraId="2673BF77" w14:textId="77777777" w:rsidTr="0024779E">
        <w:trPr>
          <w:trHeight w:val="91"/>
        </w:trPr>
        <w:tc>
          <w:tcPr>
            <w:tcW w:w="1843" w:type="dxa"/>
          </w:tcPr>
          <w:p w14:paraId="551C03CB" w14:textId="3CC86AF4" w:rsidR="006122D3" w:rsidRPr="00D448EF" w:rsidRDefault="00504784" w:rsidP="00DC556B">
            <w:pPr>
              <w:tabs>
                <w:tab w:val="left" w:pos="9072"/>
              </w:tabs>
              <w:spacing w:line="360" w:lineRule="auto"/>
              <w:jc w:val="both"/>
              <w:rPr>
                <w:rFonts w:ascii="Arial" w:hAnsi="Arial" w:cs="Arial"/>
              </w:rPr>
            </w:pPr>
            <w:r w:rsidRPr="00D448EF">
              <w:rPr>
                <w:rFonts w:ascii="Arial" w:hAnsi="Arial" w:cs="Arial"/>
                <w:b/>
                <w:bCs/>
              </w:rPr>
              <w:t>RADICACIÓN</w:t>
            </w:r>
            <w:r w:rsidR="006122D3" w:rsidRPr="00D448EF">
              <w:rPr>
                <w:rFonts w:ascii="Arial" w:hAnsi="Arial" w:cs="Arial"/>
              </w:rPr>
              <w:t xml:space="preserve">:               </w:t>
            </w:r>
          </w:p>
        </w:tc>
        <w:tc>
          <w:tcPr>
            <w:tcW w:w="7229" w:type="dxa"/>
          </w:tcPr>
          <w:p w14:paraId="2ECA6AE6" w14:textId="4147880B" w:rsidR="006122D3" w:rsidRPr="00D448EF" w:rsidRDefault="00365A76" w:rsidP="00DC556B">
            <w:pPr>
              <w:tabs>
                <w:tab w:val="left" w:pos="5626"/>
                <w:tab w:val="left" w:pos="9072"/>
              </w:tabs>
              <w:spacing w:line="360" w:lineRule="auto"/>
              <w:jc w:val="both"/>
              <w:rPr>
                <w:rFonts w:ascii="Arial" w:hAnsi="Arial" w:cs="Arial"/>
              </w:rPr>
            </w:pPr>
            <w:r>
              <w:rPr>
                <w:rFonts w:ascii="Arial" w:hAnsi="Arial" w:cs="Arial"/>
              </w:rPr>
              <w:t>760013103011-</w:t>
            </w:r>
            <w:r w:rsidRPr="008E61D7">
              <w:rPr>
                <w:rFonts w:ascii="Arial" w:hAnsi="Arial" w:cs="Arial"/>
                <w:b/>
                <w:bCs/>
                <w:u w:val="single"/>
              </w:rPr>
              <w:t>2024-00299</w:t>
            </w:r>
            <w:r>
              <w:rPr>
                <w:rFonts w:ascii="Arial" w:hAnsi="Arial" w:cs="Arial"/>
              </w:rPr>
              <w:t>-00</w:t>
            </w:r>
          </w:p>
        </w:tc>
      </w:tr>
    </w:tbl>
    <w:p w14:paraId="4184FDC4" w14:textId="77777777" w:rsidR="006122D3" w:rsidRPr="00D448EF" w:rsidRDefault="006122D3" w:rsidP="00DC556B">
      <w:pPr>
        <w:tabs>
          <w:tab w:val="left" w:pos="9072"/>
        </w:tabs>
        <w:spacing w:line="360" w:lineRule="auto"/>
        <w:jc w:val="both"/>
        <w:rPr>
          <w:rStyle w:val="normaltextrun"/>
          <w:rFonts w:ascii="Arial" w:hAnsi="Arial" w:cs="Arial"/>
        </w:rPr>
      </w:pPr>
      <w:r w:rsidRPr="00D448EF">
        <w:rPr>
          <w:rFonts w:ascii="Arial" w:hAnsi="Arial" w:cs="Arial"/>
        </w:rPr>
        <w:tab/>
      </w:r>
    </w:p>
    <w:p w14:paraId="26081143" w14:textId="4276777B" w:rsidR="006122D3" w:rsidRPr="00D448EF" w:rsidRDefault="006122D3" w:rsidP="00CC3A05">
      <w:pPr>
        <w:tabs>
          <w:tab w:val="left" w:pos="9072"/>
        </w:tabs>
        <w:spacing w:line="360" w:lineRule="auto"/>
        <w:ind w:right="276"/>
        <w:jc w:val="right"/>
        <w:rPr>
          <w:rStyle w:val="normaltextrun"/>
          <w:rFonts w:ascii="Arial" w:hAnsi="Arial" w:cs="Arial"/>
          <w:b/>
          <w:bCs/>
        </w:rPr>
      </w:pPr>
      <w:r w:rsidRPr="00D448EF">
        <w:rPr>
          <w:rStyle w:val="normaltextrun"/>
          <w:rFonts w:ascii="Arial" w:hAnsi="Arial" w:cs="Arial"/>
          <w:b/>
          <w:bCs/>
        </w:rPr>
        <w:t xml:space="preserve">ASUNTO: </w:t>
      </w:r>
      <w:r w:rsidR="00365A76">
        <w:rPr>
          <w:rStyle w:val="normaltextrun"/>
          <w:rFonts w:ascii="Arial" w:hAnsi="Arial" w:cs="Arial"/>
          <w:b/>
          <w:bCs/>
        </w:rPr>
        <w:t xml:space="preserve">SOLICITUD VINCULACIÓN </w:t>
      </w:r>
      <w:r w:rsidR="00CC3A05">
        <w:rPr>
          <w:rStyle w:val="normaltextrun"/>
          <w:rFonts w:ascii="Arial" w:hAnsi="Arial" w:cs="Arial"/>
          <w:b/>
          <w:bCs/>
        </w:rPr>
        <w:t>COMO LITIS CONSORTE NECESARIO DE LA “</w:t>
      </w:r>
      <w:r w:rsidR="00365A76">
        <w:rPr>
          <w:rStyle w:val="normaltextrun"/>
          <w:rFonts w:ascii="Arial" w:hAnsi="Arial" w:cs="Arial"/>
          <w:b/>
          <w:bCs/>
        </w:rPr>
        <w:t>ADRES</w:t>
      </w:r>
      <w:r w:rsidR="00CC3A05">
        <w:rPr>
          <w:rStyle w:val="normaltextrun"/>
          <w:rFonts w:ascii="Arial" w:hAnsi="Arial" w:cs="Arial"/>
          <w:b/>
          <w:bCs/>
        </w:rPr>
        <w:t>”</w:t>
      </w:r>
    </w:p>
    <w:p w14:paraId="1E8AEEA4" w14:textId="77777777" w:rsidR="006122D3" w:rsidRPr="00D448EF" w:rsidRDefault="006122D3" w:rsidP="00DC556B">
      <w:pPr>
        <w:tabs>
          <w:tab w:val="left" w:pos="9072"/>
        </w:tabs>
        <w:spacing w:line="360" w:lineRule="auto"/>
        <w:ind w:left="720" w:right="276"/>
        <w:jc w:val="right"/>
        <w:rPr>
          <w:rStyle w:val="normaltextrun"/>
          <w:rFonts w:ascii="Arial" w:hAnsi="Arial" w:cs="Arial"/>
          <w:b/>
          <w:bCs/>
        </w:rPr>
      </w:pPr>
    </w:p>
    <w:p w14:paraId="52F1BF00" w14:textId="7E181B17" w:rsidR="006122D3" w:rsidRDefault="006122D3" w:rsidP="00DC556B">
      <w:pPr>
        <w:pStyle w:val="Default"/>
        <w:spacing w:line="360" w:lineRule="auto"/>
        <w:jc w:val="both"/>
        <w:rPr>
          <w:b/>
          <w:bCs/>
          <w:sz w:val="22"/>
          <w:szCs w:val="22"/>
        </w:rPr>
      </w:pPr>
      <w:bookmarkStart w:id="0" w:name="OLE_LINK8"/>
      <w:r w:rsidRPr="00D448EF">
        <w:rPr>
          <w:rStyle w:val="normaltextrun"/>
          <w:b/>
          <w:bCs/>
          <w:sz w:val="22"/>
          <w:szCs w:val="22"/>
        </w:rPr>
        <w:t>GUSTAVO ALBERTO HERRERA ÁVILA</w:t>
      </w:r>
      <w:r w:rsidRPr="00D448EF">
        <w:rPr>
          <w:rStyle w:val="normaltextrun"/>
          <w:sz w:val="22"/>
          <w:szCs w:val="22"/>
        </w:rPr>
        <w:t xml:space="preserve"> conocido de autos, actuando en calidad de apoderado de </w:t>
      </w:r>
      <w:r w:rsidR="00330C16">
        <w:rPr>
          <w:rStyle w:val="normaltextrun"/>
          <w:b/>
          <w:bCs/>
          <w:sz w:val="22"/>
          <w:szCs w:val="22"/>
        </w:rPr>
        <w:t xml:space="preserve">EPS SURAMERICANA S.A. </w:t>
      </w:r>
      <w:r w:rsidR="00504784" w:rsidRPr="00504784">
        <w:rPr>
          <w:rFonts w:eastAsia="Arial MT"/>
          <w:color w:val="auto"/>
          <w:sz w:val="22"/>
          <w:szCs w:val="22"/>
          <w:lang w:val="es-ES"/>
        </w:rPr>
        <w:t xml:space="preserve">persona jurídica identificada con NIT 800.088.702-2, con domicilio en la ciudad de Medellín, representada legalmente por la doctora Vanesa Cano Pantoja tal y como se acredita de conformidad con el certificado de existencia y representación legal emitido por la Cámara de Comercio de Medellín adjunto en donde figura esta información. con dirección de notificaciones </w:t>
      </w:r>
      <w:hyperlink r:id="rId9" w:history="1">
        <w:r w:rsidR="00504784" w:rsidRPr="00504784">
          <w:rPr>
            <w:rFonts w:eastAsia="Arial MT"/>
            <w:color w:val="0563C1" w:themeColor="hyperlink"/>
            <w:sz w:val="22"/>
            <w:szCs w:val="22"/>
            <w:u w:val="single"/>
            <w:lang w:val="es-ES"/>
          </w:rPr>
          <w:t>notificacionesjudiciales@suramericana.com.co</w:t>
        </w:r>
      </w:hyperlink>
      <w:r w:rsidR="00330C16">
        <w:rPr>
          <w:sz w:val="22"/>
          <w:szCs w:val="22"/>
        </w:rPr>
        <w:t xml:space="preserve">, respetuosamente proceso a través del presente memorial </w:t>
      </w:r>
      <w:r w:rsidR="008E61D7">
        <w:rPr>
          <w:sz w:val="22"/>
          <w:szCs w:val="22"/>
        </w:rPr>
        <w:t xml:space="preserve">y de acuerdo con lo previsto en el artículo 61 del Código General del Proceso </w:t>
      </w:r>
      <w:r w:rsidR="00330C16">
        <w:rPr>
          <w:sz w:val="22"/>
          <w:szCs w:val="22"/>
        </w:rPr>
        <w:t xml:space="preserve">a </w:t>
      </w:r>
      <w:r w:rsidR="00330C16">
        <w:rPr>
          <w:b/>
          <w:bCs/>
          <w:sz w:val="22"/>
          <w:szCs w:val="22"/>
          <w:u w:val="single"/>
        </w:rPr>
        <w:t xml:space="preserve">SOLICITAR LA VINCULACIÓN </w:t>
      </w:r>
      <w:r w:rsidR="00330C16">
        <w:rPr>
          <w:sz w:val="22"/>
          <w:szCs w:val="22"/>
        </w:rPr>
        <w:t xml:space="preserve">de la </w:t>
      </w:r>
      <w:r w:rsidR="007C723F" w:rsidRPr="007C723F">
        <w:rPr>
          <w:b/>
          <w:bCs/>
          <w:sz w:val="22"/>
          <w:szCs w:val="22"/>
        </w:rPr>
        <w:t>ADMINISTRADORA DE LOS RECURSOS DEL SISTEMA GENERAL DE SEGURIDAD SOCIAL EN SALUD</w:t>
      </w:r>
      <w:r w:rsidR="007C723F">
        <w:rPr>
          <w:b/>
          <w:bCs/>
          <w:sz w:val="22"/>
          <w:szCs w:val="22"/>
        </w:rPr>
        <w:t xml:space="preserve"> (</w:t>
      </w:r>
      <w:r w:rsidR="007C723F" w:rsidRPr="007C723F">
        <w:rPr>
          <w:b/>
          <w:bCs/>
          <w:sz w:val="22"/>
          <w:szCs w:val="22"/>
        </w:rPr>
        <w:t>ADRES</w:t>
      </w:r>
      <w:r w:rsidR="007C723F">
        <w:rPr>
          <w:b/>
          <w:bCs/>
          <w:sz w:val="22"/>
          <w:szCs w:val="22"/>
        </w:rPr>
        <w:t>)</w:t>
      </w:r>
      <w:r w:rsidR="00DC556B">
        <w:rPr>
          <w:b/>
          <w:bCs/>
          <w:i/>
          <w:iCs/>
          <w:sz w:val="22"/>
          <w:szCs w:val="22"/>
        </w:rPr>
        <w:t xml:space="preserve"> </w:t>
      </w:r>
      <w:r w:rsidR="00DC556B" w:rsidRPr="00DC556B">
        <w:rPr>
          <w:sz w:val="22"/>
          <w:szCs w:val="22"/>
        </w:rPr>
        <w:t>como litisconsorte necesario</w:t>
      </w:r>
      <w:r w:rsidR="00330C16" w:rsidRPr="00330C16">
        <w:rPr>
          <w:i/>
          <w:iCs/>
          <w:sz w:val="22"/>
          <w:szCs w:val="22"/>
        </w:rPr>
        <w:t>,</w:t>
      </w:r>
      <w:r w:rsidR="00330C16" w:rsidRPr="00330C16">
        <w:rPr>
          <w:sz w:val="22"/>
          <w:szCs w:val="22"/>
        </w:rPr>
        <w:t xml:space="preserve"> al proceso de la referencia, conforme a las siguientes consideraciones:</w:t>
      </w:r>
      <w:r w:rsidR="00330C16">
        <w:rPr>
          <w:b/>
          <w:bCs/>
          <w:sz w:val="22"/>
          <w:szCs w:val="22"/>
        </w:rPr>
        <w:t xml:space="preserve"> </w:t>
      </w:r>
    </w:p>
    <w:p w14:paraId="3E50E536" w14:textId="77777777" w:rsidR="00DC556B" w:rsidRDefault="00DC556B" w:rsidP="00DC556B">
      <w:pPr>
        <w:pStyle w:val="Default"/>
        <w:spacing w:line="360" w:lineRule="auto"/>
        <w:jc w:val="both"/>
        <w:rPr>
          <w:b/>
          <w:bCs/>
          <w:sz w:val="22"/>
          <w:szCs w:val="22"/>
        </w:rPr>
      </w:pPr>
    </w:p>
    <w:p w14:paraId="1F395066" w14:textId="77777777" w:rsidR="006122D3" w:rsidRPr="00D448EF" w:rsidRDefault="006122D3" w:rsidP="00DC556B">
      <w:pPr>
        <w:pStyle w:val="Default"/>
        <w:spacing w:line="360" w:lineRule="auto"/>
        <w:jc w:val="both"/>
        <w:rPr>
          <w:sz w:val="22"/>
          <w:szCs w:val="22"/>
        </w:rPr>
      </w:pPr>
    </w:p>
    <w:bookmarkEnd w:id="0"/>
    <w:p w14:paraId="74CE1405" w14:textId="059BC3B8" w:rsidR="006122D3" w:rsidRPr="00D448EF" w:rsidRDefault="00330C16" w:rsidP="00DC556B">
      <w:pPr>
        <w:pStyle w:val="Ttulo1"/>
        <w:numPr>
          <w:ilvl w:val="0"/>
          <w:numId w:val="2"/>
        </w:numPr>
        <w:spacing w:line="360" w:lineRule="auto"/>
        <w:ind w:left="709"/>
        <w:jc w:val="center"/>
        <w:rPr>
          <w:rFonts w:ascii="Arial" w:hAnsi="Arial" w:cs="Arial"/>
          <w:sz w:val="22"/>
          <w:szCs w:val="22"/>
        </w:rPr>
      </w:pPr>
      <w:r>
        <w:rPr>
          <w:rFonts w:ascii="Arial" w:hAnsi="Arial" w:cs="Arial"/>
          <w:sz w:val="22"/>
          <w:szCs w:val="22"/>
        </w:rPr>
        <w:t>FUNDAMENTOS FACTICOS</w:t>
      </w:r>
    </w:p>
    <w:p w14:paraId="579DD63C" w14:textId="77777777" w:rsidR="00330C16" w:rsidRDefault="00330C16" w:rsidP="00DC556B">
      <w:pPr>
        <w:spacing w:line="360" w:lineRule="auto"/>
        <w:rPr>
          <w:rFonts w:ascii="Arial" w:hAnsi="Arial" w:cs="Arial"/>
          <w:lang w:val="es-MX"/>
        </w:rPr>
      </w:pPr>
    </w:p>
    <w:p w14:paraId="2CE65482" w14:textId="2D1CCB20" w:rsidR="00330C16" w:rsidRDefault="00DC556B" w:rsidP="00DC556B">
      <w:pPr>
        <w:spacing w:line="360" w:lineRule="auto"/>
        <w:jc w:val="both"/>
        <w:rPr>
          <w:rFonts w:ascii="Arial" w:hAnsi="Arial" w:cs="Arial"/>
          <w:lang w:val="es-MX"/>
        </w:rPr>
      </w:pPr>
      <w:r w:rsidRPr="00DC556B">
        <w:rPr>
          <w:rFonts w:ascii="Arial" w:hAnsi="Arial" w:cs="Arial"/>
          <w:b/>
          <w:bCs/>
          <w:lang w:val="es-MX"/>
        </w:rPr>
        <w:t>PRIMERO:</w:t>
      </w:r>
      <w:r>
        <w:rPr>
          <w:rFonts w:ascii="Arial" w:hAnsi="Arial" w:cs="Arial"/>
          <w:lang w:val="es-MX"/>
        </w:rPr>
        <w:t xml:space="preserve"> </w:t>
      </w:r>
      <w:r w:rsidR="006441E9">
        <w:rPr>
          <w:rFonts w:ascii="Arial" w:hAnsi="Arial" w:cs="Arial"/>
          <w:lang w:val="es-MX"/>
        </w:rPr>
        <w:t xml:space="preserve">El día 10 de octubre del 2024 FABISALUD IPS S.A.S., por intermedio de apoderado judicial interpuso una demanda de responsabilidad civil contractual en contra de EPS SURAMERICANA S.A., </w:t>
      </w:r>
      <w:r w:rsidR="003043C4">
        <w:rPr>
          <w:rFonts w:ascii="Arial" w:hAnsi="Arial" w:cs="Arial"/>
          <w:lang w:val="es-MX"/>
        </w:rPr>
        <w:t xml:space="preserve">de acuerdo con los fundamentos expuestos en el libelo de la demanda, esta corresponde al cobro de una serie de facturas que fueron generadas por la prestación de los servicios de urgencias y posteriores a los </w:t>
      </w:r>
      <w:r w:rsidR="00C65352">
        <w:rPr>
          <w:rFonts w:ascii="Arial" w:hAnsi="Arial" w:cs="Arial"/>
          <w:lang w:val="es-MX"/>
        </w:rPr>
        <w:t>afiliados</w:t>
      </w:r>
      <w:r w:rsidR="003043C4">
        <w:rPr>
          <w:rFonts w:ascii="Arial" w:hAnsi="Arial" w:cs="Arial"/>
          <w:lang w:val="es-MX"/>
        </w:rPr>
        <w:t xml:space="preserve"> a EPS SURAMERICANA S.A., para la atención de </w:t>
      </w:r>
      <w:r w:rsidR="00C65352">
        <w:rPr>
          <w:rFonts w:ascii="Arial" w:hAnsi="Arial" w:cs="Arial"/>
          <w:lang w:val="es-MX"/>
        </w:rPr>
        <w:t>lesiones</w:t>
      </w:r>
      <w:r w:rsidR="003043C4">
        <w:rPr>
          <w:rFonts w:ascii="Arial" w:hAnsi="Arial" w:cs="Arial"/>
          <w:lang w:val="es-MX"/>
        </w:rPr>
        <w:t xml:space="preserve"> sufridas por estos como </w:t>
      </w:r>
      <w:r w:rsidR="00C65352">
        <w:rPr>
          <w:rFonts w:ascii="Arial" w:hAnsi="Arial" w:cs="Arial"/>
          <w:lang w:val="es-MX"/>
        </w:rPr>
        <w:t>víctimas</w:t>
      </w:r>
      <w:r w:rsidR="003043C4">
        <w:rPr>
          <w:rFonts w:ascii="Arial" w:hAnsi="Arial" w:cs="Arial"/>
          <w:lang w:val="es-MX"/>
        </w:rPr>
        <w:t xml:space="preserve"> de accidente de </w:t>
      </w:r>
      <w:r w:rsidR="00C65352">
        <w:rPr>
          <w:rFonts w:ascii="Arial" w:hAnsi="Arial" w:cs="Arial"/>
          <w:lang w:val="es-MX"/>
        </w:rPr>
        <w:t>tránsito</w:t>
      </w:r>
      <w:r w:rsidR="003043C4">
        <w:rPr>
          <w:rFonts w:ascii="Arial" w:hAnsi="Arial" w:cs="Arial"/>
          <w:lang w:val="es-MX"/>
        </w:rPr>
        <w:t xml:space="preserve">, inicialmente como asegurado y/o beneficiarios del seguro SOAT o en el evento de no contar con dicha póliza </w:t>
      </w:r>
      <w:r w:rsidR="003043C4">
        <w:rPr>
          <w:rFonts w:ascii="Arial" w:hAnsi="Arial" w:cs="Arial"/>
          <w:b/>
          <w:bCs/>
          <w:u w:val="single"/>
          <w:lang w:val="es-MX"/>
        </w:rPr>
        <w:t>con cargo a los recursos de la subcuenta ECAT de la ADRES</w:t>
      </w:r>
      <w:r w:rsidR="003043C4">
        <w:rPr>
          <w:rFonts w:ascii="Arial" w:hAnsi="Arial" w:cs="Arial"/>
          <w:lang w:val="es-MX"/>
        </w:rPr>
        <w:t xml:space="preserve">, </w:t>
      </w:r>
    </w:p>
    <w:p w14:paraId="77133300" w14:textId="77777777" w:rsidR="00380181" w:rsidRDefault="00380181" w:rsidP="00DC556B">
      <w:pPr>
        <w:spacing w:line="360" w:lineRule="auto"/>
        <w:jc w:val="both"/>
        <w:rPr>
          <w:rFonts w:ascii="Arial" w:hAnsi="Arial" w:cs="Arial"/>
          <w:lang w:val="es-MX"/>
        </w:rPr>
      </w:pPr>
    </w:p>
    <w:p w14:paraId="10ADB3ED" w14:textId="38966AE4" w:rsidR="00380181" w:rsidRDefault="00DC556B" w:rsidP="00DC556B">
      <w:pPr>
        <w:spacing w:line="360" w:lineRule="auto"/>
        <w:jc w:val="both"/>
        <w:rPr>
          <w:rFonts w:ascii="Arial" w:hAnsi="Arial" w:cs="Arial"/>
          <w:lang w:val="es-MX"/>
        </w:rPr>
      </w:pPr>
      <w:r w:rsidRPr="00DC556B">
        <w:rPr>
          <w:rFonts w:ascii="Arial" w:hAnsi="Arial" w:cs="Arial"/>
          <w:b/>
          <w:bCs/>
          <w:lang w:val="es-MX"/>
        </w:rPr>
        <w:t>SEGUNDO</w:t>
      </w:r>
      <w:r>
        <w:rPr>
          <w:rFonts w:ascii="Arial" w:hAnsi="Arial" w:cs="Arial"/>
          <w:lang w:val="es-MX"/>
        </w:rPr>
        <w:t xml:space="preserve">: </w:t>
      </w:r>
      <w:r w:rsidR="00380181">
        <w:rPr>
          <w:rFonts w:ascii="Arial" w:hAnsi="Arial" w:cs="Arial"/>
          <w:lang w:val="es-MX"/>
        </w:rPr>
        <w:t>Según se explica en la demanda, los servicios de salud prestados por FABISALUD IPS S.A.S., superaron las coberturas de las pólizas SOAT conforme con los montos establecidos en el artículo 2.6.1.4.2.3. del Decreto 780 de 2016, siendo entonces estas atenciones las que fueron facturadas y cobradas a EPS SURAMERICANA S.A. En concreto, a través del proceso declarativo de la referencia, la parte demandante busca que se declare la existencia de las obligaciones a cargo de EPS SURAMERICANA S.A., consistente en los saldos objetados de las facturas cambiarias reclamadas por los servicios de salud, que se declare a mi representada como responsable del pago de las facturas cambiarias presuntamente radicadas por el demandante FABISALUD IPS S.A.S.,</w:t>
      </w:r>
    </w:p>
    <w:p w14:paraId="3A6194BD" w14:textId="1E5D2D54" w:rsidR="00380181" w:rsidRDefault="00380181" w:rsidP="00DC556B">
      <w:pPr>
        <w:spacing w:line="360" w:lineRule="auto"/>
        <w:jc w:val="both"/>
        <w:rPr>
          <w:rFonts w:ascii="Arial" w:hAnsi="Arial" w:cs="Arial"/>
          <w:lang w:val="es-MX"/>
        </w:rPr>
      </w:pPr>
    </w:p>
    <w:p w14:paraId="6B799AD6" w14:textId="74751AE1" w:rsidR="00380181" w:rsidRDefault="00DC556B" w:rsidP="00DC556B">
      <w:pPr>
        <w:spacing w:line="360" w:lineRule="auto"/>
        <w:jc w:val="both"/>
        <w:rPr>
          <w:rFonts w:ascii="Arial" w:hAnsi="Arial" w:cs="Arial"/>
          <w:lang w:val="es-MX"/>
        </w:rPr>
      </w:pPr>
      <w:r w:rsidRPr="00DC556B">
        <w:rPr>
          <w:rFonts w:ascii="Arial" w:hAnsi="Arial" w:cs="Arial"/>
          <w:b/>
          <w:bCs/>
          <w:lang w:val="es-MX"/>
        </w:rPr>
        <w:lastRenderedPageBreak/>
        <w:t>TERCERO:</w:t>
      </w:r>
      <w:r>
        <w:rPr>
          <w:rFonts w:ascii="Arial" w:hAnsi="Arial" w:cs="Arial"/>
          <w:lang w:val="es-MX"/>
        </w:rPr>
        <w:t xml:space="preserve"> </w:t>
      </w:r>
      <w:r w:rsidR="00380181">
        <w:rPr>
          <w:rFonts w:ascii="Arial" w:hAnsi="Arial" w:cs="Arial"/>
          <w:lang w:val="es-MX"/>
        </w:rPr>
        <w:t xml:space="preserve">En total se trata de 10 facturas presuntamente radicadas por FABISALUD IPS S.A.S., ante EPS SURAMERICANA S.A., con el lleno de todos los requisitos legales y normativos, </w:t>
      </w:r>
      <w:proofErr w:type="gramStart"/>
      <w:r w:rsidR="00380181">
        <w:rPr>
          <w:rFonts w:ascii="Arial" w:hAnsi="Arial" w:cs="Arial"/>
          <w:lang w:val="es-MX"/>
        </w:rPr>
        <w:t>y</w:t>
      </w:r>
      <w:proofErr w:type="gramEnd"/>
      <w:r w:rsidR="00380181">
        <w:rPr>
          <w:rFonts w:ascii="Arial" w:hAnsi="Arial" w:cs="Arial"/>
          <w:lang w:val="es-MX"/>
        </w:rPr>
        <w:t xml:space="preserve"> por tanto, alega la parte demandante exigibles, esto teniendo en cuenta que se trata de un titulo ejecutivo complejo. Es importante dejar en claro entonces que lo facturado por FABISALUD IPS S.A.S., a mi representada son los </w:t>
      </w:r>
      <w:r w:rsidR="00CE17D9">
        <w:rPr>
          <w:rFonts w:ascii="Arial" w:hAnsi="Arial" w:cs="Arial"/>
          <w:lang w:val="es-MX"/>
        </w:rPr>
        <w:t>servicios en</w:t>
      </w:r>
      <w:r w:rsidR="00380181">
        <w:rPr>
          <w:rFonts w:ascii="Arial" w:hAnsi="Arial" w:cs="Arial"/>
          <w:lang w:val="es-MX"/>
        </w:rPr>
        <w:t xml:space="preserve"> salud prestados a sus afiliados como víctimas de accidentes de tránsito, una vez fue agotada la respectiva póliza SOAT o en el caso de no haberla, con afectación a la cuenta ADRES del ECAT. </w:t>
      </w:r>
    </w:p>
    <w:p w14:paraId="669CF975" w14:textId="77777777" w:rsidR="00DC556B" w:rsidRDefault="00DC556B" w:rsidP="00DC556B">
      <w:pPr>
        <w:spacing w:line="360" w:lineRule="auto"/>
        <w:jc w:val="both"/>
        <w:rPr>
          <w:rFonts w:ascii="Arial" w:hAnsi="Arial" w:cs="Arial"/>
          <w:lang w:val="es-MX"/>
        </w:rPr>
      </w:pPr>
    </w:p>
    <w:p w14:paraId="14208066" w14:textId="4E6B8D8F" w:rsidR="00DC556B" w:rsidRPr="00DC556B" w:rsidRDefault="00DC556B" w:rsidP="00DC556B">
      <w:pPr>
        <w:spacing w:line="360" w:lineRule="auto"/>
        <w:jc w:val="both"/>
        <w:rPr>
          <w:rFonts w:ascii="Arial" w:hAnsi="Arial" w:cs="Arial"/>
        </w:rPr>
      </w:pPr>
      <w:r w:rsidRPr="00DC556B">
        <w:rPr>
          <w:rFonts w:ascii="Arial" w:hAnsi="Arial" w:cs="Arial"/>
          <w:lang w:val="es-CO"/>
        </w:rPr>
        <w:t xml:space="preserve">Una vez determinados los hechos que anteceden, procederé a exponer ante su Despacho </w:t>
      </w:r>
      <w:r w:rsidR="007C723F">
        <w:rPr>
          <w:rFonts w:ascii="Arial" w:hAnsi="Arial" w:cs="Arial"/>
          <w:lang w:val="es-CO"/>
        </w:rPr>
        <w:t xml:space="preserve">los fundamentos por los cuales es necesaria la vinculación de </w:t>
      </w:r>
      <w:r w:rsidR="007C723F">
        <w:rPr>
          <w:rFonts w:ascii="Arial" w:hAnsi="Arial" w:cs="Arial"/>
          <w:lang w:val="es-MX"/>
        </w:rPr>
        <w:t>Administradora de los Recursos del Sistema de Salud (ADRES)</w:t>
      </w:r>
      <w:r w:rsidRPr="00DC556B">
        <w:rPr>
          <w:rFonts w:ascii="Arial" w:hAnsi="Arial" w:cs="Arial"/>
          <w:lang w:val="es-CO"/>
        </w:rPr>
        <w:t>, para que se le imprima el trámite del artículo 61 del Código General del Proceso, de la siguiente manera:</w:t>
      </w:r>
    </w:p>
    <w:p w14:paraId="344576D2" w14:textId="77777777" w:rsidR="00DC556B" w:rsidRPr="00DC556B" w:rsidRDefault="00DC556B" w:rsidP="00DC556B">
      <w:pPr>
        <w:spacing w:line="360" w:lineRule="auto"/>
        <w:jc w:val="both"/>
        <w:rPr>
          <w:rFonts w:ascii="Arial" w:hAnsi="Arial" w:cs="Arial"/>
        </w:rPr>
      </w:pPr>
    </w:p>
    <w:p w14:paraId="3696490F" w14:textId="77777777" w:rsidR="00504784" w:rsidRDefault="00504784" w:rsidP="00DC556B">
      <w:pPr>
        <w:spacing w:line="360" w:lineRule="auto"/>
        <w:jc w:val="both"/>
        <w:rPr>
          <w:rFonts w:ascii="Arial" w:hAnsi="Arial" w:cs="Arial"/>
          <w:lang w:val="es-MX"/>
        </w:rPr>
      </w:pPr>
    </w:p>
    <w:p w14:paraId="5FDC611B" w14:textId="7D354E10" w:rsidR="001153EB" w:rsidRDefault="001153EB" w:rsidP="00DC556B">
      <w:pPr>
        <w:pStyle w:val="Ttulo1"/>
        <w:numPr>
          <w:ilvl w:val="0"/>
          <w:numId w:val="2"/>
        </w:numPr>
        <w:spacing w:line="360" w:lineRule="auto"/>
        <w:ind w:left="709"/>
        <w:jc w:val="center"/>
        <w:rPr>
          <w:rFonts w:ascii="Arial" w:hAnsi="Arial" w:cs="Arial"/>
          <w:sz w:val="22"/>
          <w:szCs w:val="22"/>
        </w:rPr>
      </w:pPr>
      <w:r>
        <w:rPr>
          <w:rFonts w:ascii="Arial" w:hAnsi="Arial" w:cs="Arial"/>
          <w:sz w:val="22"/>
          <w:szCs w:val="22"/>
        </w:rPr>
        <w:t>FUNDAMENTOS LEGALES</w:t>
      </w:r>
      <w:r w:rsidR="00DC556B">
        <w:rPr>
          <w:rFonts w:ascii="Arial" w:hAnsi="Arial" w:cs="Arial"/>
          <w:sz w:val="22"/>
          <w:szCs w:val="22"/>
        </w:rPr>
        <w:t xml:space="preserve"> DE LA SOLICITUD DE VINCULACIÓN DE </w:t>
      </w:r>
      <w:r w:rsidR="00DC556B" w:rsidRPr="00DC556B">
        <w:rPr>
          <w:rFonts w:ascii="Arial" w:hAnsi="Arial" w:cs="Arial"/>
          <w:sz w:val="22"/>
          <w:szCs w:val="22"/>
        </w:rPr>
        <w:t>ADMINISTRADORA DE LOS RECURSOS DEL SISTEMA GENERAL DE SEGURIDAD SOCIAL EN SALUD- ADRES</w:t>
      </w:r>
      <w:r w:rsidR="00DC556B" w:rsidRPr="00DC556B">
        <w:rPr>
          <w:rFonts w:ascii="Arial" w:hAnsi="Arial" w:cs="Arial"/>
          <w:b w:val="0"/>
          <w:bCs w:val="0"/>
          <w:sz w:val="22"/>
          <w:szCs w:val="22"/>
        </w:rPr>
        <w:t xml:space="preserve"> </w:t>
      </w:r>
      <w:r w:rsidR="00DC556B" w:rsidRPr="00DC556B">
        <w:rPr>
          <w:rFonts w:ascii="Arial" w:hAnsi="Arial" w:cs="Arial"/>
          <w:sz w:val="22"/>
          <w:szCs w:val="22"/>
        </w:rPr>
        <w:t>COMO LI</w:t>
      </w:r>
      <w:r w:rsidR="00DC556B">
        <w:rPr>
          <w:rFonts w:ascii="Arial" w:hAnsi="Arial" w:cs="Arial"/>
          <w:sz w:val="22"/>
          <w:szCs w:val="22"/>
        </w:rPr>
        <w:t xml:space="preserve">TISCONSORTE NECESARIO </w:t>
      </w:r>
    </w:p>
    <w:p w14:paraId="53EC7D5D" w14:textId="77777777" w:rsidR="001153EB" w:rsidRDefault="001153EB" w:rsidP="00DC556B">
      <w:pPr>
        <w:spacing w:line="360" w:lineRule="auto"/>
      </w:pPr>
    </w:p>
    <w:p w14:paraId="70E38D54" w14:textId="5CB04DD0" w:rsidR="00DC556B" w:rsidRDefault="00DC556B" w:rsidP="00DC556B">
      <w:pPr>
        <w:spacing w:line="360" w:lineRule="auto"/>
        <w:jc w:val="both"/>
        <w:rPr>
          <w:rFonts w:ascii="Arial" w:hAnsi="Arial" w:cs="Arial"/>
        </w:rPr>
      </w:pPr>
      <w:r>
        <w:rPr>
          <w:rFonts w:ascii="Arial" w:hAnsi="Arial" w:cs="Arial"/>
        </w:rPr>
        <w:t xml:space="preserve">Es necesario advertirle al Despacho que </w:t>
      </w:r>
      <w:r>
        <w:rPr>
          <w:rFonts w:ascii="Arial" w:hAnsi="Arial" w:cs="Arial"/>
          <w:lang w:val="es-MX"/>
        </w:rPr>
        <w:t>la Administradora de los Recursos del Sistema de Salud (</w:t>
      </w:r>
      <w:proofErr w:type="gramStart"/>
      <w:r>
        <w:rPr>
          <w:rFonts w:ascii="Arial" w:hAnsi="Arial" w:cs="Arial"/>
          <w:lang w:val="es-MX"/>
        </w:rPr>
        <w:t xml:space="preserve">ADRES) </w:t>
      </w:r>
      <w:r w:rsidRPr="00DC556B">
        <w:rPr>
          <w:rFonts w:ascii="Arial" w:hAnsi="Arial" w:cs="Arial"/>
        </w:rPr>
        <w:t xml:space="preserve"> </w:t>
      </w:r>
      <w:r>
        <w:rPr>
          <w:rFonts w:ascii="Arial" w:hAnsi="Arial" w:cs="Arial"/>
        </w:rPr>
        <w:t>es</w:t>
      </w:r>
      <w:proofErr w:type="gramEnd"/>
      <w:r w:rsidRPr="00DC556B">
        <w:rPr>
          <w:rFonts w:ascii="Arial" w:hAnsi="Arial" w:cs="Arial"/>
        </w:rPr>
        <w:t xml:space="preserve"> responsable de reconocer y pagar los servicios de salud prestados a las víctimas de accidentes de tránsito en aquellos eventos en los que el vehículo comprometido carezca de SOAT vigente, no haya sido identificado o pertenezca al rango diferencial por riesgo previsto en el artículo 2.6.1.4.2.3 del Decreto 780 de 2016 modificado por el Decreto 2497 de 2022. En este sentido, la decisión de mérito que se profiera en el presente proceso incide de manera directa y uniforme en los derechos y obligaciones de la ADRES, razón por la cual resulta indispensable su comparecencia para la adecuada integración del contradictorio y la validez de la sentencia.</w:t>
      </w:r>
    </w:p>
    <w:p w14:paraId="3321A2B5" w14:textId="77777777" w:rsidR="00DC556B" w:rsidRDefault="00DC556B" w:rsidP="00DC556B">
      <w:pPr>
        <w:spacing w:line="360" w:lineRule="auto"/>
        <w:jc w:val="both"/>
        <w:rPr>
          <w:rFonts w:ascii="Arial" w:hAnsi="Arial" w:cs="Arial"/>
        </w:rPr>
      </w:pPr>
    </w:p>
    <w:p w14:paraId="3C7F43F9" w14:textId="74E3DC90" w:rsidR="00DC556B" w:rsidRDefault="00DC556B" w:rsidP="00DC556B">
      <w:pPr>
        <w:spacing w:line="360" w:lineRule="auto"/>
        <w:jc w:val="both"/>
        <w:rPr>
          <w:rFonts w:ascii="Arial" w:hAnsi="Arial" w:cs="Arial"/>
          <w:lang w:val="es-MX"/>
        </w:rPr>
      </w:pPr>
      <w:r>
        <w:rPr>
          <w:rFonts w:ascii="Arial" w:hAnsi="Arial" w:cs="Arial"/>
        </w:rPr>
        <w:t>Para ello, establece</w:t>
      </w:r>
      <w:r w:rsidRPr="00DC556B">
        <w:rPr>
          <w:rFonts w:ascii="Arial" w:hAnsi="Arial" w:cs="Arial"/>
        </w:rPr>
        <w:t xml:space="preserve"> el artículo 61 del Código General del Proceso</w:t>
      </w:r>
      <w:r>
        <w:rPr>
          <w:rFonts w:ascii="Arial" w:hAnsi="Arial" w:cs="Arial"/>
        </w:rPr>
        <w:t xml:space="preserve">, respecto del </w:t>
      </w:r>
      <w:r w:rsidRPr="00DC556B">
        <w:rPr>
          <w:rFonts w:ascii="Arial" w:hAnsi="Arial" w:cs="Arial"/>
          <w:lang w:val="es-MX"/>
        </w:rPr>
        <w:t>Litisconsorcio necesario e integración del contradictorio</w:t>
      </w:r>
      <w:r>
        <w:rPr>
          <w:rFonts w:ascii="Arial" w:hAnsi="Arial" w:cs="Arial"/>
          <w:lang w:val="es-MX"/>
        </w:rPr>
        <w:t>, lo siguiente:</w:t>
      </w:r>
    </w:p>
    <w:p w14:paraId="3E15CD07" w14:textId="77777777" w:rsidR="00DC556B" w:rsidRDefault="00DC556B" w:rsidP="00DC556B">
      <w:pPr>
        <w:spacing w:line="360" w:lineRule="auto"/>
        <w:jc w:val="both"/>
        <w:rPr>
          <w:rFonts w:ascii="Arial" w:hAnsi="Arial" w:cs="Arial"/>
        </w:rPr>
      </w:pPr>
    </w:p>
    <w:p w14:paraId="62753FE5" w14:textId="115FA72F" w:rsidR="00DC556B" w:rsidRPr="00DC556B" w:rsidRDefault="00DC556B" w:rsidP="00DC556B">
      <w:pPr>
        <w:spacing w:line="360" w:lineRule="auto"/>
        <w:ind w:left="708" w:right="956"/>
        <w:jc w:val="both"/>
        <w:rPr>
          <w:rFonts w:ascii="Arial" w:hAnsi="Arial" w:cs="Arial"/>
          <w:i/>
          <w:iCs/>
          <w:lang w:val="es-MX"/>
        </w:rPr>
      </w:pPr>
      <w:r w:rsidRPr="00DC556B">
        <w:rPr>
          <w:rFonts w:ascii="Arial" w:hAnsi="Arial" w:cs="Arial"/>
          <w:i/>
          <w:iCs/>
          <w:lang w:val="es-MX"/>
        </w:rPr>
        <w:t>“Artículo 61. Litisconsorcio necesario e integración del contradictorio</w:t>
      </w:r>
    </w:p>
    <w:p w14:paraId="47B4FBF1" w14:textId="77777777" w:rsidR="00DC556B" w:rsidRPr="00DC556B" w:rsidRDefault="00DC556B" w:rsidP="00DC556B">
      <w:pPr>
        <w:spacing w:line="360" w:lineRule="auto"/>
        <w:ind w:left="708" w:right="956"/>
        <w:jc w:val="both"/>
        <w:rPr>
          <w:rFonts w:ascii="Arial" w:hAnsi="Arial" w:cs="Arial"/>
          <w:i/>
          <w:iCs/>
          <w:lang w:val="es-MX"/>
        </w:rPr>
      </w:pPr>
    </w:p>
    <w:p w14:paraId="4721263B" w14:textId="77777777" w:rsidR="00DC556B" w:rsidRPr="00DC556B" w:rsidRDefault="00DC556B" w:rsidP="00DC556B">
      <w:pPr>
        <w:spacing w:line="360" w:lineRule="auto"/>
        <w:ind w:left="708" w:right="956"/>
        <w:jc w:val="both"/>
        <w:rPr>
          <w:rFonts w:ascii="Arial" w:hAnsi="Arial" w:cs="Arial"/>
          <w:i/>
          <w:iCs/>
          <w:lang w:val="es-MX"/>
        </w:rPr>
      </w:pPr>
      <w:r w:rsidRPr="00DC556B">
        <w:rPr>
          <w:rFonts w:ascii="Arial" w:hAnsi="Arial" w:cs="Arial"/>
          <w:b/>
          <w:bCs/>
          <w:i/>
          <w:iCs/>
          <w:lang w:val="es-MX"/>
        </w:rPr>
        <w:t>Cuando el proceso verse sobre relaciones o actos jurídicos respecto de los cuales, por su naturaleza o por disposición legal, haya de resolverse de manera uniforme y no sea posible decidir de mérito sin la comparecencia de las personas que sean sujetos de tales relaciones o que intervinieron en dichos actos, la demanda deberá formularse por todas o dirigirse contra todas</w:t>
      </w:r>
      <w:r w:rsidRPr="00DC556B">
        <w:rPr>
          <w:rFonts w:ascii="Arial" w:hAnsi="Arial" w:cs="Arial"/>
          <w:i/>
          <w:iCs/>
          <w:lang w:val="es-MX"/>
        </w:rPr>
        <w:t xml:space="preserve">; </w:t>
      </w:r>
      <w:r w:rsidRPr="00DC556B">
        <w:rPr>
          <w:rFonts w:ascii="Arial" w:hAnsi="Arial" w:cs="Arial"/>
          <w:i/>
          <w:iCs/>
          <w:u w:val="single"/>
          <w:lang w:val="es-MX"/>
        </w:rPr>
        <w:t>si no se hiciere así</w:t>
      </w:r>
      <w:r w:rsidRPr="00DC556B">
        <w:rPr>
          <w:rFonts w:ascii="Arial" w:hAnsi="Arial" w:cs="Arial"/>
          <w:i/>
          <w:iCs/>
          <w:lang w:val="es-MX"/>
        </w:rPr>
        <w:t xml:space="preserve">, el juez, en el auto que admite la demanda, ordenará notificar y dar traslado de esta a </w:t>
      </w:r>
      <w:r w:rsidRPr="00DC556B">
        <w:rPr>
          <w:rFonts w:ascii="Arial" w:hAnsi="Arial" w:cs="Arial"/>
          <w:b/>
          <w:bCs/>
          <w:i/>
          <w:iCs/>
          <w:u w:val="single"/>
          <w:lang w:val="es-MX"/>
        </w:rPr>
        <w:t>quienes falten para integrar el contradictorio</w:t>
      </w:r>
      <w:r w:rsidRPr="00DC556B">
        <w:rPr>
          <w:rFonts w:ascii="Arial" w:hAnsi="Arial" w:cs="Arial"/>
          <w:i/>
          <w:iCs/>
          <w:lang w:val="es-MX"/>
        </w:rPr>
        <w:t>, en la forma y con el término de comparecencia dispuestos para el demandado.</w:t>
      </w:r>
    </w:p>
    <w:p w14:paraId="5DC490CE" w14:textId="77777777" w:rsidR="00DC556B" w:rsidRPr="00DC556B" w:rsidRDefault="00DC556B" w:rsidP="00DC556B">
      <w:pPr>
        <w:spacing w:line="360" w:lineRule="auto"/>
        <w:ind w:left="708" w:right="956"/>
        <w:jc w:val="both"/>
        <w:rPr>
          <w:rFonts w:ascii="Arial" w:hAnsi="Arial" w:cs="Arial"/>
          <w:i/>
          <w:iCs/>
          <w:lang w:val="es-MX"/>
        </w:rPr>
      </w:pPr>
    </w:p>
    <w:p w14:paraId="58F413D7" w14:textId="77777777" w:rsidR="00DC556B" w:rsidRPr="00DC556B" w:rsidRDefault="00DC556B" w:rsidP="00DC556B">
      <w:pPr>
        <w:spacing w:line="360" w:lineRule="auto"/>
        <w:ind w:left="708" w:right="956"/>
        <w:jc w:val="both"/>
        <w:rPr>
          <w:rFonts w:ascii="Arial" w:hAnsi="Arial" w:cs="Arial"/>
          <w:i/>
          <w:iCs/>
          <w:lang w:val="es-MX"/>
        </w:rPr>
      </w:pPr>
      <w:r w:rsidRPr="00DC556B">
        <w:rPr>
          <w:rFonts w:ascii="Arial" w:hAnsi="Arial" w:cs="Arial"/>
          <w:b/>
          <w:bCs/>
          <w:i/>
          <w:iCs/>
          <w:u w:val="single"/>
          <w:lang w:val="es-MX"/>
        </w:rPr>
        <w:t>En caso de no haberse ordenado el traslado al admitirse la demanda, el juez dispondrá la citación de las mencionadas personas, de oficio o a petición de parte, mientras no se haya dictado sentencia de primera instancia</w:t>
      </w:r>
      <w:r w:rsidRPr="00DC556B">
        <w:rPr>
          <w:rFonts w:ascii="Arial" w:hAnsi="Arial" w:cs="Arial"/>
          <w:i/>
          <w:iCs/>
          <w:lang w:val="es-MX"/>
        </w:rPr>
        <w:t xml:space="preserve">, y concederá a los citados </w:t>
      </w:r>
      <w:r w:rsidRPr="00DC556B">
        <w:rPr>
          <w:rFonts w:ascii="Arial" w:hAnsi="Arial" w:cs="Arial"/>
          <w:i/>
          <w:iCs/>
          <w:lang w:val="es-MX"/>
        </w:rPr>
        <w:lastRenderedPageBreak/>
        <w:t>el mismo término para que comparezcan. El proceso se suspenderá durante dicho término.</w:t>
      </w:r>
    </w:p>
    <w:p w14:paraId="26A9F340" w14:textId="77777777" w:rsidR="00DC556B" w:rsidRPr="00DC556B" w:rsidRDefault="00DC556B" w:rsidP="00DC556B">
      <w:pPr>
        <w:spacing w:line="360" w:lineRule="auto"/>
        <w:ind w:left="708" w:right="956"/>
        <w:jc w:val="both"/>
        <w:rPr>
          <w:rFonts w:ascii="Arial" w:hAnsi="Arial" w:cs="Arial"/>
          <w:i/>
          <w:iCs/>
          <w:lang w:val="es-MX"/>
        </w:rPr>
      </w:pPr>
    </w:p>
    <w:p w14:paraId="60E5B76A" w14:textId="77777777" w:rsidR="00DC556B" w:rsidRPr="00DC556B" w:rsidRDefault="00DC556B" w:rsidP="00DC556B">
      <w:pPr>
        <w:spacing w:line="360" w:lineRule="auto"/>
        <w:ind w:left="708" w:right="956"/>
        <w:jc w:val="both"/>
        <w:rPr>
          <w:rFonts w:ascii="Arial" w:hAnsi="Arial" w:cs="Arial"/>
          <w:i/>
          <w:iCs/>
          <w:lang w:val="es-MX"/>
        </w:rPr>
      </w:pPr>
      <w:r w:rsidRPr="00DC556B">
        <w:rPr>
          <w:rFonts w:ascii="Arial" w:hAnsi="Arial" w:cs="Arial"/>
          <w:i/>
          <w:iCs/>
          <w:lang w:val="es-MX"/>
        </w:rPr>
        <w:t>Si alguno de los convocados solicita pruebas en el escrito de intervención, el juez resolverá sobre ellas y si las decreta fijará audiencia para practicarlas.</w:t>
      </w:r>
    </w:p>
    <w:p w14:paraId="67BA3D30" w14:textId="77777777" w:rsidR="00DC556B" w:rsidRPr="00DC556B" w:rsidRDefault="00DC556B" w:rsidP="00DC556B">
      <w:pPr>
        <w:spacing w:line="360" w:lineRule="auto"/>
        <w:ind w:left="708" w:right="956"/>
        <w:jc w:val="both"/>
        <w:rPr>
          <w:rFonts w:ascii="Arial" w:hAnsi="Arial" w:cs="Arial"/>
          <w:i/>
          <w:iCs/>
          <w:lang w:val="es-MX"/>
        </w:rPr>
      </w:pPr>
    </w:p>
    <w:p w14:paraId="6ECA58EA" w14:textId="77777777" w:rsidR="00DC556B" w:rsidRPr="00DC556B" w:rsidRDefault="00DC556B" w:rsidP="00DC556B">
      <w:pPr>
        <w:spacing w:line="360" w:lineRule="auto"/>
        <w:ind w:left="708" w:right="956"/>
        <w:jc w:val="both"/>
        <w:rPr>
          <w:rFonts w:ascii="Arial" w:hAnsi="Arial" w:cs="Arial"/>
          <w:i/>
          <w:iCs/>
          <w:lang w:val="es-MX"/>
        </w:rPr>
      </w:pPr>
      <w:r w:rsidRPr="00DC556B">
        <w:rPr>
          <w:rFonts w:ascii="Arial" w:hAnsi="Arial" w:cs="Arial"/>
          <w:i/>
          <w:iCs/>
          <w:lang w:val="es-MX"/>
        </w:rPr>
        <w:t>Los recursos y en general las actuaciones de cada litisconsorte favorecerán a los demás. Sin embargo, los actos que impliquen disposición del derecho en litigio solo tendrán eficacia si emanan de todos.</w:t>
      </w:r>
    </w:p>
    <w:p w14:paraId="63C1FA39" w14:textId="77777777" w:rsidR="00DC556B" w:rsidRPr="00DC556B" w:rsidRDefault="00DC556B" w:rsidP="00DC556B">
      <w:pPr>
        <w:spacing w:line="360" w:lineRule="auto"/>
        <w:ind w:left="708" w:right="956"/>
        <w:jc w:val="both"/>
        <w:rPr>
          <w:rFonts w:ascii="Arial" w:hAnsi="Arial" w:cs="Arial"/>
          <w:i/>
          <w:iCs/>
          <w:lang w:val="es-MX"/>
        </w:rPr>
      </w:pPr>
    </w:p>
    <w:p w14:paraId="000CF6FF" w14:textId="3F5936E5" w:rsidR="00DC556B" w:rsidRPr="00DC556B" w:rsidRDefault="00DC556B" w:rsidP="00DC556B">
      <w:pPr>
        <w:spacing w:line="360" w:lineRule="auto"/>
        <w:ind w:left="708" w:right="956"/>
        <w:jc w:val="both"/>
        <w:rPr>
          <w:rFonts w:ascii="Arial" w:hAnsi="Arial" w:cs="Arial"/>
          <w:i/>
          <w:iCs/>
          <w:lang w:val="es-MX"/>
        </w:rPr>
      </w:pPr>
      <w:r w:rsidRPr="00DC556B">
        <w:rPr>
          <w:rFonts w:ascii="Arial" w:hAnsi="Arial" w:cs="Arial"/>
          <w:i/>
          <w:iCs/>
          <w:lang w:val="es-MX"/>
        </w:rPr>
        <w:t>Cuando alguno de los litisconsortes necesarios del demandante no figure en la demanda, podrá pedirse su vinculación acompañando la prueba de dicho litisconsorcio.”</w:t>
      </w:r>
      <w:r w:rsidR="007C723F">
        <w:rPr>
          <w:rFonts w:ascii="Arial" w:hAnsi="Arial" w:cs="Arial"/>
          <w:i/>
          <w:iCs/>
          <w:lang w:val="es-MX"/>
        </w:rPr>
        <w:t xml:space="preserve"> (Negrilla y subrayado fuera de texto). </w:t>
      </w:r>
    </w:p>
    <w:p w14:paraId="1418DBFE" w14:textId="77777777" w:rsidR="00DC556B" w:rsidRDefault="00DC556B" w:rsidP="00DC556B">
      <w:pPr>
        <w:spacing w:line="360" w:lineRule="auto"/>
        <w:jc w:val="both"/>
        <w:rPr>
          <w:rFonts w:ascii="Arial" w:hAnsi="Arial" w:cs="Arial"/>
          <w:lang w:val="es-MX"/>
        </w:rPr>
      </w:pPr>
    </w:p>
    <w:p w14:paraId="01F04E75" w14:textId="47D1C593" w:rsidR="00CD66DF" w:rsidRDefault="00CC3A05" w:rsidP="00DC556B">
      <w:pPr>
        <w:spacing w:line="360" w:lineRule="auto"/>
        <w:jc w:val="both"/>
        <w:rPr>
          <w:rFonts w:ascii="Arial" w:hAnsi="Arial" w:cs="Arial"/>
          <w:lang w:val="es-MX"/>
        </w:rPr>
      </w:pPr>
      <w:r w:rsidRPr="00CC3A05">
        <w:rPr>
          <w:rFonts w:ascii="Arial" w:hAnsi="Arial" w:cs="Arial"/>
        </w:rPr>
        <w:t xml:space="preserve">En este contexto, es preciso recordar </w:t>
      </w:r>
      <w:proofErr w:type="gramStart"/>
      <w:r>
        <w:rPr>
          <w:rFonts w:ascii="Arial" w:hAnsi="Arial" w:cs="Arial"/>
        </w:rPr>
        <w:t>que</w:t>
      </w:r>
      <w:proofErr w:type="gramEnd"/>
      <w:r>
        <w:rPr>
          <w:rFonts w:ascii="Arial" w:hAnsi="Arial" w:cs="Arial"/>
        </w:rPr>
        <w:t xml:space="preserve"> desde el </w:t>
      </w:r>
      <w:r w:rsidR="00482A67">
        <w:rPr>
          <w:rFonts w:ascii="Arial" w:hAnsi="Arial" w:cs="Arial"/>
          <w:lang w:val="es-MX"/>
        </w:rPr>
        <w:t xml:space="preserve">01 de agosto de 2017, la Administradora de los Recursos del Sistema de Salud (ADRES) es la entidad adscrita al Ministerio de Salud y Protección Social, que cuenta con personería jurídica, autonomía administrativa y financiera, y patrimonio independiente, que tiene a su cargo la administración de los recursos del Sistema General de Seguridad Social en salud. </w:t>
      </w:r>
      <w:r w:rsidR="00CD66DF">
        <w:rPr>
          <w:rFonts w:ascii="Arial" w:hAnsi="Arial" w:cs="Arial"/>
          <w:lang w:val="es-MX"/>
        </w:rPr>
        <w:t>La ADRES, como entidad ad</w:t>
      </w:r>
      <w:r w:rsidR="00776E15">
        <w:rPr>
          <w:rFonts w:ascii="Arial" w:hAnsi="Arial" w:cs="Arial"/>
          <w:lang w:val="es-MX"/>
        </w:rPr>
        <w:t>ministradora de los recursos del sistema de salud, es responsable de gestionar e</w:t>
      </w:r>
      <w:r w:rsidR="00CE17D9">
        <w:rPr>
          <w:rFonts w:ascii="Arial" w:hAnsi="Arial" w:cs="Arial"/>
          <w:lang w:val="es-MX"/>
        </w:rPr>
        <w:t>l</w:t>
      </w:r>
      <w:r w:rsidR="00776E15">
        <w:rPr>
          <w:rFonts w:ascii="Arial" w:hAnsi="Arial" w:cs="Arial"/>
          <w:lang w:val="es-MX"/>
        </w:rPr>
        <w:t xml:space="preserve"> trámite para el reconocimiento y pago de las reclamaciones presentada, de acuerdo con lo establecido en la normativa vigente. Igualmente, tiene la obligación de informar a la Superintendencia Nacional de Salud o a los organismos competente de inspección, vigilancia, control e investigación sobre cualquier inconsistencia detectada en la información reportada por los prestadores de servicios de salud. </w:t>
      </w:r>
    </w:p>
    <w:p w14:paraId="31724B1B" w14:textId="77777777" w:rsidR="00776E15" w:rsidRDefault="00776E15" w:rsidP="00DC556B">
      <w:pPr>
        <w:spacing w:line="360" w:lineRule="auto"/>
        <w:jc w:val="both"/>
        <w:rPr>
          <w:rFonts w:ascii="Arial" w:hAnsi="Arial" w:cs="Arial"/>
          <w:lang w:val="es-MX"/>
        </w:rPr>
      </w:pPr>
    </w:p>
    <w:p w14:paraId="1B1814D8" w14:textId="4B952E10" w:rsidR="00776E15" w:rsidRDefault="00776E15" w:rsidP="00DC556B">
      <w:pPr>
        <w:spacing w:line="360" w:lineRule="auto"/>
        <w:jc w:val="both"/>
        <w:rPr>
          <w:rFonts w:ascii="Arial" w:hAnsi="Arial" w:cs="Arial"/>
          <w:lang w:val="es-MX"/>
        </w:rPr>
      </w:pPr>
      <w:r>
        <w:rPr>
          <w:rFonts w:ascii="Arial" w:hAnsi="Arial" w:cs="Arial"/>
          <w:lang w:val="es-MX"/>
        </w:rPr>
        <w:t>La ADRES administra entre ot</w:t>
      </w:r>
      <w:r w:rsidR="00D941DB">
        <w:rPr>
          <w:rFonts w:ascii="Arial" w:hAnsi="Arial" w:cs="Arial"/>
          <w:lang w:val="es-MX"/>
        </w:rPr>
        <w:t>r</w:t>
      </w:r>
      <w:r>
        <w:rPr>
          <w:rFonts w:ascii="Arial" w:hAnsi="Arial" w:cs="Arial"/>
          <w:lang w:val="es-MX"/>
        </w:rPr>
        <w:t xml:space="preserve">os los recursos del FONSAT (Fondo del Seguro Obligatorio de Accidente de Tránsito): los cuales están destinados a cubrir los costos de atención a victimas de accidentes de tránsito que no están aseguradas o cuando no se identifica al responsable. Estos recursos equivalen al 50% de la prima anual del SOAT, y son cobrados como una contribución adicional, orientados a fortalecer la atención de accidentes de tránsito. </w:t>
      </w:r>
    </w:p>
    <w:p w14:paraId="721034D6" w14:textId="77777777" w:rsidR="00F5659F" w:rsidRDefault="00F5659F" w:rsidP="00DC556B">
      <w:pPr>
        <w:spacing w:line="360" w:lineRule="auto"/>
        <w:jc w:val="both"/>
        <w:rPr>
          <w:rFonts w:ascii="Arial" w:hAnsi="Arial" w:cs="Arial"/>
          <w:lang w:val="es-MX"/>
        </w:rPr>
      </w:pPr>
    </w:p>
    <w:p w14:paraId="1D4D3814" w14:textId="630A1226" w:rsidR="005C6559" w:rsidRDefault="00F5659F" w:rsidP="00DC556B">
      <w:pPr>
        <w:spacing w:line="360" w:lineRule="auto"/>
        <w:jc w:val="both"/>
        <w:rPr>
          <w:rFonts w:ascii="Arial" w:hAnsi="Arial" w:cs="Arial"/>
          <w:lang w:val="es-MX"/>
        </w:rPr>
      </w:pPr>
      <w:r>
        <w:rPr>
          <w:rFonts w:ascii="Arial" w:hAnsi="Arial" w:cs="Arial"/>
          <w:lang w:val="es-MX"/>
        </w:rPr>
        <w:t xml:space="preserve">De otro lado, se debe explicar que el SOAT es el Seguro Obligatorio de Accidentes de Tránsito (SOAT), creado por la Ley 33 de 1986, es un seguro obligatorio de daños corporales causados a las personas en accidentes de </w:t>
      </w:r>
      <w:r w:rsidR="005C6559">
        <w:rPr>
          <w:rFonts w:ascii="Arial" w:hAnsi="Arial" w:cs="Arial"/>
          <w:lang w:val="es-MX"/>
        </w:rPr>
        <w:t>tránsito</w:t>
      </w:r>
      <w:r>
        <w:rPr>
          <w:rFonts w:ascii="Arial" w:hAnsi="Arial" w:cs="Arial"/>
          <w:lang w:val="es-MX"/>
        </w:rPr>
        <w:t xml:space="preserve"> exigido para todos los vehículos que circulan en el territorio nacional. Su propósito es garantizar la atención médica y amparar los daños corporales y la muerte de las víctimas de accidente de </w:t>
      </w:r>
      <w:r w:rsidR="005C6559">
        <w:rPr>
          <w:rFonts w:ascii="Arial" w:hAnsi="Arial" w:cs="Arial"/>
          <w:lang w:val="es-MX"/>
        </w:rPr>
        <w:t>tránsito</w:t>
      </w:r>
      <w:r>
        <w:rPr>
          <w:rFonts w:ascii="Arial" w:hAnsi="Arial" w:cs="Arial"/>
          <w:lang w:val="es-MX"/>
        </w:rPr>
        <w:t xml:space="preserve">, incluyendo peatones, pasajeros y conductores, sin importar la responsable en el accidente.  </w:t>
      </w:r>
      <w:r w:rsidR="005C6559">
        <w:rPr>
          <w:rFonts w:ascii="Arial" w:hAnsi="Arial" w:cs="Arial"/>
          <w:lang w:val="es-MX"/>
        </w:rPr>
        <w:t>Con el SOAT se cubren los gastos médicos, quirúrgicos, farmacéuticos, hospitalarios, de incapacidad permanente, funerarios y de transporte asistencial. Además, contribuye al fortalecimiento de la infraestructura de urgencia del Sistema Nacional de Salud, en cumplimiento del numeral 2 del artículo 192 del Decreto Ley 663 de 1993, ac</w:t>
      </w:r>
      <w:r w:rsidR="002C07E9">
        <w:rPr>
          <w:rFonts w:ascii="Arial" w:hAnsi="Arial" w:cs="Arial"/>
          <w:lang w:val="es-MX"/>
        </w:rPr>
        <w:t>tuando</w:t>
      </w:r>
      <w:r w:rsidR="005C6559">
        <w:rPr>
          <w:rFonts w:ascii="Arial" w:hAnsi="Arial" w:cs="Arial"/>
          <w:lang w:val="es-MX"/>
        </w:rPr>
        <w:t xml:space="preserve"> como un instrumento de garantía del derecho a la salud y con una función social clave. </w:t>
      </w:r>
    </w:p>
    <w:p w14:paraId="34DB0754" w14:textId="77777777" w:rsidR="002C07E9" w:rsidRDefault="002C07E9" w:rsidP="00DC556B">
      <w:pPr>
        <w:spacing w:line="360" w:lineRule="auto"/>
        <w:jc w:val="both"/>
        <w:rPr>
          <w:rFonts w:ascii="Arial" w:hAnsi="Arial" w:cs="Arial"/>
          <w:lang w:val="es-MX"/>
        </w:rPr>
      </w:pPr>
    </w:p>
    <w:p w14:paraId="23448FF6" w14:textId="3514ED43" w:rsidR="002C07E9" w:rsidRDefault="002C07E9" w:rsidP="00DC556B">
      <w:pPr>
        <w:spacing w:line="360" w:lineRule="auto"/>
        <w:jc w:val="both"/>
        <w:rPr>
          <w:rFonts w:ascii="Arial" w:hAnsi="Arial" w:cs="Arial"/>
          <w:lang w:val="es-MX"/>
        </w:rPr>
      </w:pPr>
      <w:r>
        <w:rPr>
          <w:rFonts w:ascii="Arial" w:hAnsi="Arial" w:cs="Arial"/>
          <w:lang w:val="es-MX"/>
        </w:rPr>
        <w:t xml:space="preserve">Así las cosas, es necesario indicar que la ADRES asume el reconocimiento y pago de los servicios de salud prestados a las victimas de accidentes de tránsito cuando el vehículo comprometido en el accidente no cuenta con un SOAT vigente o cuando el vehículo no ha sido identificado, hasta los topes de las </w:t>
      </w:r>
      <w:r w:rsidR="00CE17D9">
        <w:rPr>
          <w:rFonts w:ascii="Arial" w:hAnsi="Arial" w:cs="Arial"/>
          <w:lang w:val="es-MX"/>
        </w:rPr>
        <w:lastRenderedPageBreak/>
        <w:t>coberturas</w:t>
      </w:r>
      <w:r>
        <w:rPr>
          <w:rFonts w:ascii="Arial" w:hAnsi="Arial" w:cs="Arial"/>
          <w:lang w:val="es-MX"/>
        </w:rPr>
        <w:t xml:space="preserve"> definidas en el artículo 2.6.1.4.2.3 del Decreto 780 de 2016. </w:t>
      </w:r>
    </w:p>
    <w:p w14:paraId="07917B34" w14:textId="77777777" w:rsidR="00371AB5" w:rsidRDefault="00371AB5" w:rsidP="00DC556B">
      <w:pPr>
        <w:spacing w:line="360" w:lineRule="auto"/>
        <w:jc w:val="both"/>
        <w:rPr>
          <w:rFonts w:ascii="Arial" w:hAnsi="Arial" w:cs="Arial"/>
          <w:lang w:val="es-MX"/>
        </w:rPr>
      </w:pPr>
    </w:p>
    <w:p w14:paraId="1C1AEBDF" w14:textId="7EDEE7D2" w:rsidR="00371AB5" w:rsidRDefault="00371AB5" w:rsidP="00DC556B">
      <w:pPr>
        <w:spacing w:line="360" w:lineRule="auto"/>
        <w:jc w:val="both"/>
        <w:rPr>
          <w:rFonts w:ascii="Arial" w:hAnsi="Arial" w:cs="Arial"/>
          <w:lang w:val="es-MX"/>
        </w:rPr>
      </w:pPr>
      <w:r>
        <w:rPr>
          <w:rFonts w:ascii="Arial" w:hAnsi="Arial" w:cs="Arial"/>
          <w:lang w:val="es-MX"/>
        </w:rPr>
        <w:t xml:space="preserve">Ahora bien, existe un rango diferencial por riesgo del SOAT, el cual fue creado por el Gobierno Nacional para establecer tarifas reducidas en 14 </w:t>
      </w:r>
      <w:r w:rsidR="00CE17D9">
        <w:rPr>
          <w:rFonts w:ascii="Arial" w:hAnsi="Arial" w:cs="Arial"/>
          <w:lang w:val="es-MX"/>
        </w:rPr>
        <w:t>categorías</w:t>
      </w:r>
      <w:r>
        <w:rPr>
          <w:rFonts w:ascii="Arial" w:hAnsi="Arial" w:cs="Arial"/>
          <w:lang w:val="es-MX"/>
        </w:rPr>
        <w:t xml:space="preserve"> de vehículos, como medida para mejorar el acceso a este seguro y combatir la evasión, de manera que se garantice el cumplimiento de la función social del respectivo seguro. </w:t>
      </w:r>
    </w:p>
    <w:p w14:paraId="1F31EBE4" w14:textId="1E53648B" w:rsidR="00371AB5" w:rsidRDefault="00371AB5" w:rsidP="00DC556B">
      <w:pPr>
        <w:spacing w:line="360" w:lineRule="auto"/>
        <w:jc w:val="both"/>
        <w:rPr>
          <w:rFonts w:ascii="Arial" w:hAnsi="Arial" w:cs="Arial"/>
          <w:lang w:val="es-MX"/>
        </w:rPr>
      </w:pPr>
    </w:p>
    <w:p w14:paraId="70440842" w14:textId="3417EE34" w:rsidR="00371AB5" w:rsidRDefault="00371AB5" w:rsidP="00DC556B">
      <w:pPr>
        <w:spacing w:line="360" w:lineRule="auto"/>
        <w:jc w:val="both"/>
        <w:rPr>
          <w:rFonts w:ascii="Arial" w:hAnsi="Arial" w:cs="Arial"/>
          <w:lang w:val="es-MX"/>
        </w:rPr>
      </w:pPr>
      <w:r>
        <w:rPr>
          <w:rFonts w:ascii="Arial" w:hAnsi="Arial" w:cs="Arial"/>
          <w:lang w:val="es-MX"/>
        </w:rPr>
        <w:t xml:space="preserve">En caso de un evento cubierto por el SOAT bajo el rango diferencial, la ADRES reconocerá los </w:t>
      </w:r>
      <w:r w:rsidR="00FB6A19">
        <w:rPr>
          <w:rFonts w:ascii="Arial" w:hAnsi="Arial" w:cs="Arial"/>
          <w:lang w:val="es-MX"/>
        </w:rPr>
        <w:t>servicios</w:t>
      </w:r>
      <w:r>
        <w:rPr>
          <w:rFonts w:ascii="Arial" w:hAnsi="Arial" w:cs="Arial"/>
          <w:lang w:val="es-MX"/>
        </w:rPr>
        <w:t xml:space="preserve"> de salud que excedan las 263.13 UVT y hasta 701.68 UVT, garantizando que no se vean afectadas las coberturas, las garantías ni el derecho a la salud de los beneficiarios. </w:t>
      </w:r>
      <w:r w:rsidR="00FB6A19">
        <w:rPr>
          <w:rFonts w:ascii="Arial" w:hAnsi="Arial" w:cs="Arial"/>
          <w:lang w:val="es-MX"/>
        </w:rPr>
        <w:t>Según el artículo 3º del Decreto 2497 de 2022, el cual modificó el artículo 2.6.1.4.2.3 de la Sección 2, del Capítulo 4 del Título 1 de la parte 6 del libro 2, del Decreto 780 de 2016</w:t>
      </w:r>
      <w:r w:rsidR="00C20940">
        <w:rPr>
          <w:rFonts w:ascii="Arial" w:hAnsi="Arial" w:cs="Arial"/>
          <w:lang w:val="es-MX"/>
        </w:rPr>
        <w:t xml:space="preserve">, en su numeral 3º indica que la Administradora de Recursos del Sistema General de Seguridad Social en Salud- </w:t>
      </w:r>
      <w:r w:rsidR="00C20940">
        <w:rPr>
          <w:rFonts w:ascii="Arial" w:hAnsi="Arial" w:cs="Arial"/>
          <w:b/>
          <w:bCs/>
          <w:u w:val="single"/>
          <w:lang w:val="es-MX"/>
        </w:rPr>
        <w:t>ADRES,</w:t>
      </w:r>
      <w:r w:rsidR="00C20940" w:rsidRPr="007C723F">
        <w:rPr>
          <w:rFonts w:ascii="Arial" w:hAnsi="Arial" w:cs="Arial"/>
          <w:b/>
          <w:bCs/>
          <w:lang w:val="es-MX"/>
        </w:rPr>
        <w:t xml:space="preserve"> </w:t>
      </w:r>
      <w:r w:rsidR="00C20940">
        <w:rPr>
          <w:rFonts w:ascii="Arial" w:hAnsi="Arial" w:cs="Arial"/>
          <w:lang w:val="es-MX"/>
        </w:rPr>
        <w:t>cuando los servicios que se presten superen los 300 salario mínimos diarios legales vigentes (</w:t>
      </w:r>
      <w:proofErr w:type="spellStart"/>
      <w:r w:rsidR="00C20940">
        <w:rPr>
          <w:rFonts w:ascii="Arial" w:hAnsi="Arial" w:cs="Arial"/>
          <w:lang w:val="es-MX"/>
        </w:rPr>
        <w:t>smldv</w:t>
      </w:r>
      <w:proofErr w:type="spellEnd"/>
      <w:r w:rsidR="00C20940">
        <w:rPr>
          <w:rFonts w:ascii="Arial" w:hAnsi="Arial" w:cs="Arial"/>
          <w:lang w:val="es-MX"/>
        </w:rPr>
        <w:t>) y hasta 800 salarios mínimos legales diarios vigentes (</w:t>
      </w:r>
      <w:proofErr w:type="spellStart"/>
      <w:r w:rsidR="00C20940">
        <w:rPr>
          <w:rFonts w:ascii="Arial" w:hAnsi="Arial" w:cs="Arial"/>
          <w:lang w:val="es-MX"/>
        </w:rPr>
        <w:t>smlmd</w:t>
      </w:r>
      <w:proofErr w:type="spellEnd"/>
      <w:r w:rsidR="00C20940">
        <w:rPr>
          <w:rFonts w:ascii="Arial" w:hAnsi="Arial" w:cs="Arial"/>
          <w:lang w:val="es-MX"/>
        </w:rPr>
        <w:t xml:space="preserve">) como consecuencia de un accidente de tránsito en el que el vehículo involucrado se encuentre amparado con la póliza del Seguro Obligatorio de Accidentes de Tránsito -SOAT y haga parte del rango diferencial por riesgo de que trata el incido segundo del numeral primero de este artículo. </w:t>
      </w:r>
    </w:p>
    <w:p w14:paraId="21477A3C" w14:textId="77777777" w:rsidR="00C20940" w:rsidRDefault="00C20940" w:rsidP="00DC556B">
      <w:pPr>
        <w:spacing w:line="360" w:lineRule="auto"/>
        <w:jc w:val="both"/>
        <w:rPr>
          <w:rFonts w:ascii="Arial" w:hAnsi="Arial" w:cs="Arial"/>
          <w:lang w:val="es-MX"/>
        </w:rPr>
      </w:pPr>
    </w:p>
    <w:p w14:paraId="189D0D04" w14:textId="17D6C828" w:rsidR="00C20940" w:rsidRDefault="00C20940" w:rsidP="00DC556B">
      <w:pPr>
        <w:spacing w:line="360" w:lineRule="auto"/>
        <w:jc w:val="both"/>
        <w:rPr>
          <w:rFonts w:ascii="Arial" w:hAnsi="Arial" w:cs="Arial"/>
          <w:lang w:val="es-MX"/>
        </w:rPr>
      </w:pPr>
      <w:r>
        <w:rPr>
          <w:rFonts w:ascii="Arial" w:hAnsi="Arial" w:cs="Arial"/>
          <w:lang w:val="es-MX"/>
        </w:rPr>
        <w:t xml:space="preserve">Este rango diferencial incluye los siguientes vehículos: </w:t>
      </w:r>
    </w:p>
    <w:p w14:paraId="3CCA7FA5" w14:textId="77777777" w:rsidR="00C20940" w:rsidRDefault="00C20940" w:rsidP="00DC556B">
      <w:pPr>
        <w:spacing w:line="360" w:lineRule="auto"/>
        <w:jc w:val="both"/>
        <w:rPr>
          <w:rFonts w:ascii="Arial" w:hAnsi="Arial" w:cs="Arial"/>
          <w:lang w:val="es-MX"/>
        </w:rPr>
      </w:pPr>
    </w:p>
    <w:p w14:paraId="02F853DA" w14:textId="77777777" w:rsidR="00C20940" w:rsidRPr="00C20940" w:rsidRDefault="00C20940" w:rsidP="00DC556B">
      <w:pPr>
        <w:pStyle w:val="Prrafodelista"/>
        <w:numPr>
          <w:ilvl w:val="0"/>
          <w:numId w:val="3"/>
        </w:numPr>
        <w:spacing w:line="360" w:lineRule="auto"/>
        <w:jc w:val="both"/>
        <w:rPr>
          <w:rFonts w:ascii="Arial" w:hAnsi="Arial" w:cs="Arial"/>
          <w:i/>
          <w:iCs/>
        </w:rPr>
      </w:pPr>
      <w:r w:rsidRPr="00C20940">
        <w:rPr>
          <w:rFonts w:ascii="Arial" w:hAnsi="Arial" w:cs="Arial"/>
          <w:i/>
          <w:iCs/>
        </w:rPr>
        <w:t xml:space="preserve">ciclomotor, </w:t>
      </w:r>
    </w:p>
    <w:p w14:paraId="50768AE5" w14:textId="77777777" w:rsidR="00C20940" w:rsidRPr="00C20940" w:rsidRDefault="00C20940" w:rsidP="00DC556B">
      <w:pPr>
        <w:pStyle w:val="Prrafodelista"/>
        <w:numPr>
          <w:ilvl w:val="0"/>
          <w:numId w:val="3"/>
        </w:numPr>
        <w:spacing w:line="360" w:lineRule="auto"/>
        <w:jc w:val="both"/>
        <w:rPr>
          <w:rFonts w:ascii="Arial" w:hAnsi="Arial" w:cs="Arial"/>
          <w:i/>
          <w:iCs/>
        </w:rPr>
      </w:pPr>
      <w:r w:rsidRPr="00C20940">
        <w:rPr>
          <w:rFonts w:ascii="Arial" w:hAnsi="Arial" w:cs="Arial"/>
          <w:i/>
          <w:iCs/>
        </w:rPr>
        <w:t xml:space="preserve">motos de menos de 100 </w:t>
      </w:r>
      <w:proofErr w:type="spellStart"/>
      <w:r w:rsidRPr="00C20940">
        <w:rPr>
          <w:rFonts w:ascii="Arial" w:hAnsi="Arial" w:cs="Arial"/>
          <w:i/>
          <w:iCs/>
        </w:rPr>
        <w:t>cc</w:t>
      </w:r>
      <w:proofErr w:type="spellEnd"/>
      <w:r w:rsidRPr="00C20940">
        <w:rPr>
          <w:rFonts w:ascii="Arial" w:hAnsi="Arial" w:cs="Arial"/>
          <w:i/>
          <w:iCs/>
        </w:rPr>
        <w:t xml:space="preserve">, </w:t>
      </w:r>
    </w:p>
    <w:p w14:paraId="251EA3B2" w14:textId="77777777" w:rsidR="00C20940" w:rsidRPr="00C20940" w:rsidRDefault="00C20940" w:rsidP="00DC556B">
      <w:pPr>
        <w:pStyle w:val="Prrafodelista"/>
        <w:numPr>
          <w:ilvl w:val="0"/>
          <w:numId w:val="3"/>
        </w:numPr>
        <w:spacing w:line="360" w:lineRule="auto"/>
        <w:jc w:val="both"/>
        <w:rPr>
          <w:rFonts w:ascii="Arial" w:hAnsi="Arial" w:cs="Arial"/>
          <w:i/>
          <w:iCs/>
        </w:rPr>
      </w:pPr>
      <w:r w:rsidRPr="00C20940">
        <w:rPr>
          <w:rFonts w:ascii="Arial" w:hAnsi="Arial" w:cs="Arial"/>
          <w:i/>
          <w:iCs/>
        </w:rPr>
        <w:t xml:space="preserve">motos de 100 </w:t>
      </w:r>
      <w:proofErr w:type="spellStart"/>
      <w:r w:rsidRPr="00C20940">
        <w:rPr>
          <w:rFonts w:ascii="Arial" w:hAnsi="Arial" w:cs="Arial"/>
          <w:i/>
          <w:iCs/>
        </w:rPr>
        <w:t>cc</w:t>
      </w:r>
      <w:proofErr w:type="spellEnd"/>
      <w:r w:rsidRPr="00C20940">
        <w:rPr>
          <w:rFonts w:ascii="Arial" w:hAnsi="Arial" w:cs="Arial"/>
          <w:i/>
          <w:iCs/>
        </w:rPr>
        <w:t xml:space="preserve"> y hasta 200 </w:t>
      </w:r>
      <w:proofErr w:type="spellStart"/>
      <w:r w:rsidRPr="00C20940">
        <w:rPr>
          <w:rFonts w:ascii="Arial" w:hAnsi="Arial" w:cs="Arial"/>
          <w:i/>
          <w:iCs/>
        </w:rPr>
        <w:t>cc</w:t>
      </w:r>
      <w:proofErr w:type="spellEnd"/>
      <w:r w:rsidRPr="00C20940">
        <w:rPr>
          <w:rFonts w:ascii="Arial" w:hAnsi="Arial" w:cs="Arial"/>
          <w:i/>
          <w:iCs/>
        </w:rPr>
        <w:t xml:space="preserve">, </w:t>
      </w:r>
    </w:p>
    <w:p w14:paraId="31B749BC" w14:textId="77777777" w:rsidR="00C20940" w:rsidRPr="00C20940" w:rsidRDefault="00C20940" w:rsidP="00DC556B">
      <w:pPr>
        <w:pStyle w:val="Prrafodelista"/>
        <w:numPr>
          <w:ilvl w:val="0"/>
          <w:numId w:val="3"/>
        </w:numPr>
        <w:spacing w:line="360" w:lineRule="auto"/>
        <w:jc w:val="both"/>
        <w:rPr>
          <w:rFonts w:ascii="Arial" w:hAnsi="Arial" w:cs="Arial"/>
          <w:i/>
          <w:iCs/>
        </w:rPr>
      </w:pPr>
      <w:r w:rsidRPr="00C20940">
        <w:rPr>
          <w:rFonts w:ascii="Arial" w:hAnsi="Arial" w:cs="Arial"/>
          <w:i/>
          <w:iCs/>
        </w:rPr>
        <w:t xml:space="preserve">motocarros </w:t>
      </w:r>
      <w:proofErr w:type="spellStart"/>
      <w:r w:rsidRPr="00C20940">
        <w:rPr>
          <w:rFonts w:ascii="Arial" w:hAnsi="Arial" w:cs="Arial"/>
          <w:i/>
          <w:iCs/>
        </w:rPr>
        <w:t>tricimotos</w:t>
      </w:r>
      <w:proofErr w:type="spellEnd"/>
      <w:r w:rsidRPr="00C20940">
        <w:rPr>
          <w:rFonts w:ascii="Arial" w:hAnsi="Arial" w:cs="Arial"/>
          <w:i/>
          <w:iCs/>
        </w:rPr>
        <w:t xml:space="preserve"> y cuadriciclos, </w:t>
      </w:r>
    </w:p>
    <w:p w14:paraId="5CCDBBE0" w14:textId="77777777" w:rsidR="00C20940" w:rsidRPr="00C20940" w:rsidRDefault="00C20940" w:rsidP="00DC556B">
      <w:pPr>
        <w:pStyle w:val="Prrafodelista"/>
        <w:numPr>
          <w:ilvl w:val="0"/>
          <w:numId w:val="3"/>
        </w:numPr>
        <w:spacing w:line="360" w:lineRule="auto"/>
        <w:jc w:val="both"/>
        <w:rPr>
          <w:rFonts w:ascii="Arial" w:hAnsi="Arial" w:cs="Arial"/>
          <w:i/>
          <w:iCs/>
        </w:rPr>
      </w:pPr>
      <w:r w:rsidRPr="00C20940">
        <w:rPr>
          <w:rFonts w:ascii="Arial" w:hAnsi="Arial" w:cs="Arial"/>
          <w:i/>
          <w:iCs/>
        </w:rPr>
        <w:t xml:space="preserve">motocarros 5 Pasajeros, </w:t>
      </w:r>
    </w:p>
    <w:p w14:paraId="24148589" w14:textId="77777777" w:rsidR="00C20940" w:rsidRPr="00C20940" w:rsidRDefault="00C20940" w:rsidP="00DC556B">
      <w:pPr>
        <w:pStyle w:val="Prrafodelista"/>
        <w:numPr>
          <w:ilvl w:val="0"/>
          <w:numId w:val="3"/>
        </w:numPr>
        <w:spacing w:line="360" w:lineRule="auto"/>
        <w:jc w:val="both"/>
        <w:rPr>
          <w:rFonts w:ascii="Arial" w:hAnsi="Arial" w:cs="Arial"/>
          <w:i/>
          <w:iCs/>
        </w:rPr>
      </w:pPr>
      <w:r w:rsidRPr="00C20940">
        <w:rPr>
          <w:rFonts w:ascii="Arial" w:hAnsi="Arial" w:cs="Arial"/>
          <w:i/>
          <w:iCs/>
        </w:rPr>
        <w:t xml:space="preserve">autos de negocios, taxis y microbuses urbanos, </w:t>
      </w:r>
    </w:p>
    <w:p w14:paraId="0475AA16" w14:textId="5BAD57F7" w:rsidR="00C20940" w:rsidRPr="00C20940" w:rsidRDefault="00C20940" w:rsidP="00DC556B">
      <w:pPr>
        <w:pStyle w:val="Prrafodelista"/>
        <w:numPr>
          <w:ilvl w:val="0"/>
          <w:numId w:val="3"/>
        </w:numPr>
        <w:spacing w:line="360" w:lineRule="auto"/>
        <w:jc w:val="both"/>
        <w:rPr>
          <w:rFonts w:ascii="Arial" w:hAnsi="Arial" w:cs="Arial"/>
          <w:lang w:val="es-MX"/>
        </w:rPr>
      </w:pPr>
      <w:r w:rsidRPr="00C20940">
        <w:rPr>
          <w:rFonts w:ascii="Arial" w:hAnsi="Arial" w:cs="Arial"/>
          <w:i/>
          <w:iCs/>
        </w:rPr>
        <w:t>servicio público urbano, buses y busetas y vehículos de servicio público intermunicipal establecidas en el Anexo I del Título IV de la Parte II de la Circular Externa 029 de 2014 de la Superintendencia Financiera de Colombia</w:t>
      </w:r>
    </w:p>
    <w:p w14:paraId="7A7B4F31" w14:textId="77777777" w:rsidR="006122D3" w:rsidRDefault="006122D3" w:rsidP="00DC556B">
      <w:pPr>
        <w:spacing w:line="360" w:lineRule="auto"/>
        <w:rPr>
          <w:rFonts w:ascii="Arial" w:hAnsi="Arial" w:cs="Arial"/>
          <w:b/>
          <w:bCs/>
          <w:lang w:val="es-CO"/>
        </w:rPr>
      </w:pPr>
    </w:p>
    <w:p w14:paraId="0AA13954" w14:textId="3D11CC89" w:rsidR="00C20940" w:rsidRDefault="00C20940" w:rsidP="00DC556B">
      <w:pPr>
        <w:spacing w:line="360" w:lineRule="auto"/>
        <w:jc w:val="both"/>
        <w:rPr>
          <w:rFonts w:ascii="Arial" w:hAnsi="Arial" w:cs="Arial"/>
          <w:lang w:val="es-CO"/>
        </w:rPr>
      </w:pPr>
      <w:r>
        <w:rPr>
          <w:rFonts w:ascii="Arial" w:hAnsi="Arial" w:cs="Arial"/>
          <w:lang w:val="es-CO"/>
        </w:rPr>
        <w:t>En este sentido, es necesario vincular a la Administradora de los Recursos del Sistema de Salud (ADRES) como entidad adscrita al Ministerio de Salud y Protección Social</w:t>
      </w:r>
      <w:r w:rsidR="00CC3A05">
        <w:rPr>
          <w:rFonts w:ascii="Arial" w:hAnsi="Arial" w:cs="Arial"/>
          <w:lang w:val="es-CO"/>
        </w:rPr>
        <w:t xml:space="preserve"> como litisconsorte necesario</w:t>
      </w:r>
      <w:r>
        <w:rPr>
          <w:rFonts w:ascii="Arial" w:hAnsi="Arial" w:cs="Arial"/>
          <w:lang w:val="es-CO"/>
        </w:rPr>
        <w:t xml:space="preserve">, como entidad encargada de asumir el reconocimiento y pago de los servicios en salud prestados a las victimas de accidente de tránsito en el rango diferencial definido por el artículo 2.6.4.1.2.3 del Decreto 780 de 2016 modificado por el Decreto 2497 de 2022, para que, en caso de que se confirme que los vehículos vinculados a los accidentes de tránsito que dieron lugar a los servicios en salud prestados por FABISALUD S.A.S., pertenecen al grupo de los rangos diferenciales, se esta entidad la que asuma el pago respectivo solicitado por la parte demandante. </w:t>
      </w:r>
    </w:p>
    <w:p w14:paraId="55F24ACA" w14:textId="77777777" w:rsidR="00C20940" w:rsidRPr="00C20940" w:rsidRDefault="00C20940" w:rsidP="00DC556B">
      <w:pPr>
        <w:spacing w:line="360" w:lineRule="auto"/>
        <w:jc w:val="both"/>
        <w:rPr>
          <w:rFonts w:ascii="Arial" w:hAnsi="Arial" w:cs="Arial"/>
          <w:lang w:val="es-CO"/>
        </w:rPr>
      </w:pPr>
    </w:p>
    <w:p w14:paraId="6799F293" w14:textId="73C633F6" w:rsidR="006122D3" w:rsidRPr="00D448EF" w:rsidRDefault="006122D3" w:rsidP="00DC556B">
      <w:pPr>
        <w:pStyle w:val="Ttulo1"/>
        <w:numPr>
          <w:ilvl w:val="0"/>
          <w:numId w:val="2"/>
        </w:numPr>
        <w:spacing w:line="360" w:lineRule="auto"/>
        <w:jc w:val="center"/>
        <w:rPr>
          <w:rFonts w:ascii="Arial" w:hAnsi="Arial" w:cs="Arial"/>
          <w:sz w:val="22"/>
          <w:szCs w:val="22"/>
        </w:rPr>
      </w:pPr>
      <w:r w:rsidRPr="00D448EF">
        <w:rPr>
          <w:rFonts w:ascii="Arial" w:hAnsi="Arial" w:cs="Arial"/>
          <w:sz w:val="22"/>
          <w:szCs w:val="22"/>
        </w:rPr>
        <w:t>SOLICITUD</w:t>
      </w:r>
    </w:p>
    <w:p w14:paraId="17FBE146" w14:textId="77777777" w:rsidR="006122D3" w:rsidRPr="00D448EF" w:rsidRDefault="006122D3" w:rsidP="00DC556B">
      <w:pPr>
        <w:spacing w:line="360" w:lineRule="auto"/>
        <w:rPr>
          <w:rFonts w:ascii="Arial" w:hAnsi="Arial" w:cs="Arial"/>
          <w:lang w:val="es-MX"/>
        </w:rPr>
      </w:pPr>
    </w:p>
    <w:p w14:paraId="34FDF52D" w14:textId="77777777" w:rsidR="006122D3" w:rsidRPr="00D448EF" w:rsidRDefault="006122D3" w:rsidP="00DC556B">
      <w:pPr>
        <w:spacing w:line="360" w:lineRule="auto"/>
        <w:jc w:val="both"/>
        <w:rPr>
          <w:rFonts w:ascii="Arial" w:hAnsi="Arial" w:cs="Arial"/>
          <w:lang w:val="es-MX"/>
        </w:rPr>
      </w:pPr>
      <w:r w:rsidRPr="00D448EF">
        <w:rPr>
          <w:rFonts w:ascii="Arial" w:hAnsi="Arial" w:cs="Arial"/>
          <w:lang w:val="es-MX"/>
        </w:rPr>
        <w:t xml:space="preserve">Conforme a lo expuesto en el presente memorial, respetuosamente elevo ante el Despacho las siguientes solicitudes: </w:t>
      </w:r>
    </w:p>
    <w:p w14:paraId="0DB38269" w14:textId="77777777" w:rsidR="006122D3" w:rsidRPr="00D448EF" w:rsidRDefault="006122D3" w:rsidP="00DC556B">
      <w:pPr>
        <w:spacing w:line="360" w:lineRule="auto"/>
        <w:rPr>
          <w:rFonts w:ascii="Arial" w:hAnsi="Arial" w:cs="Arial"/>
          <w:b/>
          <w:bCs/>
          <w:lang w:val="es-MX"/>
        </w:rPr>
      </w:pPr>
    </w:p>
    <w:p w14:paraId="3A9EBF6D" w14:textId="6D2BD5C3" w:rsidR="006122D3" w:rsidRPr="004613E7" w:rsidRDefault="006122D3" w:rsidP="00DC556B">
      <w:pPr>
        <w:spacing w:line="360" w:lineRule="auto"/>
        <w:jc w:val="both"/>
        <w:rPr>
          <w:rFonts w:ascii="Arial" w:hAnsi="Arial" w:cs="Arial"/>
          <w:i/>
          <w:iCs/>
          <w:lang w:val="es-CO"/>
        </w:rPr>
      </w:pPr>
      <w:r w:rsidRPr="00D448EF">
        <w:rPr>
          <w:rFonts w:ascii="Arial" w:hAnsi="Arial" w:cs="Arial"/>
          <w:b/>
          <w:bCs/>
          <w:lang w:val="es-CO"/>
        </w:rPr>
        <w:lastRenderedPageBreak/>
        <w:t xml:space="preserve">PRIMERO: </w:t>
      </w:r>
      <w:proofErr w:type="gramStart"/>
      <w:r w:rsidR="00C20940">
        <w:rPr>
          <w:rFonts w:ascii="Arial" w:hAnsi="Arial" w:cs="Arial"/>
          <w:b/>
          <w:bCs/>
          <w:u w:val="single"/>
          <w:lang w:val="es-CO"/>
        </w:rPr>
        <w:t>ORDENAR</w:t>
      </w:r>
      <w:r w:rsidR="00C20940">
        <w:rPr>
          <w:rFonts w:ascii="Arial" w:hAnsi="Arial" w:cs="Arial"/>
          <w:u w:val="single"/>
          <w:lang w:val="es-CO"/>
        </w:rPr>
        <w:t xml:space="preserve"> </w:t>
      </w:r>
      <w:r w:rsidR="008E61D7">
        <w:rPr>
          <w:rFonts w:ascii="Arial" w:hAnsi="Arial" w:cs="Arial"/>
          <w:u w:val="single"/>
          <w:lang w:val="es-CO"/>
        </w:rPr>
        <w:t xml:space="preserve"> </w:t>
      </w:r>
      <w:r w:rsidR="008E61D7">
        <w:rPr>
          <w:rFonts w:ascii="Arial" w:hAnsi="Arial" w:cs="Arial"/>
          <w:lang w:val="es-CO"/>
        </w:rPr>
        <w:t>de</w:t>
      </w:r>
      <w:proofErr w:type="gramEnd"/>
      <w:r w:rsidR="008E61D7">
        <w:rPr>
          <w:rFonts w:ascii="Arial" w:hAnsi="Arial" w:cs="Arial"/>
          <w:lang w:val="es-CO"/>
        </w:rPr>
        <w:t xml:space="preserve"> acuerdo con el artículo 61 del Código General del Proceso, </w:t>
      </w:r>
      <w:r w:rsidR="00C20940">
        <w:rPr>
          <w:rFonts w:ascii="Arial" w:hAnsi="Arial" w:cs="Arial"/>
          <w:lang w:val="es-CO"/>
        </w:rPr>
        <w:t xml:space="preserve">la vinculación al proceso declarativo de la referencia a la administradora de los recursos del sistema de salud (ADRES), </w:t>
      </w:r>
      <w:r w:rsidR="004613E7">
        <w:rPr>
          <w:rFonts w:ascii="Arial" w:hAnsi="Arial" w:cs="Arial"/>
          <w:lang w:val="es-CO"/>
        </w:rPr>
        <w:t xml:space="preserve">se le dé traslado de la demanda, y en caso de que sea el caso, asuma la proporción de la condena que le corresponda, de acuerdo con el artículo 3º del decreto 2497 el cual modificó el artículo 2.6.1.4.2.3. del Decreto 780 de 2016- </w:t>
      </w:r>
      <w:r w:rsidR="004613E7">
        <w:rPr>
          <w:rFonts w:ascii="Arial" w:hAnsi="Arial" w:cs="Arial"/>
          <w:i/>
          <w:iCs/>
          <w:lang w:val="es-CO"/>
        </w:rPr>
        <w:t xml:space="preserve">único reglamentario del sector salud y protección social. </w:t>
      </w:r>
    </w:p>
    <w:p w14:paraId="772284CC" w14:textId="77777777" w:rsidR="006122D3" w:rsidRPr="00D448EF" w:rsidRDefault="006122D3" w:rsidP="00DC556B">
      <w:pPr>
        <w:spacing w:line="360" w:lineRule="auto"/>
        <w:rPr>
          <w:rFonts w:ascii="Arial" w:hAnsi="Arial" w:cs="Arial"/>
          <w:b/>
          <w:bCs/>
          <w:lang w:val="es-CO"/>
        </w:rPr>
      </w:pPr>
    </w:p>
    <w:p w14:paraId="7196EEB5" w14:textId="77777777" w:rsidR="006122D3" w:rsidRPr="00D448EF" w:rsidRDefault="006122D3" w:rsidP="00DC556B">
      <w:pPr>
        <w:spacing w:line="360" w:lineRule="auto"/>
        <w:rPr>
          <w:rFonts w:ascii="Arial" w:hAnsi="Arial" w:cs="Arial"/>
          <w:b/>
          <w:bCs/>
          <w:lang w:val="es-CO"/>
        </w:rPr>
      </w:pPr>
    </w:p>
    <w:p w14:paraId="465092E3" w14:textId="77777777" w:rsidR="006122D3" w:rsidRPr="00D448EF" w:rsidRDefault="006122D3" w:rsidP="00DC556B">
      <w:pPr>
        <w:spacing w:line="360" w:lineRule="auto"/>
        <w:jc w:val="both"/>
        <w:rPr>
          <w:rFonts w:ascii="Arial" w:hAnsi="Arial" w:cs="Arial"/>
        </w:rPr>
      </w:pPr>
      <w:r w:rsidRPr="00D448EF">
        <w:rPr>
          <w:rFonts w:ascii="Arial" w:hAnsi="Arial" w:cs="Arial"/>
        </w:rPr>
        <w:t>Cordialmente,</w:t>
      </w:r>
      <w:bookmarkStart w:id="1" w:name="_Hlk159599227"/>
    </w:p>
    <w:p w14:paraId="1C1FE60F" w14:textId="77777777" w:rsidR="006122D3" w:rsidRPr="00D448EF" w:rsidRDefault="006122D3" w:rsidP="00DC556B">
      <w:pPr>
        <w:spacing w:line="360" w:lineRule="auto"/>
        <w:jc w:val="both"/>
        <w:rPr>
          <w:rFonts w:ascii="Arial" w:hAnsi="Arial" w:cs="Arial"/>
        </w:rPr>
      </w:pPr>
      <w:r w:rsidRPr="00D448EF">
        <w:rPr>
          <w:rFonts w:ascii="Arial" w:hAnsi="Arial" w:cs="Arial"/>
          <w:noProof/>
          <w:lang w:val="es-CO" w:eastAsia="es-CO"/>
        </w:rPr>
        <w:drawing>
          <wp:anchor distT="0" distB="0" distL="114300" distR="114300" simplePos="0" relativeHeight="251659264" behindDoc="1" locked="0" layoutInCell="1" allowOverlap="1" wp14:anchorId="5A680A1C" wp14:editId="6458BF8B">
            <wp:simplePos x="0" y="0"/>
            <wp:positionH relativeFrom="margin">
              <wp:posOffset>-52427</wp:posOffset>
            </wp:positionH>
            <wp:positionV relativeFrom="paragraph">
              <wp:posOffset>153893</wp:posOffset>
            </wp:positionV>
            <wp:extent cx="1772005" cy="1076865"/>
            <wp:effectExtent l="0" t="0" r="0" b="3175"/>
            <wp:wrapNone/>
            <wp:docPr id="26812129" name="Imagen 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12129" name="Imagen 2" descr="Texto&#10;&#10;Descripción generada automáticamente con confianza m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2005" cy="1076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C98DE4" w14:textId="77777777" w:rsidR="006122D3" w:rsidRPr="00D448EF" w:rsidRDefault="006122D3" w:rsidP="00DC556B">
      <w:pPr>
        <w:spacing w:line="360" w:lineRule="auto"/>
        <w:jc w:val="both"/>
        <w:rPr>
          <w:rFonts w:ascii="Arial" w:eastAsia="Arial" w:hAnsi="Arial" w:cs="Arial"/>
        </w:rPr>
      </w:pPr>
    </w:p>
    <w:p w14:paraId="65551F65" w14:textId="77777777" w:rsidR="006122D3" w:rsidRPr="00D448EF" w:rsidRDefault="006122D3" w:rsidP="00DC556B">
      <w:pPr>
        <w:spacing w:line="360" w:lineRule="auto"/>
        <w:jc w:val="both"/>
        <w:rPr>
          <w:rFonts w:ascii="Arial" w:eastAsia="Arial" w:hAnsi="Arial" w:cs="Arial"/>
        </w:rPr>
      </w:pPr>
    </w:p>
    <w:p w14:paraId="0DA24F0B" w14:textId="77777777" w:rsidR="006122D3" w:rsidRPr="00D448EF" w:rsidRDefault="006122D3" w:rsidP="00DC556B">
      <w:pPr>
        <w:spacing w:line="360" w:lineRule="auto"/>
        <w:jc w:val="both"/>
        <w:rPr>
          <w:rFonts w:ascii="Arial" w:hAnsi="Arial" w:cs="Arial"/>
          <w:b/>
          <w:bCs/>
        </w:rPr>
      </w:pPr>
      <w:r w:rsidRPr="00D448EF">
        <w:rPr>
          <w:rFonts w:ascii="Arial" w:hAnsi="Arial" w:cs="Arial"/>
          <w:b/>
          <w:bCs/>
        </w:rPr>
        <w:t>GUSTAVO ALBERTO HERRERA ÁVILA</w:t>
      </w:r>
    </w:p>
    <w:p w14:paraId="26BF1B4F" w14:textId="77777777" w:rsidR="006122D3" w:rsidRPr="00D448EF" w:rsidRDefault="006122D3" w:rsidP="00DC556B">
      <w:pPr>
        <w:spacing w:line="360" w:lineRule="auto"/>
        <w:jc w:val="both"/>
        <w:rPr>
          <w:rFonts w:ascii="Arial" w:hAnsi="Arial" w:cs="Arial"/>
        </w:rPr>
      </w:pPr>
      <w:r w:rsidRPr="00D448EF">
        <w:rPr>
          <w:rFonts w:ascii="Arial" w:hAnsi="Arial" w:cs="Arial"/>
        </w:rPr>
        <w:t xml:space="preserve">C.C. </w:t>
      </w:r>
      <w:proofErr w:type="spellStart"/>
      <w:r w:rsidRPr="00D448EF">
        <w:rPr>
          <w:rFonts w:ascii="Arial" w:hAnsi="Arial" w:cs="Arial"/>
        </w:rPr>
        <w:t>Nº</w:t>
      </w:r>
      <w:proofErr w:type="spellEnd"/>
      <w:r w:rsidRPr="00D448EF">
        <w:rPr>
          <w:rFonts w:ascii="Arial" w:hAnsi="Arial" w:cs="Arial"/>
        </w:rPr>
        <w:t xml:space="preserve"> 19.395.114 de Bogotá</w:t>
      </w:r>
    </w:p>
    <w:p w14:paraId="0C877607" w14:textId="77777777" w:rsidR="006122D3" w:rsidRPr="00D448EF" w:rsidRDefault="006122D3" w:rsidP="00DC556B">
      <w:pPr>
        <w:spacing w:line="360" w:lineRule="auto"/>
        <w:jc w:val="both"/>
        <w:rPr>
          <w:rFonts w:ascii="Arial" w:eastAsia="Arial" w:hAnsi="Arial" w:cs="Arial"/>
          <w:b/>
          <w:bCs/>
          <w:color w:val="000000" w:themeColor="text1"/>
        </w:rPr>
      </w:pPr>
      <w:r w:rsidRPr="00D448EF">
        <w:rPr>
          <w:rFonts w:ascii="Arial" w:hAnsi="Arial" w:cs="Arial"/>
        </w:rPr>
        <w:t xml:space="preserve">T.P. </w:t>
      </w:r>
      <w:proofErr w:type="spellStart"/>
      <w:r w:rsidRPr="00D448EF">
        <w:rPr>
          <w:rFonts w:ascii="Arial" w:hAnsi="Arial" w:cs="Arial"/>
        </w:rPr>
        <w:t>N°</w:t>
      </w:r>
      <w:proofErr w:type="spellEnd"/>
      <w:r w:rsidRPr="00D448EF">
        <w:rPr>
          <w:rFonts w:ascii="Arial" w:hAnsi="Arial" w:cs="Arial"/>
        </w:rPr>
        <w:t xml:space="preserve"> 39.116 del C. S. de la J.</w:t>
      </w:r>
      <w:bookmarkEnd w:id="1"/>
    </w:p>
    <w:p w14:paraId="43C7933B" w14:textId="77777777" w:rsidR="006122D3" w:rsidRPr="00D448EF" w:rsidRDefault="006122D3" w:rsidP="00DC556B">
      <w:pPr>
        <w:spacing w:line="360" w:lineRule="auto"/>
        <w:rPr>
          <w:rFonts w:ascii="Arial" w:hAnsi="Arial" w:cs="Arial"/>
        </w:rPr>
      </w:pPr>
    </w:p>
    <w:p w14:paraId="7C89C96B" w14:textId="77777777" w:rsidR="00DF71AF" w:rsidRPr="00D448EF" w:rsidRDefault="00DF71AF" w:rsidP="00DC556B">
      <w:pPr>
        <w:tabs>
          <w:tab w:val="left" w:pos="5626"/>
        </w:tabs>
        <w:spacing w:line="360" w:lineRule="auto"/>
        <w:rPr>
          <w:rFonts w:ascii="Arial" w:hAnsi="Arial" w:cs="Arial"/>
        </w:rPr>
      </w:pPr>
    </w:p>
    <w:p w14:paraId="3AF352C1" w14:textId="77777777" w:rsidR="00DF71AF" w:rsidRPr="00D448EF" w:rsidRDefault="00DF71AF" w:rsidP="00DC556B">
      <w:pPr>
        <w:tabs>
          <w:tab w:val="left" w:pos="5626"/>
        </w:tabs>
        <w:spacing w:line="360" w:lineRule="auto"/>
        <w:rPr>
          <w:rFonts w:ascii="Arial" w:hAnsi="Arial" w:cs="Arial"/>
        </w:rPr>
      </w:pPr>
    </w:p>
    <w:p w14:paraId="4864E779" w14:textId="77777777" w:rsidR="00DF71AF" w:rsidRPr="00D448EF" w:rsidRDefault="00DF71AF" w:rsidP="00DC556B">
      <w:pPr>
        <w:tabs>
          <w:tab w:val="left" w:pos="5626"/>
        </w:tabs>
        <w:spacing w:line="360" w:lineRule="auto"/>
        <w:rPr>
          <w:rFonts w:ascii="Arial" w:hAnsi="Arial" w:cs="Arial"/>
        </w:rPr>
      </w:pPr>
    </w:p>
    <w:p w14:paraId="404A3110" w14:textId="77777777" w:rsidR="00DF71AF" w:rsidRPr="00D448EF" w:rsidRDefault="00DF71AF" w:rsidP="00DC556B">
      <w:pPr>
        <w:tabs>
          <w:tab w:val="left" w:pos="5626"/>
        </w:tabs>
        <w:spacing w:line="360" w:lineRule="auto"/>
        <w:rPr>
          <w:rFonts w:ascii="Arial" w:hAnsi="Arial" w:cs="Arial"/>
        </w:rPr>
      </w:pPr>
    </w:p>
    <w:p w14:paraId="016060E3" w14:textId="77777777" w:rsidR="00DF71AF" w:rsidRPr="00D448EF" w:rsidRDefault="00DF71AF" w:rsidP="00DC556B">
      <w:pPr>
        <w:tabs>
          <w:tab w:val="left" w:pos="5626"/>
        </w:tabs>
        <w:spacing w:line="360" w:lineRule="auto"/>
        <w:rPr>
          <w:rFonts w:ascii="Arial" w:hAnsi="Arial" w:cs="Arial"/>
        </w:rPr>
      </w:pPr>
    </w:p>
    <w:p w14:paraId="483A6F11" w14:textId="77777777" w:rsidR="00DF71AF" w:rsidRPr="00D448EF" w:rsidRDefault="00DF71AF" w:rsidP="00DC556B">
      <w:pPr>
        <w:tabs>
          <w:tab w:val="left" w:pos="5626"/>
        </w:tabs>
        <w:spacing w:line="360" w:lineRule="auto"/>
        <w:rPr>
          <w:rFonts w:ascii="Arial" w:hAnsi="Arial" w:cs="Arial"/>
        </w:rPr>
      </w:pPr>
    </w:p>
    <w:p w14:paraId="620E1219" w14:textId="77777777" w:rsidR="00DF71AF" w:rsidRPr="00D448EF" w:rsidRDefault="00DF71AF" w:rsidP="00DC556B">
      <w:pPr>
        <w:tabs>
          <w:tab w:val="left" w:pos="5626"/>
        </w:tabs>
        <w:spacing w:line="360" w:lineRule="auto"/>
        <w:rPr>
          <w:rFonts w:ascii="Arial" w:hAnsi="Arial" w:cs="Arial"/>
        </w:rPr>
      </w:pPr>
    </w:p>
    <w:p w14:paraId="3A676C7F" w14:textId="77777777" w:rsidR="00DF71AF" w:rsidRPr="00D448EF" w:rsidRDefault="00DF71AF" w:rsidP="00DC556B">
      <w:pPr>
        <w:tabs>
          <w:tab w:val="left" w:pos="5626"/>
        </w:tabs>
        <w:spacing w:line="360" w:lineRule="auto"/>
        <w:rPr>
          <w:rFonts w:ascii="Arial" w:hAnsi="Arial" w:cs="Arial"/>
        </w:rPr>
      </w:pPr>
    </w:p>
    <w:p w14:paraId="779ED9B6" w14:textId="77777777" w:rsidR="00DF71AF" w:rsidRPr="00D448EF" w:rsidRDefault="00DF71AF" w:rsidP="00DC556B">
      <w:pPr>
        <w:tabs>
          <w:tab w:val="left" w:pos="5626"/>
        </w:tabs>
        <w:spacing w:line="360" w:lineRule="auto"/>
        <w:rPr>
          <w:rFonts w:ascii="Arial" w:hAnsi="Arial" w:cs="Arial"/>
        </w:rPr>
      </w:pPr>
    </w:p>
    <w:p w14:paraId="0893B293" w14:textId="77777777" w:rsidR="00DF71AF" w:rsidRPr="00D448EF" w:rsidRDefault="00DF71AF" w:rsidP="00DC556B">
      <w:pPr>
        <w:tabs>
          <w:tab w:val="left" w:pos="5626"/>
        </w:tabs>
        <w:spacing w:line="360" w:lineRule="auto"/>
        <w:rPr>
          <w:rFonts w:ascii="Arial" w:hAnsi="Arial" w:cs="Arial"/>
        </w:rPr>
      </w:pPr>
    </w:p>
    <w:p w14:paraId="35EAD954" w14:textId="77777777" w:rsidR="00DF71AF" w:rsidRPr="00D448EF" w:rsidRDefault="00DF71AF" w:rsidP="00DC556B">
      <w:pPr>
        <w:tabs>
          <w:tab w:val="left" w:pos="5626"/>
        </w:tabs>
        <w:spacing w:line="360" w:lineRule="auto"/>
        <w:rPr>
          <w:rFonts w:ascii="Arial" w:hAnsi="Arial" w:cs="Arial"/>
        </w:rPr>
      </w:pPr>
    </w:p>
    <w:p w14:paraId="781D5868" w14:textId="77777777" w:rsidR="00DF71AF" w:rsidRPr="00D448EF" w:rsidRDefault="00DF71AF" w:rsidP="00DC556B">
      <w:pPr>
        <w:tabs>
          <w:tab w:val="left" w:pos="5626"/>
        </w:tabs>
        <w:spacing w:line="360" w:lineRule="auto"/>
        <w:rPr>
          <w:rFonts w:ascii="Arial" w:hAnsi="Arial" w:cs="Arial"/>
        </w:rPr>
      </w:pPr>
    </w:p>
    <w:p w14:paraId="4448B9DC" w14:textId="77777777" w:rsidR="00CD3B19" w:rsidRPr="00D448EF" w:rsidRDefault="00CD3B19" w:rsidP="00DC556B">
      <w:pPr>
        <w:tabs>
          <w:tab w:val="left" w:pos="5760"/>
        </w:tabs>
        <w:spacing w:line="360" w:lineRule="auto"/>
        <w:rPr>
          <w:rFonts w:ascii="Arial" w:hAnsi="Arial" w:cs="Arial"/>
          <w:lang w:val="es-CO"/>
        </w:rPr>
      </w:pPr>
    </w:p>
    <w:sectPr w:rsidR="00CD3B19" w:rsidRPr="00D448EF" w:rsidSect="00783103">
      <w:headerReference w:type="default" r:id="rId11"/>
      <w:footerReference w:type="default" r:id="rId12"/>
      <w:pgSz w:w="12240" w:h="20160" w:code="5"/>
      <w:pgMar w:top="1701" w:right="964" w:bottom="1588" w:left="964" w:header="283" w:footer="45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A4F56" w14:textId="77777777" w:rsidR="002F5B15" w:rsidRDefault="002F5B15" w:rsidP="0025591F">
      <w:r>
        <w:separator/>
      </w:r>
    </w:p>
  </w:endnote>
  <w:endnote w:type="continuationSeparator" w:id="0">
    <w:p w14:paraId="5BCA62F5" w14:textId="77777777" w:rsidR="002F5B15" w:rsidRDefault="002F5B15"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966F" w14:textId="0CABB6C7" w:rsidR="003F26B0" w:rsidRPr="00957ECF" w:rsidRDefault="00957ECF" w:rsidP="00957ECF">
    <w:pPr>
      <w:rPr>
        <w:color w:val="222A35" w:themeColor="text2" w:themeShade="80"/>
      </w:rPr>
    </w:pPr>
    <w:r>
      <w:rPr>
        <w:noProof/>
      </w:rPr>
      <mc:AlternateContent>
        <mc:Choice Requires="wps">
          <w:drawing>
            <wp:anchor distT="0" distB="0" distL="114300" distR="114300" simplePos="0" relativeHeight="251668480" behindDoc="1" locked="0" layoutInCell="1" allowOverlap="1" wp14:anchorId="53F14F1B" wp14:editId="5F8D7EC4">
              <wp:simplePos x="0" y="0"/>
              <wp:positionH relativeFrom="margin">
                <wp:posOffset>3838575</wp:posOffset>
              </wp:positionH>
              <wp:positionV relativeFrom="bottomMargin">
                <wp:posOffset>163195</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Cra </w:t>
                          </w:r>
                          <w:proofErr w:type="spellStart"/>
                          <w:r w:rsidRPr="00A20704">
                            <w:rPr>
                              <w:rFonts w:ascii="Arial" w:hAnsi="Arial" w:cs="Arial"/>
                              <w:color w:val="11213B"/>
                              <w:w w:val="105"/>
                              <w:sz w:val="12"/>
                              <w:szCs w:val="12"/>
                              <w:lang w:val="en-US"/>
                            </w:rPr>
                            <w:t>11A</w:t>
                          </w:r>
                          <w:proofErr w:type="spellEnd"/>
                          <w:r w:rsidRPr="00A20704">
                            <w:rPr>
                              <w:rFonts w:ascii="Arial" w:hAnsi="Arial" w:cs="Arial"/>
                              <w:color w:val="11213B"/>
                              <w:w w:val="105"/>
                              <w:sz w:val="12"/>
                              <w:szCs w:val="12"/>
                              <w:lang w:val="en-US"/>
                            </w:rPr>
                            <w:t xml:space="preserve"> </w:t>
                          </w:r>
                          <w:proofErr w:type="spellStart"/>
                          <w:r w:rsidRPr="00A20704">
                            <w:rPr>
                              <w:rFonts w:ascii="Arial" w:hAnsi="Arial" w:cs="Arial"/>
                              <w:color w:val="11213B"/>
                              <w:w w:val="105"/>
                              <w:sz w:val="12"/>
                              <w:szCs w:val="12"/>
                              <w:lang w:val="en-US"/>
                            </w:rPr>
                            <w:t>No.94A</w:t>
                          </w:r>
                          <w:proofErr w:type="spellEnd"/>
                          <w:r w:rsidRPr="00A20704">
                            <w:rPr>
                              <w:rFonts w:ascii="Arial" w:hAnsi="Arial" w:cs="Arial"/>
                              <w:color w:val="11213B"/>
                              <w:w w:val="105"/>
                              <w:sz w:val="12"/>
                              <w:szCs w:val="12"/>
                              <w:lang w:val="en-US"/>
                            </w:rPr>
                            <w:t xml:space="preserve">-23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14F1B" id="Rectángulo 4" o:spid="_x0000_s1026" style="position:absolute;margin-left:302.25pt;margin-top:12.85pt;width:147.45pt;height:49.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" filled="f" stroked="f" strokeweight="1pt">
              <v:textbo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anchory="margin"/>
            </v:rect>
          </w:pict>
        </mc:Fallback>
      </mc:AlternateContent>
    </w:r>
    <w:r>
      <w:rPr>
        <w:noProof/>
      </w:rPr>
      <w:drawing>
        <wp:anchor distT="0" distB="0" distL="114300" distR="114300" simplePos="0" relativeHeight="251669504" behindDoc="0" locked="0" layoutInCell="1" allowOverlap="1" wp14:anchorId="73AC22FD" wp14:editId="439834D8">
          <wp:simplePos x="0" y="0"/>
          <wp:positionH relativeFrom="margin">
            <wp:posOffset>5692140</wp:posOffset>
          </wp:positionH>
          <wp:positionV relativeFrom="paragraph">
            <wp:posOffset>-415925</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3050">
      <w:rPr>
        <w:noProof/>
      </w:rPr>
      <mc:AlternateContent>
        <mc:Choice Requires="wps">
          <w:drawing>
            <wp:anchor distT="0" distB="0" distL="114300" distR="114300" simplePos="0" relativeHeight="251664384" behindDoc="1" locked="0" layoutInCell="1" allowOverlap="1" wp14:anchorId="5FBCB1CF" wp14:editId="2A4E6572">
              <wp:simplePos x="0" y="0"/>
              <wp:positionH relativeFrom="margin">
                <wp:posOffset>475615</wp:posOffset>
              </wp:positionH>
              <wp:positionV relativeFrom="bottomMargin">
                <wp:posOffset>344914</wp:posOffset>
              </wp:positionV>
              <wp:extent cx="705069" cy="283429"/>
              <wp:effectExtent l="0" t="0" r="0" b="2540"/>
              <wp:wrapNone/>
              <wp:docPr id="5" name="Rectángulo 5"/>
              <wp:cNvGraphicFramePr/>
              <a:graphic xmlns:a="http://schemas.openxmlformats.org/drawingml/2006/main">
                <a:graphicData uri="http://schemas.microsoft.com/office/word/2010/wordprocessingShape">
                  <wps:wsp>
                    <wps:cNvSpPr/>
                    <wps:spPr>
                      <a:xfrm>
                        <a:off x="0" y="0"/>
                        <a:ext cx="705069" cy="2834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BBB6CA" w14:textId="7AB43011" w:rsidR="00416F84" w:rsidRPr="00DF71AF" w:rsidRDefault="006122D3"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JMHG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CB1CF" id="Rectángulo 5" o:spid="_x0000_s1027" style="position:absolute;margin-left:37.45pt;margin-top:27.15pt;width:55.5pt;height:22.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" filled="f" stroked="f" strokeweight="1pt">
              <v:textbox>
                <w:txbxContent>
                  <w:p w14:paraId="33BBB6CA" w14:textId="7AB43011" w:rsidR="00416F84" w:rsidRPr="00DF71AF" w:rsidRDefault="006122D3"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JMHG</w:t>
                    </w:r>
                  </w:p>
                </w:txbxContent>
              </v:textbox>
              <w10:wrap anchorx="margin" anchory="margin"/>
            </v:rect>
          </w:pict>
        </mc:Fallback>
      </mc:AlternateContent>
    </w:r>
    <w:r>
      <w:rPr>
        <w:color w:val="222A35" w:themeColor="text2" w:themeShade="80"/>
      </w:rPr>
      <w:t xml:space="preserve">                                         </w:t>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AD53A" w14:textId="77777777" w:rsidR="002F5B15" w:rsidRDefault="002F5B15" w:rsidP="0025591F">
      <w:r>
        <w:separator/>
      </w:r>
    </w:p>
  </w:footnote>
  <w:footnote w:type="continuationSeparator" w:id="0">
    <w:p w14:paraId="57F69F25" w14:textId="77777777" w:rsidR="002F5B15" w:rsidRDefault="002F5B15"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C4B8E" w14:textId="7C4C4FF4" w:rsidR="00FA4FFB" w:rsidRDefault="00957ECF">
    <w:pPr>
      <w:pStyle w:val="Encabezado"/>
    </w:pPr>
    <w:r>
      <w:rPr>
        <w:noProof/>
      </w:rPr>
      <w:drawing>
        <wp:anchor distT="0" distB="0" distL="114300" distR="114300" simplePos="0" relativeHeight="251666432" behindDoc="0" locked="0" layoutInCell="1" allowOverlap="1" wp14:anchorId="16A449D7" wp14:editId="53A65DD9">
          <wp:simplePos x="0" y="0"/>
          <wp:positionH relativeFrom="margin">
            <wp:posOffset>4686300</wp:posOffset>
          </wp:positionH>
          <wp:positionV relativeFrom="paragraph">
            <wp:posOffset>-635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0DE7"/>
    <w:multiLevelType w:val="hybridMultilevel"/>
    <w:tmpl w:val="CEF0761E"/>
    <w:lvl w:ilvl="0" w:tplc="C2443E20">
      <w:start w:val="1"/>
      <w:numFmt w:val="upperRoman"/>
      <w:lvlText w:val="%1."/>
      <w:lvlJc w:val="left"/>
      <w:pPr>
        <w:ind w:left="1541" w:hanging="720"/>
      </w:pPr>
      <w:rPr>
        <w:rFonts w:hint="default"/>
      </w:rPr>
    </w:lvl>
    <w:lvl w:ilvl="1" w:tplc="2C0A0019" w:tentative="1">
      <w:start w:val="1"/>
      <w:numFmt w:val="lowerLetter"/>
      <w:lvlText w:val="%2."/>
      <w:lvlJc w:val="left"/>
      <w:pPr>
        <w:ind w:left="1901" w:hanging="360"/>
      </w:pPr>
    </w:lvl>
    <w:lvl w:ilvl="2" w:tplc="2C0A001B" w:tentative="1">
      <w:start w:val="1"/>
      <w:numFmt w:val="lowerRoman"/>
      <w:lvlText w:val="%3."/>
      <w:lvlJc w:val="right"/>
      <w:pPr>
        <w:ind w:left="2621" w:hanging="180"/>
      </w:pPr>
    </w:lvl>
    <w:lvl w:ilvl="3" w:tplc="2C0A000F" w:tentative="1">
      <w:start w:val="1"/>
      <w:numFmt w:val="decimal"/>
      <w:lvlText w:val="%4."/>
      <w:lvlJc w:val="left"/>
      <w:pPr>
        <w:ind w:left="3341" w:hanging="360"/>
      </w:pPr>
    </w:lvl>
    <w:lvl w:ilvl="4" w:tplc="2C0A0019" w:tentative="1">
      <w:start w:val="1"/>
      <w:numFmt w:val="lowerLetter"/>
      <w:lvlText w:val="%5."/>
      <w:lvlJc w:val="left"/>
      <w:pPr>
        <w:ind w:left="4061" w:hanging="360"/>
      </w:pPr>
    </w:lvl>
    <w:lvl w:ilvl="5" w:tplc="2C0A001B" w:tentative="1">
      <w:start w:val="1"/>
      <w:numFmt w:val="lowerRoman"/>
      <w:lvlText w:val="%6."/>
      <w:lvlJc w:val="right"/>
      <w:pPr>
        <w:ind w:left="4781" w:hanging="180"/>
      </w:pPr>
    </w:lvl>
    <w:lvl w:ilvl="6" w:tplc="2C0A000F" w:tentative="1">
      <w:start w:val="1"/>
      <w:numFmt w:val="decimal"/>
      <w:lvlText w:val="%7."/>
      <w:lvlJc w:val="left"/>
      <w:pPr>
        <w:ind w:left="5501" w:hanging="360"/>
      </w:pPr>
    </w:lvl>
    <w:lvl w:ilvl="7" w:tplc="2C0A0019" w:tentative="1">
      <w:start w:val="1"/>
      <w:numFmt w:val="lowerLetter"/>
      <w:lvlText w:val="%8."/>
      <w:lvlJc w:val="left"/>
      <w:pPr>
        <w:ind w:left="6221" w:hanging="360"/>
      </w:pPr>
    </w:lvl>
    <w:lvl w:ilvl="8" w:tplc="2C0A001B" w:tentative="1">
      <w:start w:val="1"/>
      <w:numFmt w:val="lowerRoman"/>
      <w:lvlText w:val="%9."/>
      <w:lvlJc w:val="right"/>
      <w:pPr>
        <w:ind w:left="6941" w:hanging="180"/>
      </w:pPr>
    </w:lvl>
  </w:abstractNum>
  <w:abstractNum w:abstractNumId="1"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08216C4"/>
    <w:multiLevelType w:val="hybridMultilevel"/>
    <w:tmpl w:val="190893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24856901">
    <w:abstractNumId w:val="1"/>
  </w:num>
  <w:num w:numId="2" w16cid:durableId="1121221939">
    <w:abstractNumId w:val="0"/>
  </w:num>
  <w:num w:numId="3" w16cid:durableId="1369407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3111F"/>
    <w:rsid w:val="00036FCE"/>
    <w:rsid w:val="000557D7"/>
    <w:rsid w:val="00070626"/>
    <w:rsid w:val="000B00A8"/>
    <w:rsid w:val="000C2815"/>
    <w:rsid w:val="001153EB"/>
    <w:rsid w:val="00131B8E"/>
    <w:rsid w:val="001925A0"/>
    <w:rsid w:val="00194DAC"/>
    <w:rsid w:val="00234F3F"/>
    <w:rsid w:val="00254E27"/>
    <w:rsid w:val="0025591F"/>
    <w:rsid w:val="00257471"/>
    <w:rsid w:val="00267DDC"/>
    <w:rsid w:val="00281D90"/>
    <w:rsid w:val="002B5E76"/>
    <w:rsid w:val="002C07E9"/>
    <w:rsid w:val="002C38D2"/>
    <w:rsid w:val="002F5B15"/>
    <w:rsid w:val="003043C4"/>
    <w:rsid w:val="003141B0"/>
    <w:rsid w:val="00330C16"/>
    <w:rsid w:val="00353ACD"/>
    <w:rsid w:val="00363399"/>
    <w:rsid w:val="00365A76"/>
    <w:rsid w:val="00371AB5"/>
    <w:rsid w:val="00374FB5"/>
    <w:rsid w:val="00375AFE"/>
    <w:rsid w:val="00380181"/>
    <w:rsid w:val="00395D72"/>
    <w:rsid w:val="003A306A"/>
    <w:rsid w:val="003C5BCE"/>
    <w:rsid w:val="003D2930"/>
    <w:rsid w:val="003F26B0"/>
    <w:rsid w:val="00416F84"/>
    <w:rsid w:val="0042497F"/>
    <w:rsid w:val="00424DB6"/>
    <w:rsid w:val="004613E7"/>
    <w:rsid w:val="00470810"/>
    <w:rsid w:val="00482A67"/>
    <w:rsid w:val="0048616E"/>
    <w:rsid w:val="004A356B"/>
    <w:rsid w:val="004C01CE"/>
    <w:rsid w:val="004F2E85"/>
    <w:rsid w:val="00504784"/>
    <w:rsid w:val="00505F3C"/>
    <w:rsid w:val="0052306A"/>
    <w:rsid w:val="00543F6F"/>
    <w:rsid w:val="00582D16"/>
    <w:rsid w:val="005974F3"/>
    <w:rsid w:val="005A0A03"/>
    <w:rsid w:val="005A27BB"/>
    <w:rsid w:val="005A3F2C"/>
    <w:rsid w:val="005C5EE0"/>
    <w:rsid w:val="005C6559"/>
    <w:rsid w:val="005D7117"/>
    <w:rsid w:val="006122D3"/>
    <w:rsid w:val="00637020"/>
    <w:rsid w:val="006441E9"/>
    <w:rsid w:val="006459E7"/>
    <w:rsid w:val="00672FA0"/>
    <w:rsid w:val="006A0FDA"/>
    <w:rsid w:val="006A68EE"/>
    <w:rsid w:val="006C3935"/>
    <w:rsid w:val="006F3F7B"/>
    <w:rsid w:val="007428EB"/>
    <w:rsid w:val="00756027"/>
    <w:rsid w:val="00762B3A"/>
    <w:rsid w:val="00776E15"/>
    <w:rsid w:val="00783103"/>
    <w:rsid w:val="00793C8E"/>
    <w:rsid w:val="007C1A65"/>
    <w:rsid w:val="007C723F"/>
    <w:rsid w:val="007F632D"/>
    <w:rsid w:val="007F6A39"/>
    <w:rsid w:val="008830A7"/>
    <w:rsid w:val="008A3EE5"/>
    <w:rsid w:val="008D5B3A"/>
    <w:rsid w:val="008E4E08"/>
    <w:rsid w:val="008E61D7"/>
    <w:rsid w:val="008F01B3"/>
    <w:rsid w:val="008F1E2F"/>
    <w:rsid w:val="00934146"/>
    <w:rsid w:val="00957ECF"/>
    <w:rsid w:val="00993D97"/>
    <w:rsid w:val="00997C0E"/>
    <w:rsid w:val="009E379E"/>
    <w:rsid w:val="00A7220B"/>
    <w:rsid w:val="00A877E6"/>
    <w:rsid w:val="00AB3A2C"/>
    <w:rsid w:val="00AD03AA"/>
    <w:rsid w:val="00B13031"/>
    <w:rsid w:val="00B20189"/>
    <w:rsid w:val="00B24F3E"/>
    <w:rsid w:val="00B54DCC"/>
    <w:rsid w:val="00B56807"/>
    <w:rsid w:val="00B90EDF"/>
    <w:rsid w:val="00BA33E1"/>
    <w:rsid w:val="00BB7105"/>
    <w:rsid w:val="00BD192A"/>
    <w:rsid w:val="00BE6214"/>
    <w:rsid w:val="00BF1A90"/>
    <w:rsid w:val="00C20940"/>
    <w:rsid w:val="00C254FB"/>
    <w:rsid w:val="00C441A8"/>
    <w:rsid w:val="00C53500"/>
    <w:rsid w:val="00C65352"/>
    <w:rsid w:val="00C70FF5"/>
    <w:rsid w:val="00CC3A05"/>
    <w:rsid w:val="00CD3B19"/>
    <w:rsid w:val="00CD66DF"/>
    <w:rsid w:val="00CE17D9"/>
    <w:rsid w:val="00D2055F"/>
    <w:rsid w:val="00D23A48"/>
    <w:rsid w:val="00D448EF"/>
    <w:rsid w:val="00D64B43"/>
    <w:rsid w:val="00D941DB"/>
    <w:rsid w:val="00DB34C9"/>
    <w:rsid w:val="00DC556B"/>
    <w:rsid w:val="00DF71AF"/>
    <w:rsid w:val="00E034A7"/>
    <w:rsid w:val="00E23DED"/>
    <w:rsid w:val="00E43BA7"/>
    <w:rsid w:val="00E63CC0"/>
    <w:rsid w:val="00EB06B6"/>
    <w:rsid w:val="00EC2B3D"/>
    <w:rsid w:val="00EC434B"/>
    <w:rsid w:val="00EE40E3"/>
    <w:rsid w:val="00F5659F"/>
    <w:rsid w:val="00F6582D"/>
    <w:rsid w:val="00F8044D"/>
    <w:rsid w:val="00F95354"/>
    <w:rsid w:val="00FA4FFB"/>
    <w:rsid w:val="00FB6A19"/>
    <w:rsid w:val="00FE10B5"/>
    <w:rsid w:val="00FE5E2E"/>
    <w:rsid w:val="00FF3050"/>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5FCD"/>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6122D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semiHidden/>
    <w:rsid w:val="006122D3"/>
    <w:rPr>
      <w:rFonts w:asciiTheme="majorHAnsi" w:eastAsiaTheme="majorEastAsia" w:hAnsiTheme="majorHAnsi" w:cstheme="majorBidi"/>
      <w:color w:val="2F5496" w:themeColor="accent1" w:themeShade="BF"/>
      <w:sz w:val="26"/>
      <w:szCs w:val="26"/>
      <w:lang w:val="es-ES"/>
    </w:rPr>
  </w:style>
  <w:style w:type="table" w:styleId="Tablaconcuadrcula">
    <w:name w:val="Table Grid"/>
    <w:basedOn w:val="Tablanormal"/>
    <w:uiPriority w:val="39"/>
    <w:rsid w:val="00612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22D3"/>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6122D3"/>
    <w:rPr>
      <w:sz w:val="16"/>
      <w:szCs w:val="16"/>
    </w:rPr>
  </w:style>
  <w:style w:type="paragraph" w:styleId="Textocomentario">
    <w:name w:val="annotation text"/>
    <w:basedOn w:val="Normal"/>
    <w:link w:val="TextocomentarioCar"/>
    <w:uiPriority w:val="99"/>
    <w:unhideWhenUsed/>
    <w:rsid w:val="006122D3"/>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6122D3"/>
    <w:rPr>
      <w:rFonts w:ascii="Arial" w:eastAsia="Arial" w:hAnsi="Arial" w:cs="Arial"/>
      <w:color w:val="000000"/>
      <w:sz w:val="20"/>
      <w:szCs w:val="20"/>
      <w:lang w:eastAsia="es-CO"/>
    </w:rPr>
  </w:style>
  <w:style w:type="character" w:customStyle="1" w:styleId="normaltextrun">
    <w:name w:val="normaltextrun"/>
    <w:basedOn w:val="Fuentedeprrafopredeter"/>
    <w:rsid w:val="006122D3"/>
  </w:style>
  <w:style w:type="paragraph" w:styleId="Prrafodelista">
    <w:name w:val="List Paragraph"/>
    <w:basedOn w:val="Normal"/>
    <w:uiPriority w:val="34"/>
    <w:qFormat/>
    <w:rsid w:val="00C20940"/>
    <w:pPr>
      <w:ind w:left="720"/>
      <w:contextualSpacing/>
    </w:pPr>
  </w:style>
  <w:style w:type="paragraph" w:styleId="Revisin">
    <w:name w:val="Revision"/>
    <w:hidden/>
    <w:uiPriority w:val="99"/>
    <w:semiHidden/>
    <w:rsid w:val="00CE17D9"/>
    <w:pPr>
      <w:spacing w:after="0" w:line="240" w:lineRule="auto"/>
    </w:pPr>
    <w:rPr>
      <w:rFonts w:ascii="Arial MT" w:eastAsia="Arial MT" w:hAnsi="Arial MT" w:cs="Arial MT"/>
      <w:lang w:val="es-ES"/>
    </w:rPr>
  </w:style>
  <w:style w:type="paragraph" w:styleId="Asuntodelcomentario">
    <w:name w:val="annotation subject"/>
    <w:basedOn w:val="Textocomentario"/>
    <w:next w:val="Textocomentario"/>
    <w:link w:val="AsuntodelcomentarioCar"/>
    <w:uiPriority w:val="99"/>
    <w:semiHidden/>
    <w:unhideWhenUsed/>
    <w:rsid w:val="00504784"/>
    <w:pPr>
      <w:widowControl w:val="0"/>
      <w:autoSpaceDE w:val="0"/>
      <w:autoSpaceDN w:val="0"/>
      <w:spacing w:after="0"/>
      <w:ind w:left="0" w:firstLine="0"/>
      <w:jc w:val="left"/>
    </w:pPr>
    <w:rPr>
      <w:rFonts w:ascii="Arial MT" w:eastAsia="Arial MT" w:hAnsi="Arial MT" w:cs="Arial MT"/>
      <w:b/>
      <w:bCs/>
      <w:color w:val="auto"/>
      <w:lang w:val="es-ES" w:eastAsia="en-US"/>
    </w:rPr>
  </w:style>
  <w:style w:type="character" w:customStyle="1" w:styleId="AsuntodelcomentarioCar">
    <w:name w:val="Asunto del comentario Car"/>
    <w:basedOn w:val="TextocomentarioCar"/>
    <w:link w:val="Asuntodelcomentario"/>
    <w:uiPriority w:val="99"/>
    <w:semiHidden/>
    <w:rsid w:val="00504784"/>
    <w:rPr>
      <w:rFonts w:ascii="Arial MT" w:eastAsia="Arial MT" w:hAnsi="Arial MT" w:cs="Arial MT"/>
      <w:b/>
      <w:bCs/>
      <w:color w:val="000000"/>
      <w:sz w:val="20"/>
      <w:szCs w:val="20"/>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244604">
      <w:bodyDiv w:val="1"/>
      <w:marLeft w:val="0"/>
      <w:marRight w:val="0"/>
      <w:marTop w:val="0"/>
      <w:marBottom w:val="0"/>
      <w:divBdr>
        <w:top w:val="none" w:sz="0" w:space="0" w:color="auto"/>
        <w:left w:val="none" w:sz="0" w:space="0" w:color="auto"/>
        <w:bottom w:val="none" w:sz="0" w:space="0" w:color="auto"/>
        <w:right w:val="none" w:sz="0" w:space="0" w:color="auto"/>
      </w:divBdr>
    </w:div>
    <w:div w:id="805440157">
      <w:bodyDiv w:val="1"/>
      <w:marLeft w:val="0"/>
      <w:marRight w:val="0"/>
      <w:marTop w:val="0"/>
      <w:marBottom w:val="0"/>
      <w:divBdr>
        <w:top w:val="none" w:sz="0" w:space="0" w:color="auto"/>
        <w:left w:val="none" w:sz="0" w:space="0" w:color="auto"/>
        <w:bottom w:val="none" w:sz="0" w:space="0" w:color="auto"/>
        <w:right w:val="none" w:sz="0" w:space="0" w:color="auto"/>
      </w:divBdr>
    </w:div>
    <w:div w:id="871839643">
      <w:bodyDiv w:val="1"/>
      <w:marLeft w:val="0"/>
      <w:marRight w:val="0"/>
      <w:marTop w:val="0"/>
      <w:marBottom w:val="0"/>
      <w:divBdr>
        <w:top w:val="none" w:sz="0" w:space="0" w:color="auto"/>
        <w:left w:val="none" w:sz="0" w:space="0" w:color="auto"/>
        <w:bottom w:val="none" w:sz="0" w:space="0" w:color="auto"/>
        <w:right w:val="none" w:sz="0" w:space="0" w:color="auto"/>
      </w:divBdr>
    </w:div>
    <w:div w:id="935753049">
      <w:bodyDiv w:val="1"/>
      <w:marLeft w:val="0"/>
      <w:marRight w:val="0"/>
      <w:marTop w:val="0"/>
      <w:marBottom w:val="0"/>
      <w:divBdr>
        <w:top w:val="none" w:sz="0" w:space="0" w:color="auto"/>
        <w:left w:val="none" w:sz="0" w:space="0" w:color="auto"/>
        <w:bottom w:val="none" w:sz="0" w:space="0" w:color="auto"/>
        <w:right w:val="none" w:sz="0" w:space="0" w:color="auto"/>
      </w:divBdr>
    </w:div>
    <w:div w:id="953632712">
      <w:bodyDiv w:val="1"/>
      <w:marLeft w:val="0"/>
      <w:marRight w:val="0"/>
      <w:marTop w:val="0"/>
      <w:marBottom w:val="0"/>
      <w:divBdr>
        <w:top w:val="none" w:sz="0" w:space="0" w:color="auto"/>
        <w:left w:val="none" w:sz="0" w:space="0" w:color="auto"/>
        <w:bottom w:val="none" w:sz="0" w:space="0" w:color="auto"/>
        <w:right w:val="none" w:sz="0" w:space="0" w:color="auto"/>
      </w:divBdr>
    </w:div>
    <w:div w:id="1179855657">
      <w:bodyDiv w:val="1"/>
      <w:marLeft w:val="0"/>
      <w:marRight w:val="0"/>
      <w:marTop w:val="0"/>
      <w:marBottom w:val="0"/>
      <w:divBdr>
        <w:top w:val="none" w:sz="0" w:space="0" w:color="auto"/>
        <w:left w:val="none" w:sz="0" w:space="0" w:color="auto"/>
        <w:bottom w:val="none" w:sz="0" w:space="0" w:color="auto"/>
        <w:right w:val="none" w:sz="0" w:space="0" w:color="auto"/>
      </w:divBdr>
    </w:div>
    <w:div w:id="1535581132">
      <w:bodyDiv w:val="1"/>
      <w:marLeft w:val="0"/>
      <w:marRight w:val="0"/>
      <w:marTop w:val="0"/>
      <w:marBottom w:val="0"/>
      <w:divBdr>
        <w:top w:val="none" w:sz="0" w:space="0" w:color="auto"/>
        <w:left w:val="none" w:sz="0" w:space="0" w:color="auto"/>
        <w:bottom w:val="none" w:sz="0" w:space="0" w:color="auto"/>
        <w:right w:val="none" w:sz="0" w:space="0" w:color="auto"/>
      </w:divBdr>
    </w:div>
    <w:div w:id="1604681138">
      <w:bodyDiv w:val="1"/>
      <w:marLeft w:val="0"/>
      <w:marRight w:val="0"/>
      <w:marTop w:val="0"/>
      <w:marBottom w:val="0"/>
      <w:divBdr>
        <w:top w:val="none" w:sz="0" w:space="0" w:color="auto"/>
        <w:left w:val="none" w:sz="0" w:space="0" w:color="auto"/>
        <w:bottom w:val="none" w:sz="0" w:space="0" w:color="auto"/>
        <w:right w:val="none" w:sz="0" w:space="0" w:color="auto"/>
      </w:divBdr>
    </w:div>
    <w:div w:id="198338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11cccali@cendoj.ramajudicial.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notificacionesjudiciales@suramericana.com.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o%20round\Documents\GHA\gha%20trabajos\area%20talento%20humano\plantilla%20Membreteada\uso%20juridic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1410</TotalTime>
  <Pages>5</Pages>
  <Words>1920</Words>
  <Characters>10564</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round</dc:creator>
  <cp:keywords/>
  <dc:description/>
  <cp:lastModifiedBy>Juan Manuel Henao Gallego</cp:lastModifiedBy>
  <cp:revision>13</cp:revision>
  <cp:lastPrinted>2025-05-08T19:42:00Z</cp:lastPrinted>
  <dcterms:created xsi:type="dcterms:W3CDTF">2025-06-26T12:44:00Z</dcterms:created>
  <dcterms:modified xsi:type="dcterms:W3CDTF">2025-07-03T21:47:00Z</dcterms:modified>
</cp:coreProperties>
</file>