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DEF146" w14:textId="5BD8BEB5" w:rsidR="00E0774A" w:rsidRPr="00A0108E" w:rsidRDefault="00E0774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Bogotá D.C., </w:t>
      </w:r>
      <w:r w:rsidR="00EC384A">
        <w:rPr>
          <w:rFonts w:ascii="Century Gothic" w:eastAsia="Calibri" w:hAnsi="Century Gothic" w:cs="Arial"/>
          <w:sz w:val="22"/>
          <w:szCs w:val="22"/>
          <w:lang w:val="es-CO"/>
        </w:rPr>
        <w:t>Febrero</w:t>
      </w:r>
      <w:r w:rsidR="00786658" w:rsidRPr="00A0108E">
        <w:rPr>
          <w:rFonts w:ascii="Century Gothic" w:eastAsia="Calibri" w:hAnsi="Century Gothic" w:cs="Arial"/>
          <w:sz w:val="22"/>
          <w:szCs w:val="22"/>
          <w:lang w:val="es-CO"/>
        </w:rPr>
        <w:t xml:space="preserve"> de 2025.</w:t>
      </w:r>
    </w:p>
    <w:p w14:paraId="6ADAD295"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7CD9B42"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Señores</w:t>
      </w:r>
    </w:p>
    <w:p w14:paraId="55CA1A01"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b/>
          <w:sz w:val="22"/>
          <w:szCs w:val="22"/>
        </w:rPr>
        <w:t>SUPERINTENDENCIA FINANCIERA</w:t>
      </w:r>
    </w:p>
    <w:p w14:paraId="5246B6BA" w14:textId="4FF8F68B"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Delegatura para Funciones Jurisdiccionales</w:t>
      </w:r>
    </w:p>
    <w:p w14:paraId="7DDCE75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t xml:space="preserve">                    S.</w:t>
      </w:r>
      <w:r w:rsidRPr="00A0108E">
        <w:rPr>
          <w:rFonts w:ascii="Century Gothic" w:eastAsia="Calibri" w:hAnsi="Century Gothic" w:cs="Arial"/>
          <w:sz w:val="22"/>
          <w:szCs w:val="22"/>
        </w:rPr>
        <w:tab/>
        <w:t xml:space="preserve">                                        D.</w:t>
      </w:r>
    </w:p>
    <w:p w14:paraId="1EA4ED4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82F4E1A"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Referencia:</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t xml:space="preserve">Acción Protección del Consumidor Financiero. Ley 1480 de 2011 </w:t>
      </w:r>
    </w:p>
    <w:p w14:paraId="645982F9" w14:textId="4B3FE650" w:rsidR="00786658" w:rsidRPr="00A0108E" w:rsidRDefault="00E0774A" w:rsidP="00786658">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Demandante:</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r>
      <w:r w:rsidR="00786658" w:rsidRPr="00A0108E">
        <w:rPr>
          <w:rFonts w:ascii="Century Gothic" w:eastAsia="Calibri" w:hAnsi="Century Gothic" w:cs="Arial"/>
          <w:sz w:val="22"/>
          <w:szCs w:val="22"/>
        </w:rPr>
        <w:t>M</w:t>
      </w:r>
      <w:r w:rsidR="00325124" w:rsidRPr="00A0108E">
        <w:rPr>
          <w:rFonts w:ascii="Century Gothic" w:eastAsia="Calibri" w:hAnsi="Century Gothic" w:cs="Arial"/>
          <w:sz w:val="22"/>
          <w:szCs w:val="22"/>
        </w:rPr>
        <w:t>onica</w:t>
      </w:r>
      <w:r w:rsidR="00786658" w:rsidRPr="00A0108E">
        <w:rPr>
          <w:rFonts w:ascii="Century Gothic" w:eastAsia="Calibri" w:hAnsi="Century Gothic" w:cs="Arial"/>
          <w:sz w:val="22"/>
          <w:szCs w:val="22"/>
        </w:rPr>
        <w:t xml:space="preserve"> A</w:t>
      </w:r>
      <w:r w:rsidR="00325124" w:rsidRPr="00A0108E">
        <w:rPr>
          <w:rFonts w:ascii="Century Gothic" w:eastAsia="Calibri" w:hAnsi="Century Gothic" w:cs="Arial"/>
          <w:sz w:val="22"/>
          <w:szCs w:val="22"/>
        </w:rPr>
        <w:t>lexandra</w:t>
      </w:r>
      <w:r w:rsidR="00786658" w:rsidRPr="00A0108E">
        <w:rPr>
          <w:rFonts w:ascii="Century Gothic" w:eastAsia="Calibri" w:hAnsi="Century Gothic" w:cs="Arial"/>
          <w:sz w:val="22"/>
          <w:szCs w:val="22"/>
        </w:rPr>
        <w:t xml:space="preserve"> V</w:t>
      </w:r>
      <w:r w:rsidR="00325124" w:rsidRPr="00A0108E">
        <w:rPr>
          <w:rFonts w:ascii="Century Gothic" w:eastAsia="Calibri" w:hAnsi="Century Gothic" w:cs="Arial"/>
          <w:sz w:val="22"/>
          <w:szCs w:val="22"/>
        </w:rPr>
        <w:t>idal</w:t>
      </w:r>
      <w:r w:rsidR="00786658" w:rsidRPr="00A0108E">
        <w:rPr>
          <w:rFonts w:ascii="Century Gothic" w:eastAsia="Calibri" w:hAnsi="Century Gothic" w:cs="Arial"/>
          <w:sz w:val="22"/>
          <w:szCs w:val="22"/>
        </w:rPr>
        <w:t xml:space="preserve"> G</w:t>
      </w:r>
      <w:r w:rsidR="00325124" w:rsidRPr="00A0108E">
        <w:rPr>
          <w:rFonts w:ascii="Century Gothic" w:eastAsia="Calibri" w:hAnsi="Century Gothic" w:cs="Arial"/>
          <w:sz w:val="22"/>
          <w:szCs w:val="22"/>
        </w:rPr>
        <w:t>onzalez</w:t>
      </w:r>
      <w:r w:rsidR="00786658" w:rsidRPr="00A0108E">
        <w:rPr>
          <w:rFonts w:ascii="Century Gothic" w:eastAsia="Calibri" w:hAnsi="Century Gothic" w:cs="Arial"/>
          <w:sz w:val="22"/>
          <w:szCs w:val="22"/>
        </w:rPr>
        <w:t xml:space="preserve"> </w:t>
      </w:r>
      <w:r w:rsidR="00325124" w:rsidRPr="00A0108E">
        <w:rPr>
          <w:rFonts w:ascii="Century Gothic" w:eastAsia="Calibri" w:hAnsi="Century Gothic" w:cs="Arial"/>
          <w:sz w:val="22"/>
          <w:szCs w:val="22"/>
        </w:rPr>
        <w:t xml:space="preserve">actuando como única heredera de la señora LIGIA GONZALEZ CASTAÑEDA </w:t>
      </w:r>
      <w:r w:rsidR="0089381D" w:rsidRPr="00A0108E">
        <w:rPr>
          <w:rFonts w:ascii="Century Gothic" w:eastAsia="Calibri" w:hAnsi="Century Gothic" w:cs="Arial"/>
          <w:sz w:val="22"/>
          <w:szCs w:val="22"/>
        </w:rPr>
        <w:t>(</w:t>
      </w:r>
      <w:r w:rsidR="004052B2" w:rsidRPr="00A0108E">
        <w:rPr>
          <w:rFonts w:ascii="Century Gothic" w:eastAsia="Calibri" w:hAnsi="Century Gothic" w:cs="Arial"/>
          <w:sz w:val="22"/>
          <w:szCs w:val="22"/>
        </w:rPr>
        <w:t>q.e.p.d</w:t>
      </w:r>
      <w:r w:rsidR="0089381D" w:rsidRPr="00A0108E">
        <w:rPr>
          <w:rFonts w:ascii="Century Gothic" w:eastAsia="Calibri" w:hAnsi="Century Gothic" w:cs="Arial"/>
          <w:sz w:val="22"/>
          <w:szCs w:val="22"/>
        </w:rPr>
        <w:t>)</w:t>
      </w:r>
    </w:p>
    <w:p w14:paraId="280505E9" w14:textId="364FDFB7" w:rsidR="00E0774A" w:rsidRPr="00A0108E" w:rsidRDefault="00E0774A" w:rsidP="00786658">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Demandado:</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t>La Equidad Seguros Vida O.C.</w:t>
      </w:r>
      <w:r w:rsidR="00B8078C" w:rsidRPr="00A0108E">
        <w:rPr>
          <w:rFonts w:ascii="Century Gothic" w:eastAsia="Calibri" w:hAnsi="Century Gothic" w:cs="Arial"/>
          <w:sz w:val="22"/>
          <w:szCs w:val="22"/>
        </w:rPr>
        <w:t xml:space="preserve">- </w:t>
      </w:r>
      <w:r w:rsidR="00B8078C" w:rsidRPr="00A0108E">
        <w:rPr>
          <w:rFonts w:ascii="Century Gothic" w:eastAsia="Calibri" w:hAnsi="Century Gothic" w:cs="Arial"/>
          <w:sz w:val="22"/>
          <w:szCs w:val="22"/>
        </w:rPr>
        <w:t>BANCO COOMEVA S.A</w:t>
      </w:r>
    </w:p>
    <w:p w14:paraId="63C0787C" w14:textId="4E1E51C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Radicado:</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r>
      <w:r w:rsidRPr="00A0108E">
        <w:rPr>
          <w:rFonts w:ascii="Century Gothic" w:eastAsia="Calibri" w:hAnsi="Century Gothic" w:cs="Arial"/>
          <w:sz w:val="22"/>
          <w:szCs w:val="22"/>
        </w:rPr>
        <w:tab/>
      </w:r>
      <w:r w:rsidR="00786658" w:rsidRPr="00A0108E">
        <w:rPr>
          <w:rFonts w:ascii="Century Gothic" w:eastAsia="Calibri" w:hAnsi="Century Gothic" w:cs="Arial"/>
          <w:sz w:val="22"/>
          <w:szCs w:val="22"/>
        </w:rPr>
        <w:t>2025005483</w:t>
      </w:r>
      <w:r w:rsidRPr="00A0108E">
        <w:rPr>
          <w:rFonts w:ascii="Century Gothic" w:eastAsia="Calibri" w:hAnsi="Century Gothic" w:cs="Arial"/>
          <w:sz w:val="22"/>
          <w:szCs w:val="22"/>
        </w:rPr>
        <w:t xml:space="preserve"> </w:t>
      </w:r>
    </w:p>
    <w:p w14:paraId="69DB19C4" w14:textId="0E43B4E2"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Expediente:</w:t>
      </w:r>
      <w:r w:rsidRPr="00A0108E">
        <w:rPr>
          <w:rFonts w:ascii="Century Gothic" w:eastAsia="Calibri" w:hAnsi="Century Gothic" w:cs="Arial"/>
          <w:sz w:val="22"/>
          <w:szCs w:val="22"/>
        </w:rPr>
        <w:tab/>
      </w:r>
      <w:r w:rsidRPr="00A0108E">
        <w:rPr>
          <w:rFonts w:ascii="Century Gothic" w:eastAsia="Calibri" w:hAnsi="Century Gothic" w:cs="Arial"/>
          <w:sz w:val="22"/>
          <w:szCs w:val="22"/>
        </w:rPr>
        <w:tab/>
      </w:r>
      <w:r w:rsidRPr="00A0108E">
        <w:rPr>
          <w:rFonts w:ascii="Century Gothic" w:eastAsia="Calibri" w:hAnsi="Century Gothic" w:cs="Arial"/>
          <w:sz w:val="22"/>
          <w:szCs w:val="22"/>
        </w:rPr>
        <w:tab/>
      </w:r>
      <w:r w:rsidR="00786658" w:rsidRPr="00A0108E">
        <w:rPr>
          <w:rFonts w:ascii="Century Gothic" w:eastAsia="Calibri" w:hAnsi="Century Gothic" w:cs="Arial"/>
          <w:sz w:val="22"/>
          <w:szCs w:val="22"/>
        </w:rPr>
        <w:t>2025-0890</w:t>
      </w:r>
    </w:p>
    <w:p w14:paraId="1578638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68FC88D"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b/>
          <w:sz w:val="22"/>
          <w:szCs w:val="22"/>
        </w:rPr>
        <w:t xml:space="preserve">Asunto: </w:t>
      </w:r>
      <w:r w:rsidRPr="00A0108E">
        <w:rPr>
          <w:rFonts w:ascii="Century Gothic" w:eastAsia="Calibri" w:hAnsi="Century Gothic" w:cs="Arial"/>
          <w:sz w:val="22"/>
          <w:szCs w:val="22"/>
        </w:rPr>
        <w:t>Contestación de demanda Directa</w:t>
      </w:r>
    </w:p>
    <w:p w14:paraId="150DA922"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481E4402" w14:textId="4024FFF6"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b/>
          <w:bCs/>
          <w:sz w:val="22"/>
          <w:szCs w:val="22"/>
        </w:rPr>
        <w:t>CLAUDIA JIMENA LASTRA FERNANDEZ,</w:t>
      </w:r>
      <w:r w:rsidRPr="00A0108E">
        <w:rPr>
          <w:rFonts w:ascii="Century Gothic" w:eastAsia="Calibri" w:hAnsi="Century Gothic" w:cs="Arial"/>
          <w:sz w:val="22"/>
          <w:szCs w:val="22"/>
        </w:rPr>
        <w:t> mayor de edad, identificada con la cédula de ciudadanía No.28.554.926 de Ibagué, domiciliada y vecina de esta ciudad, abogada en ejercicio y portadora de la tarjeta profesional No.173.702 del Consejo Superior de la Judicatura, actuando en nombre y representación de </w:t>
      </w:r>
      <w:r w:rsidRPr="00A0108E">
        <w:rPr>
          <w:rFonts w:ascii="Century Gothic" w:eastAsia="Calibri" w:hAnsi="Century Gothic" w:cs="Arial"/>
          <w:b/>
          <w:bCs/>
          <w:sz w:val="22"/>
          <w:szCs w:val="22"/>
        </w:rPr>
        <w:t>LA EQUIDAD SEGUROS VIDA O.C.,</w:t>
      </w:r>
      <w:r w:rsidRPr="00A0108E">
        <w:rPr>
          <w:rFonts w:ascii="Century Gothic" w:eastAsia="Calibri" w:hAnsi="Century Gothic" w:cs="Arial"/>
          <w:sz w:val="22"/>
          <w:szCs w:val="22"/>
        </w:rPr>
        <w:t xml:space="preserve"> representada legalmente por el señor </w:t>
      </w:r>
      <w:r w:rsidRPr="00A0108E">
        <w:rPr>
          <w:rFonts w:ascii="Century Gothic" w:eastAsia="Calibri" w:hAnsi="Century Gothic" w:cs="Arial"/>
          <w:b/>
          <w:sz w:val="22"/>
          <w:szCs w:val="22"/>
        </w:rPr>
        <w:t>NESTOR RAUL HERNANDEZ OSPINA</w:t>
      </w:r>
      <w:r w:rsidRPr="00A0108E">
        <w:rPr>
          <w:rFonts w:ascii="Century Gothic" w:eastAsia="Calibri" w:hAnsi="Century Gothic" w:cs="Arial"/>
          <w:sz w:val="22"/>
          <w:szCs w:val="22"/>
        </w:rPr>
        <w:t xml:space="preserve"> identificado con la cédula de ciudadanía No. 94.311.640, tal y como consta en el certificado de existencia y representación expedido por la Superintendencia Financiera de Colombia, aseguradora constituida mediante Escritura Pública No. 2948 del 24 de junio de 1970 ante la Notaria 10 del </w:t>
      </w:r>
      <w:r w:rsidR="00325124" w:rsidRPr="00A0108E">
        <w:rPr>
          <w:rFonts w:ascii="Century Gothic" w:eastAsia="Calibri" w:hAnsi="Century Gothic" w:cs="Arial"/>
          <w:sz w:val="22"/>
          <w:szCs w:val="22"/>
        </w:rPr>
        <w:t>Círculo</w:t>
      </w:r>
      <w:r w:rsidRPr="00A0108E">
        <w:rPr>
          <w:rFonts w:ascii="Century Gothic" w:eastAsia="Calibri" w:hAnsi="Century Gothic" w:cs="Arial"/>
          <w:sz w:val="22"/>
          <w:szCs w:val="22"/>
        </w:rPr>
        <w:t xml:space="preserve"> de Bogotá, identificada con el Nit.860.028.415-5 y con domicilio principal en la ciudad de Bogotá D.C., de conformidad con el poder general que me fuere conferido el 13 de agosto de 2020 mediante escritura pública No. 702 de la Notaria 10 del </w:t>
      </w:r>
      <w:r w:rsidR="00325124" w:rsidRPr="00A0108E">
        <w:rPr>
          <w:rFonts w:ascii="Century Gothic" w:eastAsia="Calibri" w:hAnsi="Century Gothic" w:cs="Arial"/>
          <w:sz w:val="22"/>
          <w:szCs w:val="22"/>
        </w:rPr>
        <w:t>Círculo</w:t>
      </w:r>
      <w:r w:rsidRPr="00A0108E">
        <w:rPr>
          <w:rFonts w:ascii="Century Gothic" w:eastAsia="Calibri" w:hAnsi="Century Gothic" w:cs="Arial"/>
          <w:sz w:val="22"/>
          <w:szCs w:val="22"/>
        </w:rPr>
        <w:t xml:space="preserve"> de Bogotá, documentación que se adjunta, me permito presentar contestación de demanda, dentro del término legal establecido en los siguientes términos:</w:t>
      </w:r>
    </w:p>
    <w:p w14:paraId="4C23E59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182B4B57" w14:textId="77777777" w:rsidR="00E0774A" w:rsidRPr="00A0108E" w:rsidRDefault="00E0774A" w:rsidP="00DF7925">
      <w:pPr>
        <w:autoSpaceDE w:val="0"/>
        <w:autoSpaceDN w:val="0"/>
        <w:adjustRightInd w:val="0"/>
        <w:jc w:val="center"/>
        <w:rPr>
          <w:rFonts w:ascii="Century Gothic" w:eastAsia="Calibri" w:hAnsi="Century Gothic" w:cs="Arial"/>
          <w:b/>
          <w:sz w:val="22"/>
          <w:szCs w:val="22"/>
        </w:rPr>
      </w:pPr>
      <w:r w:rsidRPr="00A0108E">
        <w:rPr>
          <w:rFonts w:ascii="Century Gothic" w:eastAsia="Calibri" w:hAnsi="Century Gothic" w:cs="Arial"/>
          <w:b/>
          <w:sz w:val="22"/>
          <w:szCs w:val="22"/>
        </w:rPr>
        <w:t>A LOS HECHOS DE LA DEMANDA:</w:t>
      </w:r>
    </w:p>
    <w:p w14:paraId="2230F57C" w14:textId="77777777" w:rsidR="00832C9F" w:rsidRPr="00A0108E" w:rsidRDefault="00832C9F" w:rsidP="00DF7925">
      <w:pPr>
        <w:autoSpaceDE w:val="0"/>
        <w:autoSpaceDN w:val="0"/>
        <w:adjustRightInd w:val="0"/>
        <w:jc w:val="center"/>
        <w:rPr>
          <w:rFonts w:ascii="Century Gothic" w:eastAsia="Calibri" w:hAnsi="Century Gothic" w:cs="Arial"/>
          <w:b/>
          <w:sz w:val="22"/>
          <w:szCs w:val="22"/>
        </w:rPr>
      </w:pPr>
    </w:p>
    <w:p w14:paraId="0337060C" w14:textId="77777777" w:rsidR="00925DB7"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
          <w:bCs/>
          <w:sz w:val="22"/>
          <w:szCs w:val="22"/>
        </w:rPr>
        <w:t>PRIMERO:</w:t>
      </w:r>
      <w:r w:rsidRPr="00A0108E">
        <w:rPr>
          <w:rFonts w:ascii="Century Gothic" w:eastAsia="Calibri" w:hAnsi="Century Gothic" w:cs="Arial"/>
          <w:bCs/>
          <w:sz w:val="22"/>
          <w:szCs w:val="22"/>
        </w:rPr>
        <w:t xml:space="preserve"> </w:t>
      </w:r>
      <w:r w:rsidR="00925DB7" w:rsidRPr="00A0108E">
        <w:rPr>
          <w:rFonts w:ascii="Century Gothic" w:eastAsia="Calibri" w:hAnsi="Century Gothic" w:cs="Arial"/>
          <w:bCs/>
          <w:sz w:val="22"/>
          <w:szCs w:val="22"/>
        </w:rPr>
        <w:t>Es parcialmente cierto</w:t>
      </w:r>
      <w:r w:rsidR="00804BFD" w:rsidRPr="00A0108E">
        <w:rPr>
          <w:rFonts w:ascii="Century Gothic" w:eastAsia="Calibri" w:hAnsi="Century Gothic" w:cs="Arial"/>
          <w:bCs/>
          <w:sz w:val="22"/>
          <w:szCs w:val="22"/>
        </w:rPr>
        <w:t xml:space="preserve">, </w:t>
      </w:r>
      <w:r w:rsidR="00925DB7" w:rsidRPr="00A0108E">
        <w:rPr>
          <w:rFonts w:ascii="Century Gothic" w:eastAsia="Calibri" w:hAnsi="Century Gothic" w:cs="Arial"/>
          <w:bCs/>
          <w:sz w:val="22"/>
          <w:szCs w:val="22"/>
        </w:rPr>
        <w:t xml:space="preserve">Es cierto que, </w:t>
      </w:r>
      <w:r w:rsidR="00F61D50" w:rsidRPr="00A0108E">
        <w:rPr>
          <w:rFonts w:ascii="Century Gothic" w:eastAsia="Calibri" w:hAnsi="Century Gothic" w:cs="Arial"/>
          <w:bCs/>
          <w:sz w:val="22"/>
          <w:szCs w:val="22"/>
        </w:rPr>
        <w:t>l</w:t>
      </w:r>
      <w:r w:rsidR="0013750F" w:rsidRPr="00A0108E">
        <w:rPr>
          <w:rFonts w:ascii="Century Gothic" w:eastAsia="Calibri" w:hAnsi="Century Gothic" w:cs="Arial"/>
          <w:bCs/>
          <w:sz w:val="22"/>
          <w:szCs w:val="22"/>
        </w:rPr>
        <w:t xml:space="preserve">a señora Ligia González Castañeda </w:t>
      </w:r>
      <w:r w:rsidR="00F61D50" w:rsidRPr="00A0108E">
        <w:rPr>
          <w:rFonts w:ascii="Century Gothic" w:eastAsia="Calibri" w:hAnsi="Century Gothic" w:cs="Arial"/>
          <w:bCs/>
          <w:sz w:val="22"/>
          <w:szCs w:val="22"/>
        </w:rPr>
        <w:t xml:space="preserve">(q.e.p.d) </w:t>
      </w:r>
      <w:r w:rsidR="0013750F" w:rsidRPr="00A0108E">
        <w:rPr>
          <w:rFonts w:ascii="Century Gothic" w:eastAsia="Calibri" w:hAnsi="Century Gothic" w:cs="Arial"/>
          <w:bCs/>
          <w:sz w:val="22"/>
          <w:szCs w:val="22"/>
        </w:rPr>
        <w:t>adquirió un seguro de vida de deudores</w:t>
      </w:r>
      <w:r w:rsidR="00925DB7" w:rsidRPr="00A0108E">
        <w:rPr>
          <w:rFonts w:ascii="Century Gothic" w:eastAsia="Calibri" w:hAnsi="Century Gothic" w:cs="Arial"/>
          <w:bCs/>
          <w:sz w:val="22"/>
          <w:szCs w:val="22"/>
        </w:rPr>
        <w:t>.</w:t>
      </w:r>
    </w:p>
    <w:p w14:paraId="24850B2F" w14:textId="5EC67702" w:rsidR="00B62262" w:rsidRPr="00A0108E" w:rsidRDefault="00925DB7"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No es cierto que el seguro de vida iniciara </w:t>
      </w:r>
      <w:r w:rsidR="00BA5032" w:rsidRPr="00A0108E">
        <w:rPr>
          <w:rFonts w:ascii="Century Gothic" w:eastAsia="Calibri" w:hAnsi="Century Gothic" w:cs="Arial"/>
          <w:bCs/>
          <w:sz w:val="22"/>
          <w:szCs w:val="22"/>
        </w:rPr>
        <w:t>cobertura el</w:t>
      </w:r>
      <w:r w:rsidR="0013750F" w:rsidRPr="00A0108E">
        <w:rPr>
          <w:rFonts w:ascii="Century Gothic" w:eastAsia="Calibri" w:hAnsi="Century Gothic" w:cs="Arial"/>
          <w:bCs/>
          <w:sz w:val="22"/>
          <w:szCs w:val="22"/>
        </w:rPr>
        <w:t xml:space="preserve"> 1 de julio de 2022 con la aseguradora EQUIDAD SEGUROS DE VIDA. </w:t>
      </w:r>
      <w:r w:rsidR="00BA5032" w:rsidRPr="00A0108E">
        <w:rPr>
          <w:rFonts w:ascii="Century Gothic" w:eastAsia="Calibri" w:hAnsi="Century Gothic" w:cs="Arial"/>
          <w:bCs/>
          <w:sz w:val="22"/>
          <w:szCs w:val="22"/>
        </w:rPr>
        <w:t>Por qué</w:t>
      </w:r>
      <w:r w:rsidR="00B62262" w:rsidRPr="00A0108E">
        <w:rPr>
          <w:rFonts w:ascii="Century Gothic" w:eastAsia="Calibri" w:hAnsi="Century Gothic" w:cs="Arial"/>
          <w:bCs/>
          <w:sz w:val="22"/>
          <w:szCs w:val="22"/>
        </w:rPr>
        <w:t xml:space="preserve"> la póliza que se expidió el 1 julio de 2022 fue para el </w:t>
      </w:r>
      <w:r w:rsidR="00BA5032" w:rsidRPr="00A0108E">
        <w:rPr>
          <w:rFonts w:ascii="Century Gothic" w:eastAsia="Calibri" w:hAnsi="Century Gothic" w:cs="Arial"/>
          <w:bCs/>
          <w:sz w:val="22"/>
          <w:szCs w:val="22"/>
        </w:rPr>
        <w:t>crédito</w:t>
      </w:r>
      <w:r w:rsidR="00B62262" w:rsidRPr="00A0108E">
        <w:rPr>
          <w:rFonts w:ascii="Century Gothic" w:eastAsia="Calibri" w:hAnsi="Century Gothic" w:cs="Arial"/>
          <w:bCs/>
          <w:sz w:val="22"/>
          <w:szCs w:val="22"/>
        </w:rPr>
        <w:t xml:space="preserve"> por la suma de $98.397.408. véase:</w:t>
      </w:r>
    </w:p>
    <w:p w14:paraId="65FB4465" w14:textId="6862CB5C" w:rsidR="00874F35" w:rsidRPr="00A0108E" w:rsidRDefault="00874F35"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Parte inicial:</w:t>
      </w:r>
    </w:p>
    <w:p w14:paraId="43917F51" w14:textId="77777777" w:rsidR="00B62262" w:rsidRPr="00A0108E" w:rsidRDefault="00B62262" w:rsidP="00E0774A">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lastRenderedPageBreak/>
        <w:drawing>
          <wp:inline distT="0" distB="0" distL="0" distR="0" wp14:anchorId="27530A32" wp14:editId="64104B7F">
            <wp:extent cx="5612130" cy="1905635"/>
            <wp:effectExtent l="0" t="0" r="7620" b="0"/>
            <wp:docPr id="197151767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517672" name=""/>
                    <pic:cNvPicPr/>
                  </pic:nvPicPr>
                  <pic:blipFill>
                    <a:blip r:embed="rId8"/>
                    <a:stretch>
                      <a:fillRect/>
                    </a:stretch>
                  </pic:blipFill>
                  <pic:spPr>
                    <a:xfrm>
                      <a:off x="0" y="0"/>
                      <a:ext cx="5612130" cy="1905635"/>
                    </a:xfrm>
                    <a:prstGeom prst="rect">
                      <a:avLst/>
                    </a:prstGeom>
                  </pic:spPr>
                </pic:pic>
              </a:graphicData>
            </a:graphic>
          </wp:inline>
        </w:drawing>
      </w:r>
    </w:p>
    <w:p w14:paraId="42CB117C" w14:textId="23AE1864" w:rsidR="00874F35" w:rsidRPr="00A0108E" w:rsidRDefault="00874F35"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Parte final:</w:t>
      </w:r>
    </w:p>
    <w:p w14:paraId="192B022B" w14:textId="4C65155D" w:rsidR="00BA5032" w:rsidRPr="00A0108E" w:rsidRDefault="00B62262" w:rsidP="00E0774A">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drawing>
          <wp:inline distT="0" distB="0" distL="0" distR="0" wp14:anchorId="339FFBC5" wp14:editId="68545100">
            <wp:extent cx="5612130" cy="1319530"/>
            <wp:effectExtent l="0" t="0" r="7620" b="0"/>
            <wp:docPr id="1578318126"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318126" name="Imagen 1" descr="Texto, Carta&#10;&#10;El contenido generado por IA puede ser incorrecto."/>
                    <pic:cNvPicPr/>
                  </pic:nvPicPr>
                  <pic:blipFill>
                    <a:blip r:embed="rId9"/>
                    <a:stretch>
                      <a:fillRect/>
                    </a:stretch>
                  </pic:blipFill>
                  <pic:spPr>
                    <a:xfrm>
                      <a:off x="0" y="0"/>
                      <a:ext cx="5612130" cy="1319530"/>
                    </a:xfrm>
                    <a:prstGeom prst="rect">
                      <a:avLst/>
                    </a:prstGeom>
                  </pic:spPr>
                </pic:pic>
              </a:graphicData>
            </a:graphic>
          </wp:inline>
        </w:drawing>
      </w:r>
      <w:r w:rsidR="0013750F" w:rsidRPr="00A0108E">
        <w:rPr>
          <w:rFonts w:ascii="Century Gothic" w:eastAsia="Calibri" w:hAnsi="Century Gothic" w:cs="Arial"/>
          <w:bCs/>
          <w:sz w:val="22"/>
          <w:szCs w:val="22"/>
        </w:rPr>
        <w:t>Es</w:t>
      </w:r>
      <w:r w:rsidR="00BA5032" w:rsidRPr="00A0108E">
        <w:rPr>
          <w:rFonts w:ascii="Century Gothic" w:eastAsia="Calibri" w:hAnsi="Century Gothic" w:cs="Arial"/>
          <w:bCs/>
          <w:sz w:val="22"/>
          <w:szCs w:val="22"/>
        </w:rPr>
        <w:t xml:space="preserve"> cierto que la póliza tiene como cobertura la muerte del asegurado.</w:t>
      </w:r>
    </w:p>
    <w:p w14:paraId="737A8798" w14:textId="17862650" w:rsidR="0013750F" w:rsidRPr="00A0108E" w:rsidRDefault="00BA5032"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Respecto del valor asegurado es necesario precisar </w:t>
      </w:r>
      <w:r w:rsidR="009D6BCA" w:rsidRPr="00A0108E">
        <w:rPr>
          <w:rFonts w:ascii="Century Gothic" w:eastAsia="Calibri" w:hAnsi="Century Gothic" w:cs="Arial"/>
          <w:bCs/>
          <w:sz w:val="22"/>
          <w:szCs w:val="22"/>
        </w:rPr>
        <w:t xml:space="preserve">que el monto del valor asegurado por el amparo de muerte en la suma de </w:t>
      </w:r>
      <w:r w:rsidR="0013750F" w:rsidRPr="00A0108E">
        <w:rPr>
          <w:rFonts w:ascii="Century Gothic" w:eastAsia="Calibri" w:hAnsi="Century Gothic" w:cs="Arial"/>
          <w:bCs/>
          <w:sz w:val="22"/>
          <w:szCs w:val="22"/>
        </w:rPr>
        <w:t>TRESCIENTOS DIECINUEVE MILLONES SETECIENTOS NUEVE MIL SEISCIENTOS PESOS ($319.709.600), correspond</w:t>
      </w:r>
      <w:r w:rsidR="009D6BCA" w:rsidRPr="00A0108E">
        <w:rPr>
          <w:rFonts w:ascii="Century Gothic" w:eastAsia="Calibri" w:hAnsi="Century Gothic" w:cs="Arial"/>
          <w:bCs/>
          <w:sz w:val="22"/>
          <w:szCs w:val="22"/>
        </w:rPr>
        <w:t>e</w:t>
      </w:r>
      <w:r w:rsidR="0013750F" w:rsidRPr="00A0108E">
        <w:rPr>
          <w:rFonts w:ascii="Century Gothic" w:eastAsia="Calibri" w:hAnsi="Century Gothic" w:cs="Arial"/>
          <w:bCs/>
          <w:sz w:val="22"/>
          <w:szCs w:val="22"/>
        </w:rPr>
        <w:t xml:space="preserve"> a </w:t>
      </w:r>
      <w:r w:rsidR="009D6BCA" w:rsidRPr="00A0108E">
        <w:rPr>
          <w:rFonts w:ascii="Century Gothic" w:eastAsia="Calibri" w:hAnsi="Century Gothic" w:cs="Arial"/>
          <w:bCs/>
          <w:sz w:val="22"/>
          <w:szCs w:val="22"/>
        </w:rPr>
        <w:t>otro</w:t>
      </w:r>
      <w:r w:rsidR="0013750F" w:rsidRPr="00A0108E">
        <w:rPr>
          <w:rFonts w:ascii="Century Gothic" w:eastAsia="Calibri" w:hAnsi="Century Gothic" w:cs="Arial"/>
          <w:bCs/>
          <w:sz w:val="22"/>
          <w:szCs w:val="22"/>
        </w:rPr>
        <w:t xml:space="preserve"> crédito adquirido con la entidad BANCOOMEVA S.A.</w:t>
      </w:r>
      <w:r w:rsidR="00F61D50" w:rsidRPr="00A0108E">
        <w:rPr>
          <w:rFonts w:ascii="Century Gothic" w:eastAsia="Calibri" w:hAnsi="Century Gothic" w:cs="Arial"/>
          <w:bCs/>
          <w:sz w:val="22"/>
          <w:szCs w:val="22"/>
        </w:rPr>
        <w:t xml:space="preserve">, </w:t>
      </w:r>
      <w:r w:rsidR="009D6BCA" w:rsidRPr="00A0108E">
        <w:rPr>
          <w:rFonts w:ascii="Century Gothic" w:eastAsia="Calibri" w:hAnsi="Century Gothic" w:cs="Arial"/>
          <w:bCs/>
          <w:sz w:val="22"/>
          <w:szCs w:val="22"/>
        </w:rPr>
        <w:t>así</w:t>
      </w:r>
      <w:r w:rsidR="00F61D50" w:rsidRPr="00A0108E">
        <w:rPr>
          <w:rFonts w:ascii="Century Gothic" w:eastAsia="Calibri" w:hAnsi="Century Gothic" w:cs="Arial"/>
          <w:bCs/>
          <w:sz w:val="22"/>
          <w:szCs w:val="22"/>
        </w:rPr>
        <w:t>:</w:t>
      </w:r>
    </w:p>
    <w:p w14:paraId="5A90D5A9" w14:textId="45E9FB9B" w:rsidR="00F61D50" w:rsidRPr="00A0108E" w:rsidRDefault="00F61D50" w:rsidP="00F61D50">
      <w:pPr>
        <w:pStyle w:val="Prrafodelista"/>
        <w:numPr>
          <w:ilvl w:val="0"/>
          <w:numId w:val="41"/>
        </w:num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Porque el </w:t>
      </w:r>
      <w:r w:rsidR="006317A8" w:rsidRPr="00A0108E">
        <w:rPr>
          <w:rFonts w:ascii="Century Gothic" w:eastAsia="Calibri" w:hAnsi="Century Gothic" w:cs="Arial"/>
          <w:bCs/>
          <w:sz w:val="22"/>
          <w:szCs w:val="22"/>
        </w:rPr>
        <w:t>crédito</w:t>
      </w:r>
      <w:r w:rsidRPr="00A0108E">
        <w:rPr>
          <w:rFonts w:ascii="Century Gothic" w:eastAsia="Calibri" w:hAnsi="Century Gothic" w:cs="Arial"/>
          <w:bCs/>
          <w:sz w:val="22"/>
          <w:szCs w:val="22"/>
        </w:rPr>
        <w:t xml:space="preserve"> por la suma de $319.709.600 se adquirió </w:t>
      </w:r>
      <w:r w:rsidR="00B556C4" w:rsidRPr="00A0108E">
        <w:rPr>
          <w:rFonts w:ascii="Century Gothic" w:eastAsia="Calibri" w:hAnsi="Century Gothic" w:cs="Arial"/>
          <w:bCs/>
          <w:sz w:val="22"/>
          <w:szCs w:val="22"/>
        </w:rPr>
        <w:t>fue desembolsado el 22</w:t>
      </w:r>
      <w:r w:rsidR="006317A8" w:rsidRPr="00A0108E">
        <w:rPr>
          <w:rFonts w:ascii="Century Gothic" w:eastAsia="Calibri" w:hAnsi="Century Gothic" w:cs="Arial"/>
          <w:bCs/>
          <w:sz w:val="22"/>
          <w:szCs w:val="22"/>
        </w:rPr>
        <w:t xml:space="preserve"> octubre de 2022, </w:t>
      </w:r>
      <w:r w:rsidR="00B556C4" w:rsidRPr="00A0108E">
        <w:rPr>
          <w:rFonts w:ascii="Century Gothic" w:eastAsia="Calibri" w:hAnsi="Century Gothic" w:cs="Arial"/>
          <w:bCs/>
          <w:sz w:val="22"/>
          <w:szCs w:val="22"/>
        </w:rPr>
        <w:t xml:space="preserve">y </w:t>
      </w:r>
      <w:r w:rsidR="006317A8" w:rsidRPr="00A0108E">
        <w:rPr>
          <w:rFonts w:ascii="Century Gothic" w:eastAsia="Calibri" w:hAnsi="Century Gothic" w:cs="Arial"/>
          <w:bCs/>
          <w:sz w:val="22"/>
          <w:szCs w:val="22"/>
        </w:rPr>
        <w:t xml:space="preserve">el </w:t>
      </w:r>
      <w:r w:rsidR="00515BAB" w:rsidRPr="00A0108E">
        <w:rPr>
          <w:rFonts w:ascii="Century Gothic" w:eastAsia="Calibri" w:hAnsi="Century Gothic" w:cs="Arial"/>
          <w:bCs/>
          <w:sz w:val="22"/>
          <w:szCs w:val="22"/>
        </w:rPr>
        <w:t>crédito</w:t>
      </w:r>
      <w:r w:rsidR="006317A8" w:rsidRPr="00A0108E">
        <w:rPr>
          <w:rFonts w:ascii="Century Gothic" w:eastAsia="Calibri" w:hAnsi="Century Gothic" w:cs="Arial"/>
          <w:bCs/>
          <w:sz w:val="22"/>
          <w:szCs w:val="22"/>
        </w:rPr>
        <w:t xml:space="preserve"> por la suma de $98.</w:t>
      </w:r>
      <w:r w:rsidR="00515BAB" w:rsidRPr="00A0108E">
        <w:rPr>
          <w:rFonts w:ascii="Century Gothic" w:eastAsia="Calibri" w:hAnsi="Century Gothic" w:cs="Arial"/>
          <w:bCs/>
          <w:sz w:val="22"/>
          <w:szCs w:val="22"/>
        </w:rPr>
        <w:t xml:space="preserve">397.408 </w:t>
      </w:r>
      <w:r w:rsidR="00B556C4" w:rsidRPr="00A0108E">
        <w:rPr>
          <w:rFonts w:ascii="Century Gothic" w:eastAsia="Calibri" w:hAnsi="Century Gothic" w:cs="Arial"/>
          <w:bCs/>
          <w:sz w:val="22"/>
          <w:szCs w:val="22"/>
        </w:rPr>
        <w:t>fue desembolsado el</w:t>
      </w:r>
      <w:r w:rsidR="00515BAB" w:rsidRPr="00A0108E">
        <w:rPr>
          <w:rFonts w:ascii="Century Gothic" w:eastAsia="Calibri" w:hAnsi="Century Gothic" w:cs="Arial"/>
          <w:bCs/>
          <w:sz w:val="22"/>
          <w:szCs w:val="22"/>
        </w:rPr>
        <w:t xml:space="preserve"> </w:t>
      </w:r>
      <w:r w:rsidR="00B556C4" w:rsidRPr="00A0108E">
        <w:rPr>
          <w:rFonts w:ascii="Century Gothic" w:eastAsia="Calibri" w:hAnsi="Century Gothic" w:cs="Arial"/>
          <w:bCs/>
          <w:sz w:val="22"/>
          <w:szCs w:val="22"/>
        </w:rPr>
        <w:t>18 julio de 2022</w:t>
      </w:r>
      <w:r w:rsidR="00515BAB" w:rsidRPr="00A0108E">
        <w:rPr>
          <w:rFonts w:ascii="Century Gothic" w:eastAsia="Calibri" w:hAnsi="Century Gothic" w:cs="Arial"/>
          <w:bCs/>
          <w:sz w:val="22"/>
          <w:szCs w:val="22"/>
        </w:rPr>
        <w:t>.</w:t>
      </w:r>
      <w:r w:rsidR="00DF7925" w:rsidRPr="00A0108E">
        <w:rPr>
          <w:rFonts w:ascii="Century Gothic" w:eastAsia="Calibri" w:hAnsi="Century Gothic" w:cs="Arial"/>
          <w:bCs/>
          <w:sz w:val="22"/>
          <w:szCs w:val="22"/>
        </w:rPr>
        <w:t xml:space="preserve"> Véase:</w:t>
      </w:r>
    </w:p>
    <w:p w14:paraId="79CFA771" w14:textId="2FF78AB6" w:rsidR="00515BAB" w:rsidRPr="00A0108E" w:rsidRDefault="00515BAB" w:rsidP="00925DB7">
      <w:pPr>
        <w:autoSpaceDE w:val="0"/>
        <w:autoSpaceDN w:val="0"/>
        <w:adjustRightInd w:val="0"/>
        <w:ind w:left="360"/>
        <w:jc w:val="both"/>
        <w:rPr>
          <w:rFonts w:ascii="Century Gothic" w:eastAsia="Calibri" w:hAnsi="Century Gothic" w:cs="Arial"/>
          <w:bCs/>
          <w:sz w:val="22"/>
          <w:szCs w:val="22"/>
        </w:rPr>
      </w:pPr>
      <w:r w:rsidRPr="00A0108E">
        <w:rPr>
          <w:rFonts w:ascii="Century Gothic" w:hAnsi="Century Gothic"/>
          <w:noProof/>
          <w:sz w:val="22"/>
          <w:szCs w:val="22"/>
        </w:rPr>
        <w:drawing>
          <wp:inline distT="0" distB="0" distL="0" distR="0" wp14:anchorId="46912D5A" wp14:editId="41AC0CF0">
            <wp:extent cx="4972050" cy="2971800"/>
            <wp:effectExtent l="0" t="0" r="0" b="0"/>
            <wp:docPr id="984453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453718" name=""/>
                    <pic:cNvPicPr/>
                  </pic:nvPicPr>
                  <pic:blipFill>
                    <a:blip r:embed="rId10"/>
                    <a:stretch>
                      <a:fillRect/>
                    </a:stretch>
                  </pic:blipFill>
                  <pic:spPr>
                    <a:xfrm>
                      <a:off x="0" y="0"/>
                      <a:ext cx="4972050" cy="2971800"/>
                    </a:xfrm>
                    <a:prstGeom prst="rect">
                      <a:avLst/>
                    </a:prstGeom>
                  </pic:spPr>
                </pic:pic>
              </a:graphicData>
            </a:graphic>
          </wp:inline>
        </w:drawing>
      </w:r>
    </w:p>
    <w:p w14:paraId="0C0A9E45" w14:textId="4C2ECFEC" w:rsidR="00925DB7" w:rsidRPr="00A0108E" w:rsidRDefault="00925DB7" w:rsidP="00925DB7">
      <w:pPr>
        <w:autoSpaceDE w:val="0"/>
        <w:autoSpaceDN w:val="0"/>
        <w:adjustRightInd w:val="0"/>
        <w:ind w:left="360"/>
        <w:jc w:val="both"/>
        <w:rPr>
          <w:rFonts w:ascii="Century Gothic" w:eastAsia="Calibri" w:hAnsi="Century Gothic" w:cs="Arial"/>
          <w:bCs/>
          <w:sz w:val="22"/>
          <w:szCs w:val="22"/>
        </w:rPr>
      </w:pPr>
      <w:r w:rsidRPr="00A0108E">
        <w:rPr>
          <w:rFonts w:ascii="Century Gothic" w:hAnsi="Century Gothic"/>
          <w:noProof/>
          <w:sz w:val="22"/>
          <w:szCs w:val="22"/>
        </w:rPr>
        <w:lastRenderedPageBreak/>
        <w:drawing>
          <wp:inline distT="0" distB="0" distL="0" distR="0" wp14:anchorId="3AEB75D1" wp14:editId="2E7BF4C2">
            <wp:extent cx="5257800" cy="3695700"/>
            <wp:effectExtent l="0" t="0" r="0" b="0"/>
            <wp:docPr id="44824026"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24026" name="Imagen 1" descr="Tabla&#10;&#10;El contenido generado por IA puede ser incorrecto."/>
                    <pic:cNvPicPr/>
                  </pic:nvPicPr>
                  <pic:blipFill>
                    <a:blip r:embed="rId11"/>
                    <a:stretch>
                      <a:fillRect/>
                    </a:stretch>
                  </pic:blipFill>
                  <pic:spPr>
                    <a:xfrm>
                      <a:off x="0" y="0"/>
                      <a:ext cx="5257800" cy="3695700"/>
                    </a:xfrm>
                    <a:prstGeom prst="rect">
                      <a:avLst/>
                    </a:prstGeom>
                  </pic:spPr>
                </pic:pic>
              </a:graphicData>
            </a:graphic>
          </wp:inline>
        </w:drawing>
      </w:r>
    </w:p>
    <w:p w14:paraId="19C285E7"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5697A65D" w14:textId="332F1DE1" w:rsidR="00E0774A"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
          <w:sz w:val="22"/>
          <w:szCs w:val="22"/>
        </w:rPr>
        <w:t xml:space="preserve">SEGUNDO: </w:t>
      </w:r>
      <w:r w:rsidR="00DF7925" w:rsidRPr="00A0108E">
        <w:rPr>
          <w:rFonts w:ascii="Century Gothic" w:eastAsia="Calibri" w:hAnsi="Century Gothic" w:cs="Arial"/>
          <w:bCs/>
          <w:sz w:val="22"/>
          <w:szCs w:val="22"/>
        </w:rPr>
        <w:t>En este hecho como hace varias afirmaciones contesto así:</w:t>
      </w:r>
    </w:p>
    <w:p w14:paraId="0643FEE4" w14:textId="2B86F45A" w:rsidR="0013750F" w:rsidRPr="00A0108E" w:rsidRDefault="00DF7925" w:rsidP="0013750F">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Es cierto que el fallecimiento de </w:t>
      </w:r>
      <w:r w:rsidR="0013750F" w:rsidRPr="00A0108E">
        <w:rPr>
          <w:rFonts w:ascii="Century Gothic" w:eastAsia="Calibri" w:hAnsi="Century Gothic" w:cs="Arial"/>
          <w:bCs/>
          <w:sz w:val="22"/>
          <w:szCs w:val="22"/>
        </w:rPr>
        <w:t xml:space="preserve">la señora LIGIA GONZÁLEZ </w:t>
      </w:r>
      <w:proofErr w:type="gramStart"/>
      <w:r w:rsidR="0013750F" w:rsidRPr="00A0108E">
        <w:rPr>
          <w:rFonts w:ascii="Century Gothic" w:eastAsia="Calibri" w:hAnsi="Century Gothic" w:cs="Arial"/>
          <w:bCs/>
          <w:sz w:val="22"/>
          <w:szCs w:val="22"/>
        </w:rPr>
        <w:t>CASTAÑEDA</w:t>
      </w:r>
      <w:r w:rsidRPr="00A0108E">
        <w:rPr>
          <w:rFonts w:ascii="Century Gothic" w:eastAsia="Calibri" w:hAnsi="Century Gothic" w:cs="Arial"/>
          <w:bCs/>
          <w:sz w:val="22"/>
          <w:szCs w:val="22"/>
        </w:rPr>
        <w:t>(</w:t>
      </w:r>
      <w:proofErr w:type="gramEnd"/>
      <w:r w:rsidRPr="00A0108E">
        <w:rPr>
          <w:rFonts w:ascii="Century Gothic" w:eastAsia="Calibri" w:hAnsi="Century Gothic" w:cs="Arial"/>
          <w:bCs/>
          <w:sz w:val="22"/>
          <w:szCs w:val="22"/>
        </w:rPr>
        <w:t>q.e.p.d)</w:t>
      </w:r>
      <w:r w:rsidR="0013750F" w:rsidRPr="00A0108E">
        <w:rPr>
          <w:rFonts w:ascii="Century Gothic" w:eastAsia="Calibri" w:hAnsi="Century Gothic" w:cs="Arial"/>
          <w:bCs/>
          <w:sz w:val="22"/>
          <w:szCs w:val="22"/>
        </w:rPr>
        <w:t xml:space="preserve"> se produjo a causa de un tumor maligno en el colon, Esta información </w:t>
      </w:r>
      <w:r w:rsidRPr="00A0108E">
        <w:rPr>
          <w:rFonts w:ascii="Century Gothic" w:eastAsia="Calibri" w:hAnsi="Century Gothic" w:cs="Arial"/>
          <w:bCs/>
          <w:sz w:val="22"/>
          <w:szCs w:val="22"/>
        </w:rPr>
        <w:t>se corrobora con la</w:t>
      </w:r>
      <w:r w:rsidR="0013750F" w:rsidRPr="00A0108E">
        <w:rPr>
          <w:rFonts w:ascii="Century Gothic" w:eastAsia="Calibri" w:hAnsi="Century Gothic" w:cs="Arial"/>
          <w:bCs/>
          <w:sz w:val="22"/>
          <w:szCs w:val="22"/>
        </w:rPr>
        <w:t xml:space="preserve"> historia clínica, </w:t>
      </w:r>
      <w:r w:rsidRPr="00A0108E">
        <w:rPr>
          <w:rFonts w:ascii="Century Gothic" w:eastAsia="Calibri" w:hAnsi="Century Gothic" w:cs="Arial"/>
          <w:bCs/>
          <w:sz w:val="22"/>
          <w:szCs w:val="22"/>
        </w:rPr>
        <w:t xml:space="preserve">aportada y </w:t>
      </w:r>
      <w:r w:rsidR="0013750F" w:rsidRPr="00A0108E">
        <w:rPr>
          <w:rFonts w:ascii="Century Gothic" w:eastAsia="Calibri" w:hAnsi="Century Gothic" w:cs="Arial"/>
          <w:bCs/>
          <w:sz w:val="22"/>
          <w:szCs w:val="22"/>
        </w:rPr>
        <w:t xml:space="preserve">como </w:t>
      </w:r>
      <w:r w:rsidRPr="00A0108E">
        <w:rPr>
          <w:rFonts w:ascii="Century Gothic" w:eastAsia="Calibri" w:hAnsi="Century Gothic" w:cs="Arial"/>
          <w:bCs/>
          <w:sz w:val="22"/>
          <w:szCs w:val="22"/>
        </w:rPr>
        <w:t xml:space="preserve">bien </w:t>
      </w:r>
      <w:r w:rsidR="0013750F" w:rsidRPr="00A0108E">
        <w:rPr>
          <w:rFonts w:ascii="Century Gothic" w:eastAsia="Calibri" w:hAnsi="Century Gothic" w:cs="Arial"/>
          <w:bCs/>
          <w:sz w:val="22"/>
          <w:szCs w:val="22"/>
        </w:rPr>
        <w:t xml:space="preserve">se </w:t>
      </w:r>
      <w:r w:rsidRPr="00A0108E">
        <w:rPr>
          <w:rFonts w:ascii="Century Gothic" w:eastAsia="Calibri" w:hAnsi="Century Gothic" w:cs="Arial"/>
          <w:bCs/>
          <w:sz w:val="22"/>
          <w:szCs w:val="22"/>
        </w:rPr>
        <w:t>detalló por la parte actora en este hecho así:</w:t>
      </w:r>
      <w:r w:rsidR="0013750F" w:rsidRPr="00A0108E">
        <w:rPr>
          <w:rFonts w:ascii="Century Gothic" w:eastAsia="Calibri" w:hAnsi="Century Gothic" w:cs="Arial"/>
          <w:bCs/>
          <w:sz w:val="22"/>
          <w:szCs w:val="22"/>
        </w:rPr>
        <w:t xml:space="preserve"> </w:t>
      </w:r>
    </w:p>
    <w:p w14:paraId="494E1151" w14:textId="0D29DD54" w:rsidR="0013750F" w:rsidRPr="00A0108E" w:rsidRDefault="0013750F" w:rsidP="00E0774A">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drawing>
          <wp:inline distT="0" distB="0" distL="0" distR="0" wp14:anchorId="1A1CA6C6" wp14:editId="14DB7794">
            <wp:extent cx="5612130" cy="741045"/>
            <wp:effectExtent l="0" t="0" r="7620" b="1905"/>
            <wp:docPr id="2802804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28044" name=""/>
                    <pic:cNvPicPr/>
                  </pic:nvPicPr>
                  <pic:blipFill>
                    <a:blip r:embed="rId12"/>
                    <a:stretch>
                      <a:fillRect/>
                    </a:stretch>
                  </pic:blipFill>
                  <pic:spPr>
                    <a:xfrm>
                      <a:off x="0" y="0"/>
                      <a:ext cx="5612130" cy="741045"/>
                    </a:xfrm>
                    <a:prstGeom prst="rect">
                      <a:avLst/>
                    </a:prstGeom>
                  </pic:spPr>
                </pic:pic>
              </a:graphicData>
            </a:graphic>
          </wp:inline>
        </w:drawing>
      </w:r>
    </w:p>
    <w:p w14:paraId="656D1A53" w14:textId="4B0C6521" w:rsidR="00DF7925" w:rsidRPr="00A0108E" w:rsidRDefault="00DF7925"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No es cierto que este </w:t>
      </w:r>
      <w:r w:rsidRPr="00A0108E">
        <w:rPr>
          <w:rFonts w:ascii="Century Gothic" w:eastAsia="Calibri" w:hAnsi="Century Gothic" w:cs="Arial"/>
          <w:bCs/>
          <w:sz w:val="22"/>
          <w:szCs w:val="22"/>
        </w:rPr>
        <w:t>diagnosticado</w:t>
      </w:r>
      <w:r w:rsidRPr="00A0108E">
        <w:rPr>
          <w:rFonts w:ascii="Century Gothic" w:eastAsia="Calibri" w:hAnsi="Century Gothic" w:cs="Arial"/>
          <w:bCs/>
          <w:sz w:val="22"/>
          <w:szCs w:val="22"/>
        </w:rPr>
        <w:t xml:space="preserve"> fue</w:t>
      </w:r>
      <w:r w:rsidRPr="00A0108E">
        <w:rPr>
          <w:rFonts w:ascii="Century Gothic" w:eastAsia="Calibri" w:hAnsi="Century Gothic" w:cs="Arial"/>
          <w:bCs/>
          <w:sz w:val="22"/>
          <w:szCs w:val="22"/>
        </w:rPr>
        <w:t xml:space="preserve"> después de la suscripción del contrato de seguro con la aseguradora </w:t>
      </w:r>
      <w:r w:rsidR="00046E24" w:rsidRPr="00A0108E">
        <w:rPr>
          <w:rFonts w:ascii="Century Gothic" w:eastAsia="Calibri" w:hAnsi="Century Gothic" w:cs="Arial"/>
          <w:bCs/>
          <w:sz w:val="22"/>
          <w:szCs w:val="22"/>
        </w:rPr>
        <w:t xml:space="preserve">LA </w:t>
      </w:r>
      <w:r w:rsidRPr="00A0108E">
        <w:rPr>
          <w:rFonts w:ascii="Century Gothic" w:eastAsia="Calibri" w:hAnsi="Century Gothic" w:cs="Arial"/>
          <w:bCs/>
          <w:sz w:val="22"/>
          <w:szCs w:val="22"/>
        </w:rPr>
        <w:t>EQUIDAD SEGUROS DE VIDA</w:t>
      </w:r>
      <w:r w:rsidR="00046E24" w:rsidRPr="00A0108E">
        <w:rPr>
          <w:rFonts w:ascii="Century Gothic" w:eastAsia="Calibri" w:hAnsi="Century Gothic" w:cs="Arial"/>
          <w:bCs/>
          <w:sz w:val="22"/>
          <w:szCs w:val="22"/>
        </w:rPr>
        <w:t xml:space="preserve"> O.C., pues tal como se puede evidenciar de la historia clinica aportada con esta contestación</w:t>
      </w:r>
      <w:r w:rsidR="00760BED" w:rsidRPr="00A0108E">
        <w:rPr>
          <w:rFonts w:ascii="Century Gothic" w:eastAsia="Calibri" w:hAnsi="Century Gothic" w:cs="Arial"/>
          <w:bCs/>
          <w:sz w:val="22"/>
          <w:szCs w:val="22"/>
        </w:rPr>
        <w:t xml:space="preserve"> desde </w:t>
      </w:r>
      <w:r w:rsidR="00BC26FB" w:rsidRPr="00A0108E">
        <w:rPr>
          <w:rFonts w:ascii="Century Gothic" w:eastAsia="Calibri" w:hAnsi="Century Gothic" w:cs="Arial"/>
          <w:bCs/>
          <w:sz w:val="22"/>
          <w:szCs w:val="22"/>
        </w:rPr>
        <w:t xml:space="preserve">MARZO 2017, </w:t>
      </w:r>
      <w:r w:rsidR="00BC26FB" w:rsidRPr="00A0108E">
        <w:rPr>
          <w:rFonts w:ascii="Century Gothic" w:eastAsia="Calibri" w:hAnsi="Century Gothic" w:cs="Arial"/>
          <w:bCs/>
          <w:sz w:val="22"/>
          <w:szCs w:val="22"/>
          <w:lang w:val="es-CO"/>
        </w:rPr>
        <w:t>La enfermedad de Carcinoma urotelial papilar de alto grado in situ de vejiga de marzo de 2017, fue mencionada dentro de los antecedentes personales de historial médico del Hospital Pablo Tobón Uribe indicado en la siguiente imagen:</w:t>
      </w:r>
    </w:p>
    <w:p w14:paraId="065DE576" w14:textId="727AA43E" w:rsidR="00BC26FB" w:rsidRPr="00A0108E" w:rsidRDefault="00BC26FB" w:rsidP="00E0774A">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lastRenderedPageBreak/>
        <w:drawing>
          <wp:inline distT="0" distB="0" distL="0" distR="0" wp14:anchorId="65FBE3D2" wp14:editId="0944F537">
            <wp:extent cx="5612130" cy="3879215"/>
            <wp:effectExtent l="0" t="0" r="7620" b="6985"/>
            <wp:docPr id="59661390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613901" name=""/>
                    <pic:cNvPicPr/>
                  </pic:nvPicPr>
                  <pic:blipFill>
                    <a:blip r:embed="rId13"/>
                    <a:stretch>
                      <a:fillRect/>
                    </a:stretch>
                  </pic:blipFill>
                  <pic:spPr>
                    <a:xfrm>
                      <a:off x="0" y="0"/>
                      <a:ext cx="5612130" cy="3879215"/>
                    </a:xfrm>
                    <a:prstGeom prst="rect">
                      <a:avLst/>
                    </a:prstGeom>
                  </pic:spPr>
                </pic:pic>
              </a:graphicData>
            </a:graphic>
          </wp:inline>
        </w:drawing>
      </w:r>
    </w:p>
    <w:p w14:paraId="12D62783"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079A8D75" w14:textId="4B466A91" w:rsidR="00B41D07"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
          <w:bCs/>
          <w:sz w:val="22"/>
          <w:szCs w:val="22"/>
        </w:rPr>
        <w:t>TERCERO:</w:t>
      </w:r>
      <w:r w:rsidRPr="00A0108E">
        <w:rPr>
          <w:rFonts w:ascii="Century Gothic" w:eastAsia="Calibri" w:hAnsi="Century Gothic" w:cs="Arial"/>
          <w:bCs/>
          <w:sz w:val="22"/>
          <w:szCs w:val="22"/>
        </w:rPr>
        <w:t xml:space="preserve"> </w:t>
      </w:r>
      <w:r w:rsidR="00A00252" w:rsidRPr="00A0108E">
        <w:rPr>
          <w:rFonts w:ascii="Century Gothic" w:eastAsia="Calibri" w:hAnsi="Century Gothic" w:cs="Arial"/>
          <w:bCs/>
          <w:sz w:val="22"/>
          <w:szCs w:val="22"/>
        </w:rPr>
        <w:t>No e</w:t>
      </w:r>
      <w:r w:rsidRPr="00A0108E">
        <w:rPr>
          <w:rFonts w:ascii="Century Gothic" w:eastAsia="Calibri" w:hAnsi="Century Gothic" w:cs="Arial"/>
          <w:bCs/>
          <w:sz w:val="22"/>
          <w:szCs w:val="22"/>
        </w:rPr>
        <w:t>s cierto</w:t>
      </w:r>
      <w:r w:rsidR="00814BBD" w:rsidRPr="00A0108E">
        <w:rPr>
          <w:rFonts w:ascii="Century Gothic" w:eastAsia="Calibri" w:hAnsi="Century Gothic" w:cs="Arial"/>
          <w:bCs/>
          <w:sz w:val="22"/>
          <w:szCs w:val="22"/>
        </w:rPr>
        <w:t xml:space="preserve"> que, </w:t>
      </w:r>
      <w:r w:rsidR="0059268A" w:rsidRPr="00A0108E">
        <w:rPr>
          <w:rFonts w:ascii="Century Gothic" w:eastAsia="Calibri" w:hAnsi="Century Gothic" w:cs="Arial"/>
          <w:bCs/>
          <w:sz w:val="22"/>
          <w:szCs w:val="22"/>
        </w:rPr>
        <w:t>acuerdo con el contrato de seguro suscrito entre la señora LIGIA GONZÁLEZ CASTAÑEDA y la aseguradora EQUIDAD SEGUROS DE VIDA, se estableció en el AMPARO ANEXO CLAUSULADO PÓLIZA DE VIDA GRUPO, indicado en la carátula de la póliza, la siguiente cobertura: ‘‘LA EQUIDAD, pagara el valor asegurado a los beneficiarios siempre y cuando la causa del fallecimiento no sea ocasionada por una causa preexistente al inicio de vigencia de la póliza’’</w:t>
      </w:r>
      <w:r w:rsidR="00C03E80" w:rsidRPr="00A0108E">
        <w:rPr>
          <w:rFonts w:ascii="Century Gothic" w:eastAsia="Calibri" w:hAnsi="Century Gothic" w:cs="Arial"/>
          <w:bCs/>
          <w:sz w:val="22"/>
          <w:szCs w:val="22"/>
        </w:rPr>
        <w:t xml:space="preserve">, porque la póliza vida grupo deudores lo que ampara es la cartera y en caso de siniestro a quien se le paga la </w:t>
      </w:r>
      <w:r w:rsidR="00AA558E" w:rsidRPr="00A0108E">
        <w:rPr>
          <w:rFonts w:ascii="Century Gothic" w:eastAsia="Calibri" w:hAnsi="Century Gothic" w:cs="Arial"/>
          <w:bCs/>
          <w:sz w:val="22"/>
          <w:szCs w:val="22"/>
        </w:rPr>
        <w:t>indemnización</w:t>
      </w:r>
      <w:r w:rsidR="00C03E80" w:rsidRPr="00A0108E">
        <w:rPr>
          <w:rFonts w:ascii="Century Gothic" w:eastAsia="Calibri" w:hAnsi="Century Gothic" w:cs="Arial"/>
          <w:bCs/>
          <w:sz w:val="22"/>
          <w:szCs w:val="22"/>
        </w:rPr>
        <w:t xml:space="preserve"> por el amparo por muerte es a la entidad tomadora en este caso a la COOPERATIVA  MEDICA DEL VALLE Y DE PROFESIONALES DE COLOMBIA COOMEVA.-BANCOOMEVA.</w:t>
      </w:r>
    </w:p>
    <w:p w14:paraId="420DEA52"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4091EF47" w14:textId="77777777" w:rsidR="00214369" w:rsidRPr="00A0108E" w:rsidRDefault="00E0774A" w:rsidP="0059268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
          <w:bCs/>
          <w:sz w:val="22"/>
          <w:szCs w:val="22"/>
        </w:rPr>
        <w:t>CUARTO:</w:t>
      </w:r>
      <w:r w:rsidRPr="00A0108E">
        <w:rPr>
          <w:rFonts w:ascii="Century Gothic" w:eastAsia="Calibri" w:hAnsi="Century Gothic" w:cs="Arial"/>
          <w:bCs/>
          <w:sz w:val="22"/>
          <w:szCs w:val="22"/>
        </w:rPr>
        <w:t xml:space="preserve"> </w:t>
      </w:r>
      <w:r w:rsidR="00A00252" w:rsidRPr="00A0108E">
        <w:rPr>
          <w:rFonts w:ascii="Century Gothic" w:eastAsia="Calibri" w:hAnsi="Century Gothic" w:cs="Arial"/>
          <w:bCs/>
          <w:sz w:val="22"/>
          <w:szCs w:val="22"/>
        </w:rPr>
        <w:t xml:space="preserve">No es cierto que, el </w:t>
      </w:r>
      <w:r w:rsidR="0059268A" w:rsidRPr="00A0108E">
        <w:rPr>
          <w:rFonts w:ascii="Century Gothic" w:eastAsia="Calibri" w:hAnsi="Century Gothic" w:cs="Arial"/>
          <w:bCs/>
          <w:sz w:val="22"/>
          <w:szCs w:val="22"/>
        </w:rPr>
        <w:t xml:space="preserve">seguro contratado por la señora LIGIA GONZÁLEZ CASTAÑEDA </w:t>
      </w:r>
      <w:r w:rsidR="00A00252" w:rsidRPr="00A0108E">
        <w:rPr>
          <w:rFonts w:ascii="Century Gothic" w:eastAsia="Calibri" w:hAnsi="Century Gothic" w:cs="Arial"/>
          <w:bCs/>
          <w:sz w:val="22"/>
          <w:szCs w:val="22"/>
        </w:rPr>
        <w:t xml:space="preserve">(q.e.p.d) </w:t>
      </w:r>
      <w:r w:rsidR="0059268A" w:rsidRPr="00A0108E">
        <w:rPr>
          <w:rFonts w:ascii="Century Gothic" w:eastAsia="Calibri" w:hAnsi="Century Gothic" w:cs="Arial"/>
          <w:bCs/>
          <w:sz w:val="22"/>
          <w:szCs w:val="22"/>
        </w:rPr>
        <w:t xml:space="preserve">con </w:t>
      </w:r>
      <w:r w:rsidR="00A00252" w:rsidRPr="00A0108E">
        <w:rPr>
          <w:rFonts w:ascii="Century Gothic" w:eastAsia="Calibri" w:hAnsi="Century Gothic" w:cs="Arial"/>
          <w:bCs/>
          <w:sz w:val="22"/>
          <w:szCs w:val="22"/>
        </w:rPr>
        <w:t>LA</w:t>
      </w:r>
      <w:r w:rsidR="0059268A" w:rsidRPr="00A0108E">
        <w:rPr>
          <w:rFonts w:ascii="Century Gothic" w:eastAsia="Calibri" w:hAnsi="Century Gothic" w:cs="Arial"/>
          <w:bCs/>
          <w:sz w:val="22"/>
          <w:szCs w:val="22"/>
        </w:rPr>
        <w:t xml:space="preserve"> EQUIDAD SEGUROS DE VIDA </w:t>
      </w:r>
      <w:r w:rsidR="00A00252" w:rsidRPr="00A0108E">
        <w:rPr>
          <w:rFonts w:ascii="Century Gothic" w:eastAsia="Calibri" w:hAnsi="Century Gothic" w:cs="Arial"/>
          <w:bCs/>
          <w:sz w:val="22"/>
          <w:szCs w:val="22"/>
        </w:rPr>
        <w:t xml:space="preserve">O.C. </w:t>
      </w:r>
      <w:r w:rsidR="0059268A" w:rsidRPr="00A0108E">
        <w:rPr>
          <w:rFonts w:ascii="Century Gothic" w:eastAsia="Calibri" w:hAnsi="Century Gothic" w:cs="Arial"/>
          <w:bCs/>
          <w:sz w:val="22"/>
          <w:szCs w:val="22"/>
        </w:rPr>
        <w:t>establece que los beneficiarios serán aquellos designados al momento de la suscripción del seguro.</w:t>
      </w:r>
    </w:p>
    <w:p w14:paraId="2D2F8BF6" w14:textId="77777777" w:rsidR="00214369" w:rsidRPr="00A0108E" w:rsidRDefault="00214369" w:rsidP="0059268A">
      <w:pPr>
        <w:autoSpaceDE w:val="0"/>
        <w:autoSpaceDN w:val="0"/>
        <w:adjustRightInd w:val="0"/>
        <w:jc w:val="both"/>
        <w:rPr>
          <w:rFonts w:ascii="Century Gothic" w:eastAsia="Calibri" w:hAnsi="Century Gothic" w:cs="Arial"/>
          <w:bCs/>
          <w:sz w:val="22"/>
          <w:szCs w:val="22"/>
        </w:rPr>
      </w:pPr>
    </w:p>
    <w:p w14:paraId="6772C4DA" w14:textId="0482E2F1" w:rsidR="00214369" w:rsidRPr="00A0108E" w:rsidRDefault="00214369" w:rsidP="0059268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Por cuanto en las condiciones de la póliza el primer beneficiario es LA ENTIDAD ACREDORA en este caso BANCOOMEVA:</w:t>
      </w:r>
    </w:p>
    <w:p w14:paraId="0B064810" w14:textId="16621857" w:rsidR="0059268A" w:rsidRPr="00A0108E" w:rsidRDefault="00214369" w:rsidP="00BD3F23">
      <w:pPr>
        <w:autoSpaceDE w:val="0"/>
        <w:autoSpaceDN w:val="0"/>
        <w:adjustRightInd w:val="0"/>
        <w:ind w:left="708" w:hanging="708"/>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36C09D95" wp14:editId="166A3EFE">
            <wp:extent cx="4886325" cy="628650"/>
            <wp:effectExtent l="0" t="0" r="9525" b="0"/>
            <wp:docPr id="9994616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61655" name=""/>
                    <pic:cNvPicPr/>
                  </pic:nvPicPr>
                  <pic:blipFill>
                    <a:blip r:embed="rId14"/>
                    <a:stretch>
                      <a:fillRect/>
                    </a:stretch>
                  </pic:blipFill>
                  <pic:spPr>
                    <a:xfrm>
                      <a:off x="0" y="0"/>
                      <a:ext cx="4886325" cy="628650"/>
                    </a:xfrm>
                    <a:prstGeom prst="rect">
                      <a:avLst/>
                    </a:prstGeom>
                  </pic:spPr>
                </pic:pic>
              </a:graphicData>
            </a:graphic>
          </wp:inline>
        </w:drawing>
      </w:r>
      <w:r w:rsidR="0059268A" w:rsidRPr="00A0108E">
        <w:rPr>
          <w:rFonts w:ascii="Century Gothic" w:eastAsia="Calibri" w:hAnsi="Century Gothic" w:cs="Arial"/>
          <w:bCs/>
          <w:sz w:val="22"/>
          <w:szCs w:val="22"/>
        </w:rPr>
        <w:t xml:space="preserve"> </w:t>
      </w:r>
    </w:p>
    <w:p w14:paraId="0C8AC6F9" w14:textId="77777777" w:rsidR="00A00252" w:rsidRPr="00A0108E" w:rsidRDefault="00A00252" w:rsidP="0059268A">
      <w:pPr>
        <w:autoSpaceDE w:val="0"/>
        <w:autoSpaceDN w:val="0"/>
        <w:adjustRightInd w:val="0"/>
        <w:jc w:val="both"/>
        <w:rPr>
          <w:rFonts w:ascii="Century Gothic" w:eastAsia="Calibri" w:hAnsi="Century Gothic" w:cs="Arial"/>
          <w:sz w:val="22"/>
          <w:szCs w:val="22"/>
        </w:rPr>
      </w:pPr>
    </w:p>
    <w:p w14:paraId="712D6144" w14:textId="67600E9D" w:rsidR="00A00252" w:rsidRPr="00A0108E" w:rsidRDefault="00A00252" w:rsidP="0059268A">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drawing>
          <wp:inline distT="0" distB="0" distL="0" distR="0" wp14:anchorId="6B1D9B83" wp14:editId="2A32020F">
            <wp:extent cx="5612130" cy="199390"/>
            <wp:effectExtent l="0" t="0" r="7620" b="0"/>
            <wp:docPr id="174925040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50408" name=""/>
                    <pic:cNvPicPr/>
                  </pic:nvPicPr>
                  <pic:blipFill>
                    <a:blip r:embed="rId15"/>
                    <a:stretch>
                      <a:fillRect/>
                    </a:stretch>
                  </pic:blipFill>
                  <pic:spPr>
                    <a:xfrm>
                      <a:off x="0" y="0"/>
                      <a:ext cx="5612130" cy="199390"/>
                    </a:xfrm>
                    <a:prstGeom prst="rect">
                      <a:avLst/>
                    </a:prstGeom>
                  </pic:spPr>
                </pic:pic>
              </a:graphicData>
            </a:graphic>
          </wp:inline>
        </w:drawing>
      </w:r>
    </w:p>
    <w:p w14:paraId="65D1528C"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3F5E44AC" w14:textId="77777777" w:rsidR="00BD3F23" w:rsidRPr="00A0108E" w:rsidRDefault="00E0774A" w:rsidP="00BD3F23">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b/>
          <w:bCs/>
          <w:sz w:val="22"/>
          <w:szCs w:val="22"/>
        </w:rPr>
        <w:lastRenderedPageBreak/>
        <w:t>QUINTO:</w:t>
      </w:r>
      <w:r w:rsidRPr="00A0108E">
        <w:rPr>
          <w:rFonts w:ascii="Century Gothic" w:eastAsia="Calibri" w:hAnsi="Century Gothic" w:cs="Arial"/>
          <w:bCs/>
          <w:sz w:val="22"/>
          <w:szCs w:val="22"/>
        </w:rPr>
        <w:t xml:space="preserve"> </w:t>
      </w:r>
      <w:r w:rsidR="00BD3F23" w:rsidRPr="00A0108E">
        <w:rPr>
          <w:rFonts w:ascii="Century Gothic" w:eastAsia="Calibri" w:hAnsi="Century Gothic" w:cs="Arial"/>
          <w:sz w:val="22"/>
          <w:szCs w:val="22"/>
        </w:rPr>
        <w:t>No le consta a mi representa que, la aquí demandante l</w:t>
      </w:r>
      <w:r w:rsidR="00BD3F23" w:rsidRPr="00A0108E">
        <w:rPr>
          <w:rFonts w:ascii="Century Gothic" w:eastAsia="Calibri" w:hAnsi="Century Gothic" w:cs="Arial"/>
          <w:sz w:val="22"/>
          <w:szCs w:val="22"/>
        </w:rPr>
        <w:t xml:space="preserve">a señora MÓNICA ALEXANDRA VIDAL GONZÁLEZ, </w:t>
      </w:r>
      <w:r w:rsidR="00BD3F23" w:rsidRPr="00A0108E">
        <w:rPr>
          <w:rFonts w:ascii="Century Gothic" w:eastAsia="Calibri" w:hAnsi="Century Gothic" w:cs="Arial"/>
          <w:sz w:val="22"/>
          <w:szCs w:val="22"/>
        </w:rPr>
        <w:t>es la</w:t>
      </w:r>
      <w:r w:rsidR="00BD3F23" w:rsidRPr="00A0108E">
        <w:rPr>
          <w:rFonts w:ascii="Century Gothic" w:eastAsia="Calibri" w:hAnsi="Century Gothic" w:cs="Arial"/>
          <w:sz w:val="22"/>
          <w:szCs w:val="22"/>
        </w:rPr>
        <w:t xml:space="preserve"> única heredera de la señora LIGIA GONZÁLEZ CASTAÑEDA</w:t>
      </w:r>
      <w:r w:rsidR="00BD3F23" w:rsidRPr="00A0108E">
        <w:rPr>
          <w:rFonts w:ascii="Century Gothic" w:eastAsia="Calibri" w:hAnsi="Century Gothic" w:cs="Arial"/>
          <w:sz w:val="22"/>
          <w:szCs w:val="22"/>
        </w:rPr>
        <w:t xml:space="preserve"> (q.e.p.d)</w:t>
      </w:r>
      <w:r w:rsidR="00BD3F23" w:rsidRPr="00A0108E">
        <w:rPr>
          <w:rFonts w:ascii="Century Gothic" w:eastAsia="Calibri" w:hAnsi="Century Gothic" w:cs="Arial"/>
          <w:sz w:val="22"/>
          <w:szCs w:val="22"/>
        </w:rPr>
        <w:t xml:space="preserve">, </w:t>
      </w:r>
      <w:r w:rsidR="00BD3F23" w:rsidRPr="00A0108E">
        <w:rPr>
          <w:rFonts w:ascii="Century Gothic" w:eastAsia="Calibri" w:hAnsi="Century Gothic" w:cs="Arial"/>
          <w:sz w:val="22"/>
          <w:szCs w:val="22"/>
        </w:rPr>
        <w:t>que se pruebe.</w:t>
      </w:r>
    </w:p>
    <w:p w14:paraId="7670826E" w14:textId="157CE61A" w:rsidR="00BD3F23" w:rsidRPr="00A0108E" w:rsidRDefault="00BD3F23" w:rsidP="00BD3F23">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En lo referente a la </w:t>
      </w:r>
      <w:r w:rsidRPr="00A0108E">
        <w:rPr>
          <w:rFonts w:ascii="Century Gothic" w:eastAsia="Calibri" w:hAnsi="Century Gothic" w:cs="Arial"/>
          <w:sz w:val="22"/>
          <w:szCs w:val="22"/>
        </w:rPr>
        <w:t>solicit</w:t>
      </w:r>
      <w:r w:rsidRPr="00A0108E">
        <w:rPr>
          <w:rFonts w:ascii="Century Gothic" w:eastAsia="Calibri" w:hAnsi="Century Gothic" w:cs="Arial"/>
          <w:sz w:val="22"/>
          <w:szCs w:val="22"/>
        </w:rPr>
        <w:t>ud</w:t>
      </w:r>
      <w:r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 xml:space="preserve">que la fallecida hizo ante LA </w:t>
      </w:r>
      <w:r w:rsidRPr="00A0108E">
        <w:rPr>
          <w:rFonts w:ascii="Century Gothic" w:eastAsia="Calibri" w:hAnsi="Century Gothic" w:cs="Arial"/>
          <w:sz w:val="22"/>
          <w:szCs w:val="22"/>
        </w:rPr>
        <w:t>EQUIDAD SEGUROS DE VIDA</w:t>
      </w:r>
      <w:r w:rsidRPr="00A0108E">
        <w:rPr>
          <w:rFonts w:ascii="Century Gothic" w:eastAsia="Calibri" w:hAnsi="Century Gothic" w:cs="Arial"/>
          <w:sz w:val="22"/>
          <w:szCs w:val="22"/>
        </w:rPr>
        <w:t xml:space="preserve">, de la </w:t>
      </w:r>
      <w:r w:rsidRPr="00A0108E">
        <w:rPr>
          <w:rFonts w:ascii="Century Gothic" w:eastAsia="Calibri" w:hAnsi="Century Gothic" w:cs="Arial"/>
          <w:sz w:val="22"/>
          <w:szCs w:val="22"/>
        </w:rPr>
        <w:t>información sobre el seguro de vida de deudores adquirido por la causante</w:t>
      </w:r>
      <w:r w:rsidRPr="00A0108E">
        <w:rPr>
          <w:rFonts w:ascii="Century Gothic" w:eastAsia="Calibri" w:hAnsi="Century Gothic" w:cs="Arial"/>
          <w:sz w:val="22"/>
          <w:szCs w:val="22"/>
        </w:rPr>
        <w:t>; No es cierto que es</w:t>
      </w:r>
      <w:r w:rsidRPr="00A0108E">
        <w:rPr>
          <w:rFonts w:ascii="Century Gothic" w:eastAsia="Calibri" w:hAnsi="Century Gothic" w:cs="Arial"/>
          <w:sz w:val="22"/>
          <w:szCs w:val="22"/>
        </w:rPr>
        <w:t>a solicitud se realizó con base en el contrato suscrito entre las partes y en los documentos proporcionados por la aseguradora al momento de su firma</w:t>
      </w:r>
      <w:r w:rsidR="00E94777" w:rsidRPr="00A0108E">
        <w:rPr>
          <w:rFonts w:ascii="Century Gothic" w:eastAsia="Calibri" w:hAnsi="Century Gothic" w:cs="Arial"/>
          <w:sz w:val="22"/>
          <w:szCs w:val="22"/>
        </w:rPr>
        <w:t xml:space="preserve">, </w:t>
      </w:r>
      <w:r w:rsidR="00AA558E" w:rsidRPr="00A0108E">
        <w:rPr>
          <w:rFonts w:ascii="Century Gothic" w:eastAsia="Calibri" w:hAnsi="Century Gothic" w:cs="Arial"/>
          <w:sz w:val="22"/>
          <w:szCs w:val="22"/>
        </w:rPr>
        <w:t>porque</w:t>
      </w:r>
      <w:r w:rsidR="00E94777" w:rsidRPr="00A0108E">
        <w:rPr>
          <w:rFonts w:ascii="Century Gothic" w:eastAsia="Calibri" w:hAnsi="Century Gothic" w:cs="Arial"/>
          <w:sz w:val="22"/>
          <w:szCs w:val="22"/>
        </w:rPr>
        <w:t xml:space="preserve"> </w:t>
      </w:r>
      <w:r w:rsidR="00AA558E" w:rsidRPr="00A0108E">
        <w:rPr>
          <w:rFonts w:ascii="Century Gothic" w:eastAsia="Calibri" w:hAnsi="Century Gothic" w:cs="Arial"/>
          <w:sz w:val="22"/>
          <w:szCs w:val="22"/>
        </w:rPr>
        <w:t xml:space="preserve">a </w:t>
      </w:r>
      <w:r w:rsidR="00E94777" w:rsidRPr="00A0108E">
        <w:rPr>
          <w:rFonts w:ascii="Century Gothic" w:eastAsia="Calibri" w:hAnsi="Century Gothic" w:cs="Arial"/>
          <w:sz w:val="22"/>
          <w:szCs w:val="22"/>
        </w:rPr>
        <w:t>la señora LIGI</w:t>
      </w:r>
      <w:r w:rsidR="00AA558E" w:rsidRPr="00A0108E">
        <w:rPr>
          <w:rFonts w:ascii="Century Gothic" w:eastAsia="Calibri" w:hAnsi="Century Gothic" w:cs="Arial"/>
          <w:sz w:val="22"/>
          <w:szCs w:val="22"/>
        </w:rPr>
        <w:t>A</w:t>
      </w:r>
      <w:r w:rsidR="00E94777" w:rsidRPr="00A0108E">
        <w:rPr>
          <w:rFonts w:ascii="Century Gothic" w:eastAsia="Calibri" w:hAnsi="Century Gothic" w:cs="Arial"/>
          <w:sz w:val="22"/>
          <w:szCs w:val="22"/>
        </w:rPr>
        <w:t xml:space="preserve"> (q.e.p.d), se le puso de presente una declaración de asegurabilidad</w:t>
      </w:r>
      <w:r w:rsidR="003529B2" w:rsidRPr="00A0108E">
        <w:rPr>
          <w:rFonts w:ascii="Century Gothic" w:eastAsia="Calibri" w:hAnsi="Century Gothic" w:cs="Arial"/>
          <w:sz w:val="22"/>
          <w:szCs w:val="22"/>
        </w:rPr>
        <w:t>:</w:t>
      </w:r>
    </w:p>
    <w:p w14:paraId="1857DE5F" w14:textId="77777777" w:rsidR="003529B2" w:rsidRPr="00A0108E" w:rsidRDefault="003529B2" w:rsidP="00BD3F23">
      <w:pPr>
        <w:autoSpaceDE w:val="0"/>
        <w:autoSpaceDN w:val="0"/>
        <w:adjustRightInd w:val="0"/>
        <w:jc w:val="both"/>
        <w:rPr>
          <w:rFonts w:ascii="Century Gothic" w:eastAsia="Calibri" w:hAnsi="Century Gothic" w:cs="Arial"/>
          <w:sz w:val="22"/>
          <w:szCs w:val="22"/>
        </w:rPr>
      </w:pPr>
    </w:p>
    <w:p w14:paraId="1D5C0BBC" w14:textId="2887B7A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sz w:val="22"/>
          <w:szCs w:val="22"/>
          <w:lang w:val="es-CO"/>
        </w:rPr>
        <w:t xml:space="preserve">En </w:t>
      </w:r>
      <w:proofErr w:type="gramStart"/>
      <w:r w:rsidRPr="003529B2">
        <w:rPr>
          <w:rFonts w:ascii="Century Gothic" w:eastAsia="Calibri" w:hAnsi="Century Gothic" w:cs="Arial"/>
          <w:sz w:val="22"/>
          <w:szCs w:val="22"/>
          <w:lang w:val="es-CO"/>
        </w:rPr>
        <w:t>la solicitudes</w:t>
      </w:r>
      <w:proofErr w:type="gramEnd"/>
      <w:r w:rsidRPr="003529B2">
        <w:rPr>
          <w:rFonts w:ascii="Century Gothic" w:eastAsia="Calibri" w:hAnsi="Century Gothic" w:cs="Arial"/>
          <w:sz w:val="22"/>
          <w:szCs w:val="22"/>
          <w:lang w:val="es-CO"/>
        </w:rPr>
        <w:t xml:space="preserve"> de Seguro – Declaraciones de asegurabilidad suscritas por la señora LIGIA GONZALEZ CASTAÑEDA (q.e.p.d.), diligenciadas 01 de julio de 2022 y el 04 de octubre de 2022 para el otorgamiento del crédito, se le realizo la siguiente consulta: </w:t>
      </w:r>
    </w:p>
    <w:p w14:paraId="6F3AFCAB"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“Con plena conciencia que la reticencia, inexactitud, omisión o la falsedad dejan sin efecto el seguro, así como este se otorga a personas que gozan de un estado de salud normal doy respuesta de buena fe a los siguientes interrogantes: </w:t>
      </w:r>
    </w:p>
    <w:p w14:paraId="128F4E9E" w14:textId="44FC1000" w:rsidR="003529B2" w:rsidRPr="00A0108E" w:rsidRDefault="003529B2" w:rsidP="003529B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i/>
          <w:iCs/>
          <w:sz w:val="22"/>
          <w:szCs w:val="22"/>
          <w:lang w:val="es-CO"/>
        </w:rPr>
        <w:t>¿Goza usted de un buen estado de salud? Si X No</w:t>
      </w:r>
    </w:p>
    <w:p w14:paraId="0923B3A7"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Por favor marque con una X si presenta o ha presentado alguna vez cualquiera de las siguientes condiciones: </w:t>
      </w:r>
    </w:p>
    <w:p w14:paraId="39AFC770"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 Afecciones cardiovasculares </w:t>
      </w:r>
    </w:p>
    <w:p w14:paraId="2782EF40"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2. Afecciones Cerebrovasculares </w:t>
      </w:r>
    </w:p>
    <w:p w14:paraId="652142BD"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3.Cáncer </w:t>
      </w:r>
    </w:p>
    <w:p w14:paraId="480A3A5B"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4. Diabetes </w:t>
      </w:r>
    </w:p>
    <w:p w14:paraId="4B6D8BE6"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5. VIH positivo / SIDA </w:t>
      </w:r>
    </w:p>
    <w:p w14:paraId="449CE466"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6. Insuficiencia renal crónica </w:t>
      </w:r>
    </w:p>
    <w:p w14:paraId="51F301D5"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7. EPOC </w:t>
      </w:r>
    </w:p>
    <w:p w14:paraId="729A2DFB"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8. Afecciones renales </w:t>
      </w:r>
    </w:p>
    <w:p w14:paraId="1FE2DBB7"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9. Alcoholismo </w:t>
      </w:r>
    </w:p>
    <w:p w14:paraId="5D13B3C0"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10. Tabaquismo/drogadicción </w:t>
      </w:r>
    </w:p>
    <w:p w14:paraId="57E3B666"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11. Hipertensión Arterial </w:t>
      </w:r>
    </w:p>
    <w:p w14:paraId="55D9453D"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12. Enfermedades congénitas </w:t>
      </w:r>
    </w:p>
    <w:p w14:paraId="0B421B5E"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13. Enfermedades del colágeno </w:t>
      </w:r>
    </w:p>
    <w:p w14:paraId="02208F56"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14. Enfermedades Hematológicas </w:t>
      </w:r>
    </w:p>
    <w:p w14:paraId="362793D6" w14:textId="77777777" w:rsidR="003529B2" w:rsidRPr="003529B2"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i/>
          <w:iCs/>
          <w:sz w:val="22"/>
          <w:szCs w:val="22"/>
          <w:lang w:val="es-CO"/>
        </w:rPr>
        <w:t xml:space="preserve">En caso de haber marcado alguna de las condiciones anteriores o si padece alguna enfermedad aguda o crónica, afección o adicción favor explicar detalladamente:” </w:t>
      </w:r>
    </w:p>
    <w:p w14:paraId="275F3810" w14:textId="77777777" w:rsidR="003529B2" w:rsidRPr="00A0108E" w:rsidRDefault="003529B2" w:rsidP="003529B2">
      <w:pPr>
        <w:autoSpaceDE w:val="0"/>
        <w:autoSpaceDN w:val="0"/>
        <w:adjustRightInd w:val="0"/>
        <w:jc w:val="both"/>
        <w:rPr>
          <w:rFonts w:ascii="Century Gothic" w:eastAsia="Calibri" w:hAnsi="Century Gothic" w:cs="Arial"/>
          <w:sz w:val="22"/>
          <w:szCs w:val="22"/>
          <w:lang w:val="es-CO"/>
        </w:rPr>
      </w:pPr>
      <w:r w:rsidRPr="003529B2">
        <w:rPr>
          <w:rFonts w:ascii="Century Gothic" w:eastAsia="Calibri" w:hAnsi="Century Gothic" w:cs="Arial"/>
          <w:sz w:val="22"/>
          <w:szCs w:val="22"/>
          <w:lang w:val="es-CO"/>
        </w:rPr>
        <w:t xml:space="preserve">A la anterior consulta, la señora LIGIA GONZALEZ CASTAÑEDA (q.e.p.d.), no marcó ninguna de las enfermedades allí relacionadas. </w:t>
      </w:r>
    </w:p>
    <w:p w14:paraId="6F37F2DC" w14:textId="77777777" w:rsidR="001351F3" w:rsidRPr="00A0108E" w:rsidRDefault="001351F3" w:rsidP="003529B2">
      <w:pPr>
        <w:autoSpaceDE w:val="0"/>
        <w:autoSpaceDN w:val="0"/>
        <w:adjustRightInd w:val="0"/>
        <w:jc w:val="both"/>
        <w:rPr>
          <w:rFonts w:ascii="Century Gothic" w:eastAsia="Calibri" w:hAnsi="Century Gothic" w:cs="Arial"/>
          <w:sz w:val="22"/>
          <w:szCs w:val="22"/>
          <w:lang w:val="es-CO"/>
        </w:rPr>
      </w:pPr>
    </w:p>
    <w:p w14:paraId="20E37505" w14:textId="3A2583C6" w:rsidR="001351F3" w:rsidRPr="00A0108E" w:rsidRDefault="001351F3" w:rsidP="001351F3">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O</w:t>
      </w:r>
      <w:r w:rsidRPr="00A0108E">
        <w:rPr>
          <w:rFonts w:ascii="Century Gothic" w:eastAsia="Calibri" w:hAnsi="Century Gothic" w:cs="Arial"/>
          <w:sz w:val="22"/>
          <w:szCs w:val="22"/>
        </w:rPr>
        <w:t>lvid</w:t>
      </w:r>
      <w:r w:rsidRPr="00A0108E">
        <w:rPr>
          <w:rFonts w:ascii="Century Gothic" w:eastAsia="Calibri" w:hAnsi="Century Gothic" w:cs="Arial"/>
          <w:sz w:val="22"/>
          <w:szCs w:val="22"/>
        </w:rPr>
        <w:t xml:space="preserve">ó </w:t>
      </w:r>
      <w:r w:rsidRPr="00A0108E">
        <w:rPr>
          <w:rFonts w:ascii="Century Gothic" w:eastAsia="Calibri" w:hAnsi="Century Gothic" w:cs="Arial"/>
          <w:sz w:val="22"/>
          <w:szCs w:val="22"/>
        </w:rPr>
        <w:t xml:space="preserve">la </w:t>
      </w:r>
      <w:r w:rsidRPr="00A0108E">
        <w:rPr>
          <w:rFonts w:ascii="Century Gothic" w:eastAsia="Calibri" w:hAnsi="Century Gothic" w:cs="Arial"/>
          <w:sz w:val="22"/>
          <w:szCs w:val="22"/>
        </w:rPr>
        <w:t>fallecida</w:t>
      </w:r>
      <w:r w:rsidRPr="00A0108E">
        <w:rPr>
          <w:rFonts w:ascii="Century Gothic" w:eastAsia="Calibri" w:hAnsi="Century Gothic" w:cs="Arial"/>
          <w:sz w:val="22"/>
          <w:szCs w:val="22"/>
        </w:rPr>
        <w:t xml:space="preserve"> que la norma contempla que el asegurado este “…Obligado a declarar sinceramente…” y ella No declaró de manera veraz su estado de salud según lo establece la norma jurídica, incurriendo en una omisión a su deber contractual y legal, circunstancia que puso en desventaja a la aseguradora, así las cosas y sustentado en el presente artículo procede la aplicación de la reticencia. </w:t>
      </w:r>
    </w:p>
    <w:p w14:paraId="2C6590C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4929EDE" w14:textId="77777777" w:rsidR="00832C9F" w:rsidRPr="00A0108E" w:rsidRDefault="00832C9F" w:rsidP="00392132">
      <w:pPr>
        <w:autoSpaceDE w:val="0"/>
        <w:autoSpaceDN w:val="0"/>
        <w:adjustRightInd w:val="0"/>
        <w:jc w:val="both"/>
        <w:rPr>
          <w:rFonts w:ascii="Century Gothic" w:eastAsia="Calibri" w:hAnsi="Century Gothic" w:cs="Arial"/>
          <w:b/>
          <w:sz w:val="22"/>
          <w:szCs w:val="22"/>
        </w:rPr>
      </w:pPr>
    </w:p>
    <w:p w14:paraId="49D8ED1D" w14:textId="67731251" w:rsidR="00C3183A" w:rsidRPr="00A0108E" w:rsidRDefault="00E0774A" w:rsidP="0039213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b/>
          <w:sz w:val="22"/>
          <w:szCs w:val="22"/>
        </w:rPr>
        <w:lastRenderedPageBreak/>
        <w:t>SEXTO:</w:t>
      </w:r>
      <w:r w:rsidRPr="00A0108E">
        <w:rPr>
          <w:rFonts w:ascii="Century Gothic" w:eastAsia="Calibri" w:hAnsi="Century Gothic" w:cs="Arial"/>
          <w:sz w:val="22"/>
          <w:szCs w:val="22"/>
        </w:rPr>
        <w:t xml:space="preserve"> </w:t>
      </w:r>
      <w:r w:rsidR="001351F3" w:rsidRPr="00A0108E">
        <w:rPr>
          <w:rFonts w:ascii="Century Gothic" w:eastAsia="Calibri" w:hAnsi="Century Gothic" w:cs="Arial"/>
          <w:sz w:val="22"/>
          <w:szCs w:val="22"/>
        </w:rPr>
        <w:t xml:space="preserve">Es cierto que, LA </w:t>
      </w:r>
      <w:r w:rsidR="00392132" w:rsidRPr="00A0108E">
        <w:rPr>
          <w:rFonts w:ascii="Century Gothic" w:eastAsia="Calibri" w:hAnsi="Century Gothic" w:cs="Arial"/>
          <w:sz w:val="22"/>
          <w:szCs w:val="22"/>
        </w:rPr>
        <w:t xml:space="preserve">EQUIDAD SEGUROS DE VIDA respondió de manera negativa a la solicitud presentada por </w:t>
      </w:r>
      <w:r w:rsidR="00633973" w:rsidRPr="00A0108E">
        <w:rPr>
          <w:rFonts w:ascii="Century Gothic" w:eastAsia="Calibri" w:hAnsi="Century Gothic" w:cs="Arial"/>
          <w:sz w:val="22"/>
          <w:szCs w:val="22"/>
        </w:rPr>
        <w:t xml:space="preserve">la </w:t>
      </w:r>
      <w:r w:rsidR="00C8578F" w:rsidRPr="00A0108E">
        <w:rPr>
          <w:rFonts w:ascii="Century Gothic" w:eastAsia="Calibri" w:hAnsi="Century Gothic" w:cs="Arial"/>
          <w:sz w:val="22"/>
          <w:szCs w:val="22"/>
        </w:rPr>
        <w:t>demandante</w:t>
      </w:r>
      <w:r w:rsidR="00392132" w:rsidRPr="00A0108E">
        <w:rPr>
          <w:rFonts w:ascii="Century Gothic" w:eastAsia="Calibri" w:hAnsi="Century Gothic" w:cs="Arial"/>
          <w:sz w:val="22"/>
          <w:szCs w:val="22"/>
        </w:rPr>
        <w:t>, argumentando que existía una objeción por reticencia por parte de la asegurada</w:t>
      </w:r>
      <w:r w:rsidR="00C8578F" w:rsidRPr="00A0108E">
        <w:rPr>
          <w:rFonts w:ascii="Century Gothic" w:eastAsia="Calibri" w:hAnsi="Century Gothic" w:cs="Arial"/>
          <w:sz w:val="22"/>
          <w:szCs w:val="22"/>
        </w:rPr>
        <w:t xml:space="preserve"> y que dicha</w:t>
      </w:r>
      <w:r w:rsidR="00392132" w:rsidRPr="00A0108E">
        <w:rPr>
          <w:rFonts w:ascii="Century Gothic" w:eastAsia="Calibri" w:hAnsi="Century Gothic" w:cs="Arial"/>
          <w:sz w:val="22"/>
          <w:szCs w:val="22"/>
        </w:rPr>
        <w:t xml:space="preserve"> objeción fue planteada tras la revisión de la historia clínica de la señora LIGIA GONZÁLEZ CASTAÑEDA</w:t>
      </w:r>
      <w:r w:rsidR="00C8578F" w:rsidRPr="00A0108E">
        <w:rPr>
          <w:rFonts w:ascii="Century Gothic" w:eastAsia="Calibri" w:hAnsi="Century Gothic" w:cs="Arial"/>
          <w:sz w:val="22"/>
          <w:szCs w:val="22"/>
        </w:rPr>
        <w:t xml:space="preserve"> (q.e.p.d)</w:t>
      </w:r>
      <w:r w:rsidR="00392132" w:rsidRPr="00A0108E">
        <w:rPr>
          <w:rFonts w:ascii="Century Gothic" w:eastAsia="Calibri" w:hAnsi="Century Gothic" w:cs="Arial"/>
          <w:sz w:val="22"/>
          <w:szCs w:val="22"/>
        </w:rPr>
        <w:t>, en la cual se identificaron antecedentes patológicos significativos, como Hipertensión arterial y Tromboembolismo pulmonar.</w:t>
      </w:r>
    </w:p>
    <w:p w14:paraId="73EC00B8" w14:textId="77777777" w:rsidR="00C3183A" w:rsidRPr="00A0108E" w:rsidRDefault="00C3183A" w:rsidP="00392132">
      <w:pPr>
        <w:autoSpaceDE w:val="0"/>
        <w:autoSpaceDN w:val="0"/>
        <w:adjustRightInd w:val="0"/>
        <w:jc w:val="both"/>
        <w:rPr>
          <w:rFonts w:ascii="Century Gothic" w:eastAsia="Calibri" w:hAnsi="Century Gothic" w:cs="Arial"/>
          <w:sz w:val="22"/>
          <w:szCs w:val="22"/>
        </w:rPr>
      </w:pPr>
    </w:p>
    <w:p w14:paraId="245367CE" w14:textId="680A52F1" w:rsidR="00F82973" w:rsidRPr="00A0108E" w:rsidRDefault="00C3183A" w:rsidP="0039213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Es cierto que, LA EQUIDAD SEGUROS VIDA O.C., informo </w:t>
      </w:r>
      <w:r w:rsidR="00392132" w:rsidRPr="00A0108E">
        <w:rPr>
          <w:rFonts w:ascii="Century Gothic" w:eastAsia="Calibri" w:hAnsi="Century Gothic" w:cs="Arial"/>
          <w:sz w:val="22"/>
          <w:szCs w:val="22"/>
        </w:rPr>
        <w:t xml:space="preserve">que la señora </w:t>
      </w:r>
      <w:r w:rsidRPr="00A0108E">
        <w:rPr>
          <w:rFonts w:ascii="Century Gothic" w:eastAsia="Calibri" w:hAnsi="Century Gothic" w:cs="Arial"/>
          <w:sz w:val="22"/>
          <w:szCs w:val="22"/>
        </w:rPr>
        <w:t xml:space="preserve">LIGIA </w:t>
      </w:r>
      <w:r w:rsidR="00392132" w:rsidRPr="00A0108E">
        <w:rPr>
          <w:rFonts w:ascii="Century Gothic" w:eastAsia="Calibri" w:hAnsi="Century Gothic" w:cs="Arial"/>
          <w:sz w:val="22"/>
          <w:szCs w:val="22"/>
        </w:rPr>
        <w:t xml:space="preserve">GONZÁLEZ </w:t>
      </w:r>
      <w:r w:rsidRPr="00A0108E">
        <w:rPr>
          <w:rFonts w:ascii="Century Gothic" w:eastAsia="Calibri" w:hAnsi="Century Gothic" w:cs="Arial"/>
          <w:sz w:val="22"/>
          <w:szCs w:val="22"/>
        </w:rPr>
        <w:t>(q.e.p.d</w:t>
      </w:r>
      <w:r w:rsidR="00F82973" w:rsidRPr="00A0108E">
        <w:rPr>
          <w:rFonts w:ascii="Century Gothic" w:eastAsia="Calibri" w:hAnsi="Century Gothic" w:cs="Arial"/>
          <w:sz w:val="22"/>
          <w:szCs w:val="22"/>
        </w:rPr>
        <w:t>) padecía</w:t>
      </w:r>
      <w:r w:rsidR="00392132" w:rsidRPr="00A0108E">
        <w:rPr>
          <w:rFonts w:ascii="Century Gothic" w:eastAsia="Calibri" w:hAnsi="Century Gothic" w:cs="Arial"/>
          <w:sz w:val="22"/>
          <w:szCs w:val="22"/>
        </w:rPr>
        <w:t xml:space="preserve"> de carcinoma urotelial metastásico, una condición grave que, no fue informada </w:t>
      </w:r>
      <w:r w:rsidR="001B3AFC" w:rsidRPr="00A0108E">
        <w:rPr>
          <w:rFonts w:ascii="Century Gothic" w:eastAsia="Calibri" w:hAnsi="Century Gothic" w:cs="Arial"/>
          <w:sz w:val="22"/>
          <w:szCs w:val="22"/>
        </w:rPr>
        <w:t>al</w:t>
      </w:r>
      <w:r w:rsidR="00392132" w:rsidRPr="00A0108E">
        <w:rPr>
          <w:rFonts w:ascii="Century Gothic" w:eastAsia="Calibri" w:hAnsi="Century Gothic" w:cs="Arial"/>
          <w:sz w:val="22"/>
          <w:szCs w:val="22"/>
        </w:rPr>
        <w:t xml:space="preserve"> momento de la contratación del seguro</w:t>
      </w:r>
      <w:r w:rsidR="00F82973" w:rsidRPr="00A0108E">
        <w:rPr>
          <w:rFonts w:ascii="Century Gothic" w:eastAsia="Calibri" w:hAnsi="Century Gothic" w:cs="Arial"/>
          <w:sz w:val="22"/>
          <w:szCs w:val="22"/>
        </w:rPr>
        <w:t>.</w:t>
      </w:r>
    </w:p>
    <w:p w14:paraId="6624F4F2" w14:textId="77777777" w:rsidR="00F82973" w:rsidRPr="00A0108E" w:rsidRDefault="00F82973" w:rsidP="00392132">
      <w:pPr>
        <w:autoSpaceDE w:val="0"/>
        <w:autoSpaceDN w:val="0"/>
        <w:adjustRightInd w:val="0"/>
        <w:jc w:val="both"/>
        <w:rPr>
          <w:rFonts w:ascii="Century Gothic" w:eastAsia="Calibri" w:hAnsi="Century Gothic" w:cs="Arial"/>
          <w:sz w:val="22"/>
          <w:szCs w:val="22"/>
        </w:rPr>
      </w:pPr>
    </w:p>
    <w:p w14:paraId="3021DB78" w14:textId="390FA00A" w:rsidR="004072F7" w:rsidRPr="00A0108E" w:rsidRDefault="00F82973" w:rsidP="0039213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Respecto a que esta enfermedad: </w:t>
      </w:r>
      <w:r w:rsidRPr="00A0108E">
        <w:rPr>
          <w:rFonts w:ascii="Century Gothic" w:eastAsia="Calibri" w:hAnsi="Century Gothic" w:cs="Arial"/>
          <w:sz w:val="22"/>
          <w:szCs w:val="22"/>
        </w:rPr>
        <w:t>carcinoma urotelial metastásico</w:t>
      </w:r>
      <w:r w:rsidR="00392132" w:rsidRPr="00A0108E">
        <w:rPr>
          <w:rFonts w:ascii="Century Gothic" w:eastAsia="Calibri" w:hAnsi="Century Gothic" w:cs="Arial"/>
          <w:sz w:val="22"/>
          <w:szCs w:val="22"/>
        </w:rPr>
        <w:t>, no fue padecida nunca por parte de la señora LIGIA GONZALEZ CASTAÑEDA</w:t>
      </w:r>
      <w:r w:rsidR="004072F7" w:rsidRPr="00A0108E">
        <w:rPr>
          <w:rFonts w:ascii="Century Gothic" w:eastAsia="Calibri" w:hAnsi="Century Gothic" w:cs="Arial"/>
          <w:sz w:val="22"/>
          <w:szCs w:val="22"/>
        </w:rPr>
        <w:t xml:space="preserve"> (q.e.p.d), Nos atenemos a lo que se pruebe por </w:t>
      </w:r>
      <w:r w:rsidR="00835367" w:rsidRPr="00A0108E">
        <w:rPr>
          <w:rFonts w:ascii="Century Gothic" w:eastAsia="Calibri" w:hAnsi="Century Gothic" w:cs="Arial"/>
          <w:sz w:val="22"/>
          <w:szCs w:val="22"/>
        </w:rPr>
        <w:t>cuanto</w:t>
      </w:r>
      <w:r w:rsidR="004072F7" w:rsidRPr="00A0108E">
        <w:rPr>
          <w:rFonts w:ascii="Century Gothic" w:eastAsia="Calibri" w:hAnsi="Century Gothic" w:cs="Arial"/>
          <w:sz w:val="22"/>
          <w:szCs w:val="22"/>
        </w:rPr>
        <w:t xml:space="preserve"> de la documental aportada se puede evidenciar todos estos diagnósticos: </w:t>
      </w:r>
    </w:p>
    <w:p w14:paraId="0765D4C6" w14:textId="77777777" w:rsidR="00835367" w:rsidRPr="00835367" w:rsidRDefault="00835367" w:rsidP="00835367">
      <w:pPr>
        <w:autoSpaceDE w:val="0"/>
        <w:autoSpaceDN w:val="0"/>
        <w:adjustRightInd w:val="0"/>
        <w:jc w:val="both"/>
        <w:rPr>
          <w:rFonts w:ascii="Century Gothic" w:eastAsia="Calibri" w:hAnsi="Century Gothic" w:cs="Arial"/>
          <w:sz w:val="22"/>
          <w:szCs w:val="22"/>
          <w:lang w:val="es-CO"/>
        </w:rPr>
      </w:pPr>
    </w:p>
    <w:p w14:paraId="68A059AA" w14:textId="77777777" w:rsidR="00835367" w:rsidRPr="00835367" w:rsidRDefault="00835367" w:rsidP="00835367">
      <w:pPr>
        <w:autoSpaceDE w:val="0"/>
        <w:autoSpaceDN w:val="0"/>
        <w:adjustRightInd w:val="0"/>
        <w:jc w:val="both"/>
        <w:rPr>
          <w:rFonts w:ascii="Century Gothic" w:eastAsia="Calibri" w:hAnsi="Century Gothic" w:cs="Arial"/>
          <w:sz w:val="22"/>
          <w:szCs w:val="22"/>
          <w:lang w:val="es-CO"/>
        </w:rPr>
      </w:pPr>
      <w:r w:rsidRPr="00835367">
        <w:rPr>
          <w:rFonts w:ascii="Century Gothic" w:eastAsia="Calibri" w:hAnsi="Century Gothic" w:cs="Arial"/>
          <w:sz w:val="22"/>
          <w:szCs w:val="22"/>
          <w:lang w:val="es-CO"/>
        </w:rPr>
        <w:t xml:space="preserve"> </w:t>
      </w:r>
      <w:r w:rsidRPr="00835367">
        <w:rPr>
          <w:rFonts w:ascii="Century Gothic" w:eastAsia="Calibri" w:hAnsi="Century Gothic" w:cs="Arial"/>
          <w:i/>
          <w:iCs/>
          <w:sz w:val="22"/>
          <w:szCs w:val="22"/>
          <w:lang w:val="es-CO"/>
        </w:rPr>
        <w:t xml:space="preserve">…” FUNDACIÓN SANTA FE DE BOGOTA </w:t>
      </w:r>
    </w:p>
    <w:p w14:paraId="6A9CAF43" w14:textId="77777777" w:rsidR="00835367" w:rsidRPr="00835367" w:rsidRDefault="00835367" w:rsidP="00835367">
      <w:pPr>
        <w:autoSpaceDE w:val="0"/>
        <w:autoSpaceDN w:val="0"/>
        <w:adjustRightInd w:val="0"/>
        <w:jc w:val="both"/>
        <w:rPr>
          <w:rFonts w:ascii="Century Gothic" w:eastAsia="Calibri" w:hAnsi="Century Gothic" w:cs="Arial"/>
          <w:sz w:val="22"/>
          <w:szCs w:val="22"/>
          <w:lang w:val="es-CO"/>
        </w:rPr>
      </w:pPr>
      <w:r w:rsidRPr="00835367">
        <w:rPr>
          <w:rFonts w:ascii="Century Gothic" w:eastAsia="Calibri" w:hAnsi="Century Gothic" w:cs="Arial"/>
          <w:i/>
          <w:iCs/>
          <w:sz w:val="22"/>
          <w:szCs w:val="22"/>
          <w:lang w:val="es-CO"/>
        </w:rPr>
        <w:t xml:space="preserve">Fecha inicio: 2020/10/04. Antecedentes. Patológicos. (2020/10/04) hipertensión arterial. </w:t>
      </w:r>
      <w:r w:rsidRPr="00835367">
        <w:rPr>
          <w:rFonts w:ascii="Century Gothic" w:eastAsia="Calibri" w:hAnsi="Century Gothic" w:cs="Arial"/>
          <w:i/>
          <w:iCs/>
          <w:sz w:val="22"/>
          <w:szCs w:val="22"/>
          <w:u w:val="single"/>
          <w:lang w:val="es-CO"/>
        </w:rPr>
        <w:t>Diagnósticos: 2020/10/04 Hipertensión esencial primaria</w:t>
      </w:r>
      <w:r w:rsidRPr="00835367">
        <w:rPr>
          <w:rFonts w:ascii="Century Gothic" w:eastAsia="Calibri" w:hAnsi="Century Gothic" w:cs="Arial"/>
          <w:i/>
          <w:iCs/>
          <w:sz w:val="22"/>
          <w:szCs w:val="22"/>
          <w:lang w:val="es-CO"/>
        </w:rPr>
        <w:t xml:space="preserve">. </w:t>
      </w:r>
    </w:p>
    <w:p w14:paraId="17FC9BBF" w14:textId="77777777" w:rsidR="00835367" w:rsidRPr="00835367" w:rsidRDefault="00835367" w:rsidP="00835367">
      <w:pPr>
        <w:autoSpaceDE w:val="0"/>
        <w:autoSpaceDN w:val="0"/>
        <w:adjustRightInd w:val="0"/>
        <w:jc w:val="both"/>
        <w:rPr>
          <w:rFonts w:ascii="Century Gothic" w:eastAsia="Calibri" w:hAnsi="Century Gothic" w:cs="Arial"/>
          <w:sz w:val="22"/>
          <w:szCs w:val="22"/>
          <w:u w:val="single"/>
          <w:lang w:val="es-CO"/>
        </w:rPr>
      </w:pPr>
      <w:r w:rsidRPr="00835367">
        <w:rPr>
          <w:rFonts w:ascii="Century Gothic" w:eastAsia="Calibri" w:hAnsi="Century Gothic" w:cs="Arial"/>
          <w:i/>
          <w:iCs/>
          <w:sz w:val="22"/>
          <w:szCs w:val="22"/>
          <w:lang w:val="es-CO"/>
        </w:rPr>
        <w:t xml:space="preserve">Fecha inicio: 2020/11/10. Enfermedad actual. Tromboembolismo pulmonar. Diagnósticos: 2020/11/10 embolia pulmonar sin mención de corazón pulmonar agudo. </w:t>
      </w:r>
      <w:r w:rsidRPr="00835367">
        <w:rPr>
          <w:rFonts w:ascii="Century Gothic" w:eastAsia="Calibri" w:hAnsi="Century Gothic" w:cs="Arial"/>
          <w:i/>
          <w:iCs/>
          <w:sz w:val="22"/>
          <w:szCs w:val="22"/>
          <w:u w:val="single"/>
          <w:lang w:val="es-CO"/>
        </w:rPr>
        <w:t xml:space="preserve">2020/11/10 Hipertensión esencial primaria. </w:t>
      </w:r>
    </w:p>
    <w:p w14:paraId="50EFB245" w14:textId="77777777" w:rsidR="00835367" w:rsidRPr="00835367" w:rsidRDefault="00835367" w:rsidP="00835367">
      <w:pPr>
        <w:autoSpaceDE w:val="0"/>
        <w:autoSpaceDN w:val="0"/>
        <w:adjustRightInd w:val="0"/>
        <w:jc w:val="both"/>
        <w:rPr>
          <w:rFonts w:ascii="Century Gothic" w:eastAsia="Calibri" w:hAnsi="Century Gothic" w:cs="Arial"/>
          <w:sz w:val="22"/>
          <w:szCs w:val="22"/>
          <w:lang w:val="es-CO"/>
        </w:rPr>
      </w:pPr>
      <w:r w:rsidRPr="00835367">
        <w:rPr>
          <w:rFonts w:ascii="Century Gothic" w:eastAsia="Calibri" w:hAnsi="Century Gothic" w:cs="Arial"/>
          <w:i/>
          <w:iCs/>
          <w:sz w:val="22"/>
          <w:szCs w:val="22"/>
          <w:lang w:val="es-CO"/>
        </w:rPr>
        <w:t xml:space="preserve">HOSPITAL PABLO TOBON URIBE </w:t>
      </w:r>
    </w:p>
    <w:p w14:paraId="65B65AA1" w14:textId="1696F0A3" w:rsidR="00835367" w:rsidRPr="00A0108E" w:rsidRDefault="00835367" w:rsidP="00835367">
      <w:pPr>
        <w:autoSpaceDE w:val="0"/>
        <w:autoSpaceDN w:val="0"/>
        <w:adjustRightInd w:val="0"/>
        <w:jc w:val="both"/>
        <w:rPr>
          <w:rFonts w:ascii="Century Gothic" w:eastAsia="Calibri" w:hAnsi="Century Gothic" w:cs="Arial"/>
          <w:sz w:val="22"/>
          <w:szCs w:val="22"/>
          <w:u w:val="single"/>
        </w:rPr>
      </w:pPr>
      <w:r w:rsidRPr="00A0108E">
        <w:rPr>
          <w:rFonts w:ascii="Century Gothic" w:eastAsia="Calibri" w:hAnsi="Century Gothic" w:cs="Arial"/>
          <w:i/>
          <w:iCs/>
          <w:sz w:val="22"/>
          <w:szCs w:val="22"/>
          <w:lang w:val="es-CO"/>
        </w:rPr>
        <w:t xml:space="preserve">fecha: </w:t>
      </w:r>
      <w:r w:rsidRPr="00A0108E">
        <w:rPr>
          <w:rFonts w:ascii="Century Gothic" w:eastAsia="Calibri" w:hAnsi="Century Gothic" w:cs="Arial"/>
          <w:i/>
          <w:iCs/>
          <w:sz w:val="22"/>
          <w:szCs w:val="22"/>
          <w:u w:val="single"/>
          <w:lang w:val="es-CO"/>
        </w:rPr>
        <w:t>25/09/2023. Diagnósticos: Carcinoma urotelial metastásico. Antecedentes personales. Patológicos: Carcinoma urotelial papilar de alto grado in situ de vejiga T1G3 marzo de 2017…”</w:t>
      </w:r>
    </w:p>
    <w:p w14:paraId="32A0F3A3" w14:textId="57334947" w:rsidR="004072F7" w:rsidRPr="00A0108E" w:rsidRDefault="00835367" w:rsidP="00392132">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658F0088" wp14:editId="1AD6721C">
            <wp:extent cx="5612130" cy="3460750"/>
            <wp:effectExtent l="0" t="0" r="7620" b="6350"/>
            <wp:docPr id="15524602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460261" name=""/>
                    <pic:cNvPicPr/>
                  </pic:nvPicPr>
                  <pic:blipFill>
                    <a:blip r:embed="rId16"/>
                    <a:stretch>
                      <a:fillRect/>
                    </a:stretch>
                  </pic:blipFill>
                  <pic:spPr>
                    <a:xfrm>
                      <a:off x="0" y="0"/>
                      <a:ext cx="5612130" cy="3460750"/>
                    </a:xfrm>
                    <a:prstGeom prst="rect">
                      <a:avLst/>
                    </a:prstGeom>
                  </pic:spPr>
                </pic:pic>
              </a:graphicData>
            </a:graphic>
          </wp:inline>
        </w:drawing>
      </w:r>
    </w:p>
    <w:p w14:paraId="28C9B7AD" w14:textId="77777777" w:rsidR="00835367" w:rsidRPr="00A0108E" w:rsidRDefault="00835367" w:rsidP="0039213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lastRenderedPageBreak/>
        <w:t>Es cierto que, en</w:t>
      </w:r>
      <w:r w:rsidR="00392132" w:rsidRPr="00A0108E">
        <w:rPr>
          <w:rFonts w:ascii="Century Gothic" w:eastAsia="Calibri" w:hAnsi="Century Gothic" w:cs="Arial"/>
          <w:sz w:val="22"/>
          <w:szCs w:val="22"/>
        </w:rPr>
        <w:t xml:space="preserve"> virtud de </w:t>
      </w:r>
      <w:r w:rsidRPr="00A0108E">
        <w:rPr>
          <w:rFonts w:ascii="Century Gothic" w:eastAsia="Calibri" w:hAnsi="Century Gothic" w:cs="Arial"/>
          <w:sz w:val="22"/>
          <w:szCs w:val="22"/>
        </w:rPr>
        <w:t>l</w:t>
      </w:r>
      <w:r w:rsidR="00392132" w:rsidRPr="00A0108E">
        <w:rPr>
          <w:rFonts w:ascii="Century Gothic" w:eastAsia="Calibri" w:hAnsi="Century Gothic" w:cs="Arial"/>
          <w:sz w:val="22"/>
          <w:szCs w:val="22"/>
        </w:rPr>
        <w:t xml:space="preserve">os hallazgos, </w:t>
      </w:r>
      <w:r w:rsidRPr="00A0108E">
        <w:rPr>
          <w:rFonts w:ascii="Century Gothic" w:eastAsia="Calibri" w:hAnsi="Century Gothic" w:cs="Arial"/>
          <w:sz w:val="22"/>
          <w:szCs w:val="22"/>
        </w:rPr>
        <w:t xml:space="preserve">antes descritos mi representada LA </w:t>
      </w:r>
      <w:r w:rsidR="00392132" w:rsidRPr="00A0108E">
        <w:rPr>
          <w:rFonts w:ascii="Century Gothic" w:eastAsia="Calibri" w:hAnsi="Century Gothic" w:cs="Arial"/>
          <w:sz w:val="22"/>
          <w:szCs w:val="22"/>
        </w:rPr>
        <w:t xml:space="preserve">EQUIDAD SEGUROS DE VIDA </w:t>
      </w:r>
      <w:r w:rsidRPr="00A0108E">
        <w:rPr>
          <w:rFonts w:ascii="Century Gothic" w:eastAsia="Calibri" w:hAnsi="Century Gothic" w:cs="Arial"/>
          <w:sz w:val="22"/>
          <w:szCs w:val="22"/>
        </w:rPr>
        <w:t xml:space="preserve">O.C., </w:t>
      </w:r>
      <w:r w:rsidR="00392132" w:rsidRPr="00A0108E">
        <w:rPr>
          <w:rFonts w:ascii="Century Gothic" w:eastAsia="Calibri" w:hAnsi="Century Gothic" w:cs="Arial"/>
          <w:sz w:val="22"/>
          <w:szCs w:val="22"/>
        </w:rPr>
        <w:t xml:space="preserve">argumentó que dicha omisión o falta de información constituyó una reticencia, lo que, según su interpretación, afectaría la validez de lo pactado en el contrato firmado entre las partes. </w:t>
      </w:r>
    </w:p>
    <w:p w14:paraId="3100BDF2" w14:textId="77777777" w:rsidR="00835367" w:rsidRPr="00A0108E" w:rsidRDefault="00835367" w:rsidP="00392132">
      <w:pPr>
        <w:autoSpaceDE w:val="0"/>
        <w:autoSpaceDN w:val="0"/>
        <w:adjustRightInd w:val="0"/>
        <w:jc w:val="both"/>
        <w:rPr>
          <w:rFonts w:ascii="Century Gothic" w:eastAsia="Calibri" w:hAnsi="Century Gothic" w:cs="Arial"/>
          <w:sz w:val="22"/>
          <w:szCs w:val="22"/>
        </w:rPr>
      </w:pPr>
    </w:p>
    <w:p w14:paraId="6C14BE5C" w14:textId="7975D79D" w:rsidR="00392132" w:rsidRPr="00A0108E" w:rsidRDefault="00835367" w:rsidP="00392132">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Es cierto que, LA EQUIDAD SGEUROS DE VIDA O.C., Objeto el siniestro</w:t>
      </w:r>
      <w:r w:rsidR="00392132"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 xml:space="preserve">y </w:t>
      </w:r>
      <w:r w:rsidR="00392132" w:rsidRPr="00A0108E">
        <w:rPr>
          <w:rFonts w:ascii="Century Gothic" w:eastAsia="Calibri" w:hAnsi="Century Gothic" w:cs="Arial"/>
          <w:sz w:val="22"/>
          <w:szCs w:val="22"/>
        </w:rPr>
        <w:t>consideró que no procedía dar lugar a la solicitud de información de mi poderdante, basándose en el hecho de que la asegurada no reveló de manera completa y veraz su estado de salud al momento de la firma del seguro.</w:t>
      </w:r>
    </w:p>
    <w:p w14:paraId="01DE3FB8"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63F2D24" w14:textId="77777777" w:rsidR="00E0774A" w:rsidRPr="00A0108E" w:rsidRDefault="00E0774A" w:rsidP="00E0774A">
      <w:pPr>
        <w:autoSpaceDE w:val="0"/>
        <w:autoSpaceDN w:val="0"/>
        <w:adjustRightInd w:val="0"/>
        <w:jc w:val="both"/>
        <w:rPr>
          <w:rFonts w:ascii="Century Gothic" w:eastAsia="Calibri" w:hAnsi="Century Gothic" w:cs="Arial"/>
          <w:i/>
          <w:iCs/>
          <w:sz w:val="22"/>
          <w:szCs w:val="22"/>
          <w:lang w:val="es-CO"/>
        </w:rPr>
      </w:pPr>
      <w:r w:rsidRPr="00A0108E">
        <w:rPr>
          <w:rFonts w:ascii="Century Gothic" w:eastAsia="Calibri" w:hAnsi="Century Gothic" w:cs="Arial"/>
          <w:i/>
          <w:iCs/>
          <w:sz w:val="22"/>
          <w:szCs w:val="22"/>
          <w:lang w:val="es-CO"/>
        </w:rPr>
        <w:t xml:space="preserve">Artículo 1058 del código de comercio, norma que rige el contrato de seguro señala: “Declaración del estado del riesgo y sanciones por inexactitud o reticencia: El tomador está obligado a declarar sinceramente los hechos o circunstancias que determinan el estado del riesgo, según el cuestionario que le sea propuesto por el asegurador. La reticencia o la inexactitud sobre hechos o circunstancias que, conocidos por el asegurador, lo hubieren retraído de celebrar el contrato, o inducido a estipular condiciones más onerosas, producen la nulidad relativa del seguro…”. </w:t>
      </w:r>
    </w:p>
    <w:p w14:paraId="00B399DF"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0522B7B0" w14:textId="77777777" w:rsidR="00E0774A" w:rsidRPr="00A0108E" w:rsidRDefault="00E0774A" w:rsidP="00E0774A">
      <w:pPr>
        <w:autoSpaceDE w:val="0"/>
        <w:autoSpaceDN w:val="0"/>
        <w:adjustRightInd w:val="0"/>
        <w:jc w:val="both"/>
        <w:rPr>
          <w:rFonts w:ascii="Century Gothic" w:eastAsia="Calibri" w:hAnsi="Century Gothic" w:cs="Arial"/>
          <w:i/>
          <w:iCs/>
          <w:sz w:val="22"/>
          <w:szCs w:val="22"/>
          <w:lang w:val="es-CO"/>
        </w:rPr>
      </w:pPr>
      <w:r w:rsidRPr="00A0108E">
        <w:rPr>
          <w:rFonts w:ascii="Century Gothic" w:eastAsia="Calibri" w:hAnsi="Century Gothic" w:cs="Arial"/>
          <w:i/>
          <w:iCs/>
          <w:sz w:val="22"/>
          <w:szCs w:val="22"/>
          <w:lang w:val="es-CO"/>
        </w:rPr>
        <w:t xml:space="preserve">A su vez, el artículo 1158 de la misma norma establece: “Prescindencia de examen médico y declaración del estado del riesgo: Aunque el asegurador prescinda del examen médico, el asegurado no podrá considerarse exento de las obligaciones a que se refiere el artículo 1058, ni de las sanciones a que su infracción da lugar”. </w:t>
      </w:r>
    </w:p>
    <w:p w14:paraId="1FED8CD8"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7740F864" w14:textId="5F7B8963" w:rsidR="00E0774A" w:rsidRPr="00A0108E" w:rsidRDefault="00835367"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A</w:t>
      </w:r>
      <w:r w:rsidR="00E0774A" w:rsidRPr="00A0108E">
        <w:rPr>
          <w:rFonts w:ascii="Century Gothic" w:eastAsia="Calibri" w:hAnsi="Century Gothic" w:cs="Arial"/>
          <w:sz w:val="22"/>
          <w:szCs w:val="22"/>
        </w:rPr>
        <w:t xml:space="preserve">sí las cosas, es claro que ella en los formularios diligenciados en los cuales se establece la declaración del verdadero estado de salud para el ingreso a la póliza, no informó las patologías que ya padecía y que eran de su pleno conocimiento al momento de la solicitud del crédito </w:t>
      </w:r>
      <w:r w:rsidR="001A7EA2" w:rsidRPr="00A0108E">
        <w:rPr>
          <w:rFonts w:ascii="Century Gothic" w:eastAsia="Calibri" w:hAnsi="Century Gothic" w:cs="Arial"/>
          <w:sz w:val="22"/>
          <w:szCs w:val="22"/>
        </w:rPr>
        <w:t>4 octubre de 2024 desembolsado el 10 octubre de 2024</w:t>
      </w:r>
      <w:r w:rsidR="00E0774A" w:rsidRPr="00A0108E">
        <w:rPr>
          <w:rFonts w:ascii="Century Gothic" w:eastAsia="Calibri" w:hAnsi="Century Gothic" w:cs="Arial"/>
          <w:sz w:val="22"/>
          <w:szCs w:val="22"/>
        </w:rPr>
        <w:t>, tal como lo hace constar la historia clínica analizada</w:t>
      </w:r>
      <w:r w:rsidR="001A7EA2" w:rsidRPr="00A0108E">
        <w:rPr>
          <w:rFonts w:ascii="Century Gothic" w:eastAsia="Calibri" w:hAnsi="Century Gothic" w:cs="Arial"/>
          <w:sz w:val="22"/>
          <w:szCs w:val="22"/>
        </w:rPr>
        <w:t xml:space="preserve"> por un externo la firma ATLANTIS.</w:t>
      </w:r>
    </w:p>
    <w:p w14:paraId="1285FE8B"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5C33BFA5" w14:textId="2EA085A9" w:rsidR="00392132" w:rsidRPr="00A0108E" w:rsidRDefault="00E0774A" w:rsidP="000D6B33">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b/>
          <w:sz w:val="22"/>
          <w:szCs w:val="22"/>
        </w:rPr>
        <w:t>SEPTIMO:</w:t>
      </w:r>
      <w:r w:rsidRPr="00A0108E">
        <w:rPr>
          <w:rFonts w:ascii="Century Gothic" w:eastAsia="Calibri" w:hAnsi="Century Gothic" w:cs="Arial"/>
          <w:sz w:val="22"/>
          <w:szCs w:val="22"/>
        </w:rPr>
        <w:t xml:space="preserve"> </w:t>
      </w:r>
      <w:r w:rsidR="000D6B33" w:rsidRPr="00A0108E">
        <w:rPr>
          <w:rFonts w:ascii="Century Gothic" w:eastAsia="Calibri" w:hAnsi="Century Gothic" w:cs="Arial"/>
          <w:sz w:val="22"/>
          <w:szCs w:val="22"/>
        </w:rPr>
        <w:t xml:space="preserve">No le consta a mi representada que, </w:t>
      </w:r>
      <w:r w:rsidR="00392132" w:rsidRPr="00A0108E">
        <w:rPr>
          <w:rFonts w:ascii="Century Gothic" w:eastAsia="Calibri" w:hAnsi="Century Gothic" w:cs="Arial"/>
          <w:sz w:val="22"/>
          <w:szCs w:val="22"/>
        </w:rPr>
        <w:t>la señora MÓNICA ALEXANDRA VIDAL GONZÁLEZ se comunicó con la entidad, quien le informó que se había desembolsado el crédito adquirido por la causante con la entidad BANCO COOMEVA S.A, establecido en el hecho primero.</w:t>
      </w:r>
      <w:r w:rsidR="000E74DD" w:rsidRPr="00A0108E">
        <w:rPr>
          <w:rFonts w:ascii="Century Gothic" w:eastAsia="Calibri" w:hAnsi="Century Gothic" w:cs="Arial"/>
          <w:b/>
          <w:sz w:val="22"/>
          <w:szCs w:val="22"/>
        </w:rPr>
        <w:t xml:space="preserve">, </w:t>
      </w:r>
      <w:r w:rsidR="000E74DD" w:rsidRPr="00A0108E">
        <w:rPr>
          <w:rFonts w:ascii="Century Gothic" w:eastAsia="Calibri" w:hAnsi="Century Gothic" w:cs="Arial"/>
          <w:bCs/>
          <w:sz w:val="22"/>
          <w:szCs w:val="22"/>
        </w:rPr>
        <w:t>Nos atenemos a lo que se pruebe en el curso del proceso.</w:t>
      </w:r>
    </w:p>
    <w:p w14:paraId="6A021CAE"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4307EFC6" w14:textId="77777777" w:rsidR="000D093D" w:rsidRPr="00A0108E" w:rsidRDefault="00E0774A" w:rsidP="000D093D">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
          <w:bCs/>
          <w:sz w:val="22"/>
          <w:szCs w:val="22"/>
          <w:lang w:val="es-CO"/>
        </w:rPr>
        <w:t>OCTAVO:</w:t>
      </w:r>
      <w:r w:rsidRPr="00A0108E">
        <w:rPr>
          <w:rFonts w:ascii="Century Gothic" w:eastAsia="Calibri" w:hAnsi="Century Gothic" w:cs="Arial"/>
          <w:bCs/>
          <w:sz w:val="22"/>
          <w:szCs w:val="22"/>
          <w:lang w:val="es-CO"/>
        </w:rPr>
        <w:t xml:space="preserve"> </w:t>
      </w:r>
      <w:r w:rsidR="000D093D" w:rsidRPr="00A0108E">
        <w:rPr>
          <w:rFonts w:ascii="Century Gothic" w:eastAsia="Calibri" w:hAnsi="Century Gothic" w:cs="Arial"/>
          <w:bCs/>
          <w:sz w:val="22"/>
          <w:szCs w:val="22"/>
          <w:lang w:val="es-CO"/>
        </w:rPr>
        <w:t xml:space="preserve">Es cierto que, en </w:t>
      </w:r>
      <w:r w:rsidR="00392132" w:rsidRPr="00A0108E">
        <w:rPr>
          <w:rFonts w:ascii="Century Gothic" w:eastAsia="Calibri" w:hAnsi="Century Gothic" w:cs="Arial"/>
          <w:bCs/>
          <w:sz w:val="22"/>
          <w:szCs w:val="22"/>
        </w:rPr>
        <w:t>virtud de esta situación y ante la negativa por parte de</w:t>
      </w:r>
      <w:r w:rsidR="000D093D" w:rsidRPr="00A0108E">
        <w:rPr>
          <w:rFonts w:ascii="Century Gothic" w:eastAsia="Calibri" w:hAnsi="Century Gothic" w:cs="Arial"/>
          <w:bCs/>
          <w:sz w:val="22"/>
          <w:szCs w:val="22"/>
        </w:rPr>
        <w:t xml:space="preserve"> LA EQUIDAD</w:t>
      </w:r>
      <w:r w:rsidR="00392132" w:rsidRPr="00A0108E">
        <w:rPr>
          <w:rFonts w:ascii="Century Gothic" w:eastAsia="Calibri" w:hAnsi="Century Gothic" w:cs="Arial"/>
          <w:bCs/>
          <w:sz w:val="22"/>
          <w:szCs w:val="22"/>
        </w:rPr>
        <w:t xml:space="preserve"> SEGUROS DE VIDA</w:t>
      </w:r>
      <w:r w:rsidR="000D093D" w:rsidRPr="00A0108E">
        <w:rPr>
          <w:rFonts w:ascii="Century Gothic" w:eastAsia="Calibri" w:hAnsi="Century Gothic" w:cs="Arial"/>
          <w:bCs/>
          <w:sz w:val="22"/>
          <w:szCs w:val="22"/>
        </w:rPr>
        <w:t xml:space="preserve"> O.C</w:t>
      </w:r>
      <w:r w:rsidR="00392132" w:rsidRPr="00A0108E">
        <w:rPr>
          <w:rFonts w:ascii="Century Gothic" w:eastAsia="Calibri" w:hAnsi="Century Gothic" w:cs="Arial"/>
          <w:bCs/>
          <w:sz w:val="22"/>
          <w:szCs w:val="22"/>
        </w:rPr>
        <w:t xml:space="preserve">, </w:t>
      </w:r>
      <w:r w:rsidR="000D093D" w:rsidRPr="00A0108E">
        <w:rPr>
          <w:rFonts w:ascii="Century Gothic" w:eastAsia="Calibri" w:hAnsi="Century Gothic" w:cs="Arial"/>
          <w:bCs/>
          <w:sz w:val="22"/>
          <w:szCs w:val="22"/>
        </w:rPr>
        <w:t>interpusieron</w:t>
      </w:r>
      <w:r w:rsidR="00392132" w:rsidRPr="00A0108E">
        <w:rPr>
          <w:rFonts w:ascii="Century Gothic" w:eastAsia="Calibri" w:hAnsi="Century Gothic" w:cs="Arial"/>
          <w:bCs/>
          <w:sz w:val="22"/>
          <w:szCs w:val="22"/>
        </w:rPr>
        <w:t xml:space="preserve"> una reclamación directa el 22 de noviembre de 2024</w:t>
      </w:r>
      <w:r w:rsidR="000D093D" w:rsidRPr="00A0108E">
        <w:rPr>
          <w:rFonts w:ascii="Century Gothic" w:eastAsia="Calibri" w:hAnsi="Century Gothic" w:cs="Arial"/>
          <w:bCs/>
          <w:sz w:val="22"/>
          <w:szCs w:val="22"/>
        </w:rPr>
        <w:t xml:space="preserve"> y la respuesta fue ratificando la objeción.</w:t>
      </w:r>
    </w:p>
    <w:p w14:paraId="6F4D0707"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3A5A53A8" w14:textId="4B1E40D3" w:rsidR="00E0774A" w:rsidRPr="00A0108E" w:rsidRDefault="00E0774A" w:rsidP="00F22226">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b/>
          <w:sz w:val="22"/>
          <w:szCs w:val="22"/>
          <w:lang w:val="es-CO"/>
        </w:rPr>
        <w:t>NOVENO:</w:t>
      </w:r>
      <w:r w:rsidRPr="00A0108E">
        <w:rPr>
          <w:rFonts w:ascii="Century Gothic" w:eastAsia="Calibri" w:hAnsi="Century Gothic" w:cs="Arial"/>
          <w:sz w:val="22"/>
          <w:szCs w:val="22"/>
          <w:lang w:val="es-CO"/>
        </w:rPr>
        <w:t xml:space="preserve"> Es </w:t>
      </w:r>
      <w:r w:rsidR="00F22226" w:rsidRPr="00A0108E">
        <w:rPr>
          <w:rFonts w:ascii="Century Gothic" w:eastAsia="Calibri" w:hAnsi="Century Gothic" w:cs="Arial"/>
          <w:sz w:val="22"/>
          <w:szCs w:val="22"/>
          <w:lang w:val="es-CO"/>
        </w:rPr>
        <w:t>c</w:t>
      </w:r>
      <w:r w:rsidRPr="00A0108E">
        <w:rPr>
          <w:rFonts w:ascii="Century Gothic" w:eastAsia="Calibri" w:hAnsi="Century Gothic" w:cs="Arial"/>
          <w:sz w:val="22"/>
          <w:szCs w:val="22"/>
          <w:lang w:val="es-CO"/>
        </w:rPr>
        <w:t>ierto</w:t>
      </w:r>
      <w:r w:rsidR="00F22226" w:rsidRPr="00A0108E">
        <w:rPr>
          <w:rFonts w:ascii="Century Gothic" w:eastAsia="Calibri" w:hAnsi="Century Gothic" w:cs="Arial"/>
          <w:sz w:val="22"/>
          <w:szCs w:val="22"/>
          <w:lang w:val="es-CO"/>
        </w:rPr>
        <w:t xml:space="preserve"> que, LA</w:t>
      </w:r>
      <w:r w:rsidRPr="00A0108E">
        <w:rPr>
          <w:rFonts w:ascii="Century Gothic" w:eastAsia="Calibri" w:hAnsi="Century Gothic" w:cs="Arial"/>
          <w:sz w:val="22"/>
          <w:szCs w:val="22"/>
          <w:lang w:val="es-CO"/>
        </w:rPr>
        <w:t xml:space="preserve"> EQUIDAD SEGUROS DE VIDA O.C objeto el reclamo lo </w:t>
      </w:r>
      <w:r w:rsidR="00F22226" w:rsidRPr="00A0108E">
        <w:rPr>
          <w:rFonts w:ascii="Century Gothic" w:eastAsia="Calibri" w:hAnsi="Century Gothic" w:cs="Arial"/>
          <w:sz w:val="22"/>
          <w:szCs w:val="22"/>
          <w:lang w:val="es-CO"/>
        </w:rPr>
        <w:t>con comunicación de fecha 27</w:t>
      </w:r>
      <w:r w:rsidR="00392132" w:rsidRPr="00A0108E">
        <w:rPr>
          <w:rFonts w:ascii="Century Gothic" w:eastAsia="Calibri" w:hAnsi="Century Gothic" w:cs="Arial"/>
          <w:sz w:val="22"/>
          <w:szCs w:val="22"/>
        </w:rPr>
        <w:t xml:space="preserve"> de </w:t>
      </w:r>
      <w:r w:rsidR="00832C9F" w:rsidRPr="00A0108E">
        <w:rPr>
          <w:rFonts w:ascii="Century Gothic" w:eastAsia="Calibri" w:hAnsi="Century Gothic" w:cs="Arial"/>
          <w:sz w:val="22"/>
          <w:szCs w:val="22"/>
        </w:rPr>
        <w:t>diciembre</w:t>
      </w:r>
      <w:r w:rsidR="00392132" w:rsidRPr="00A0108E">
        <w:rPr>
          <w:rFonts w:ascii="Century Gothic" w:eastAsia="Calibri" w:hAnsi="Century Gothic" w:cs="Arial"/>
          <w:sz w:val="22"/>
          <w:szCs w:val="22"/>
        </w:rPr>
        <w:t xml:space="preserve"> </w:t>
      </w:r>
      <w:r w:rsidR="00F22226" w:rsidRPr="00A0108E">
        <w:rPr>
          <w:rFonts w:ascii="Century Gothic" w:eastAsia="Calibri" w:hAnsi="Century Gothic" w:cs="Arial"/>
          <w:sz w:val="22"/>
          <w:szCs w:val="22"/>
        </w:rPr>
        <w:t xml:space="preserve">del </w:t>
      </w:r>
      <w:r w:rsidR="00FE1D78" w:rsidRPr="00A0108E">
        <w:rPr>
          <w:rFonts w:ascii="Century Gothic" w:eastAsia="Calibri" w:hAnsi="Century Gothic" w:cs="Arial"/>
          <w:sz w:val="22"/>
          <w:szCs w:val="22"/>
        </w:rPr>
        <w:t>2024, en</w:t>
      </w:r>
      <w:r w:rsidR="00392132" w:rsidRPr="00A0108E">
        <w:rPr>
          <w:rFonts w:ascii="Century Gothic" w:eastAsia="Calibri" w:hAnsi="Century Gothic" w:cs="Arial"/>
          <w:sz w:val="22"/>
          <w:szCs w:val="22"/>
        </w:rPr>
        <w:t xml:space="preserve"> los siguientes </w:t>
      </w:r>
      <w:r w:rsidR="00F22226" w:rsidRPr="00A0108E">
        <w:rPr>
          <w:rFonts w:ascii="Century Gothic" w:eastAsia="Calibri" w:hAnsi="Century Gothic" w:cs="Arial"/>
          <w:sz w:val="22"/>
          <w:szCs w:val="22"/>
        </w:rPr>
        <w:t>en este hecho descrito.</w:t>
      </w:r>
    </w:p>
    <w:p w14:paraId="36481897"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7CA1BB03" w14:textId="76100361" w:rsidR="00E0774A" w:rsidRPr="00A0108E" w:rsidRDefault="00D05F8E" w:rsidP="00E0774A">
      <w:pPr>
        <w:autoSpaceDE w:val="0"/>
        <w:autoSpaceDN w:val="0"/>
        <w:adjustRightInd w:val="0"/>
        <w:jc w:val="both"/>
        <w:rPr>
          <w:rFonts w:ascii="Century Gothic" w:eastAsia="Calibri" w:hAnsi="Century Gothic" w:cs="Arial"/>
          <w:i/>
          <w:iCs/>
          <w:sz w:val="18"/>
          <w:szCs w:val="18"/>
          <w:u w:val="single"/>
        </w:rPr>
      </w:pPr>
      <w:r w:rsidRPr="00A0108E">
        <w:rPr>
          <w:rFonts w:ascii="Century Gothic" w:eastAsia="Calibri" w:hAnsi="Century Gothic" w:cs="Arial"/>
          <w:i/>
          <w:iCs/>
          <w:sz w:val="18"/>
          <w:szCs w:val="18"/>
          <w:u w:val="single"/>
        </w:rPr>
        <w:t xml:space="preserve">…” FUNDACIÓN SANTA FE DE BOGOTA Fecha inicio: 2020/10/04. Antecedentes. Patológicos. (2020/10/04) hipertensión arterial. Diagnósticos: 2020/10/04 Hipertensión esencial primaria. Fecha inicio: 2020/11/10. Enfermedad actual. Tromboembolismo pulmonar. Diagnósticos: 2020/11/10 </w:t>
      </w:r>
      <w:r w:rsidRPr="00A0108E">
        <w:rPr>
          <w:rFonts w:ascii="Century Gothic" w:eastAsia="Calibri" w:hAnsi="Century Gothic" w:cs="Arial"/>
          <w:i/>
          <w:iCs/>
          <w:sz w:val="18"/>
          <w:szCs w:val="18"/>
          <w:u w:val="single"/>
        </w:rPr>
        <w:lastRenderedPageBreak/>
        <w:t xml:space="preserve">embolia pulmonar sin mención de corazón pulmonar agudo. 2020/11/10 Hipertensión esencial primaria. HOSPITAL PABLO TOBON URIBE fecha: 25/09/2023. Diagnósticos: Carcinoma urotelial metastásico. Antecedentes personales. Patológicos: Carcinoma urotelial papilar de alto grado in situ de vejiga T1G3 marzo de 2017…” En las solicitudes de Seguro – Declaraciones de asegurabilidad suscritas por la señora LIGIA GONZALEZ CASTAÑEDA (q.e.p.d.), diligenciadas 01 de julio de 2022 y el 04 de octubre de 2022 para el otorgamiento del crédito.” Así mismo, señala teniendo en cuanto lo anterior, las razones de su negativa, en los siguientes términos “Teniendo en cuenta lo anterior, se evidencia que la señora LIGIA GONZALEZ CASTAÑEDA (q.e.p.d.) al momento del desembolso del crédito, ya padecía las enfermedades de hipertensión arterial, tromboembolismo pulmonar, embolia pulmonar, adicionalmente padecía de Carcinoma urotelial papilar de alto grado in situ de vejiga la cual se encuentra expresamente excluida de nuestro clausulado general, lo que conlleva a la inexistencia de cobertura, adicional, no se cumplió con lo establecido en la disposición legal antes citada, ya que no declaró el estado de salud con el cual ingresaba al seguro vida grupo deudores, lo que indica que incurrió en reticencia de la información, motivo por el cual no hay lugar al reconocimiento de la indemnización solicitada. Finalmente le informamos que la historia clínica es el documento idóneo para establecer el estado de salud de los asegurados, al acceder al historial médico del HOSPITAL PABLO TOBON URIBE, se evidencio que la señora LIGIA GONZALEZ CASTAÑEDA (q.e.p.d.) padeció de la enfermedad de Carcinoma urotelial papilar de alto grado in situ de vejiga en marzo de 2017, mencionado claramente dentro de los antecedentes personales </w:t>
      </w:r>
      <w:proofErr w:type="gramStart"/>
      <w:r w:rsidRPr="00A0108E">
        <w:rPr>
          <w:rFonts w:ascii="Century Gothic" w:eastAsia="Calibri" w:hAnsi="Century Gothic" w:cs="Arial"/>
          <w:i/>
          <w:iCs/>
          <w:sz w:val="18"/>
          <w:szCs w:val="18"/>
          <w:u w:val="single"/>
        </w:rPr>
        <w:t>de acuerdo a</w:t>
      </w:r>
      <w:proofErr w:type="gramEnd"/>
      <w:r w:rsidRPr="00A0108E">
        <w:rPr>
          <w:rFonts w:ascii="Century Gothic" w:eastAsia="Calibri" w:hAnsi="Century Gothic" w:cs="Arial"/>
          <w:i/>
          <w:iCs/>
          <w:sz w:val="18"/>
          <w:szCs w:val="18"/>
          <w:u w:val="single"/>
        </w:rPr>
        <w:t xml:space="preserve"> la siguiente imagen:</w:t>
      </w:r>
    </w:p>
    <w:p w14:paraId="021EC359" w14:textId="3D6166DD" w:rsidR="00D05F8E" w:rsidRPr="00A0108E" w:rsidRDefault="00473B4D" w:rsidP="00E0774A">
      <w:pPr>
        <w:autoSpaceDE w:val="0"/>
        <w:autoSpaceDN w:val="0"/>
        <w:adjustRightInd w:val="0"/>
        <w:jc w:val="both"/>
        <w:rPr>
          <w:rFonts w:ascii="Century Gothic" w:eastAsia="Calibri" w:hAnsi="Century Gothic" w:cs="Arial"/>
          <w:sz w:val="22"/>
          <w:szCs w:val="22"/>
          <w:lang w:val="es-CO"/>
        </w:rPr>
      </w:pPr>
      <w:r w:rsidRPr="00A0108E">
        <w:rPr>
          <w:rFonts w:ascii="Century Gothic" w:hAnsi="Century Gothic"/>
          <w:noProof/>
          <w:sz w:val="22"/>
          <w:szCs w:val="22"/>
        </w:rPr>
        <w:drawing>
          <wp:inline distT="0" distB="0" distL="0" distR="0" wp14:anchorId="5CB40E97" wp14:editId="02A09CB0">
            <wp:extent cx="4829175" cy="3086100"/>
            <wp:effectExtent l="0" t="0" r="9525" b="0"/>
            <wp:docPr id="5042051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205100" name=""/>
                    <pic:cNvPicPr/>
                  </pic:nvPicPr>
                  <pic:blipFill>
                    <a:blip r:embed="rId17"/>
                    <a:stretch>
                      <a:fillRect/>
                    </a:stretch>
                  </pic:blipFill>
                  <pic:spPr>
                    <a:xfrm>
                      <a:off x="0" y="0"/>
                      <a:ext cx="4829175" cy="3086100"/>
                    </a:xfrm>
                    <a:prstGeom prst="rect">
                      <a:avLst/>
                    </a:prstGeom>
                  </pic:spPr>
                </pic:pic>
              </a:graphicData>
            </a:graphic>
          </wp:inline>
        </w:drawing>
      </w:r>
    </w:p>
    <w:p w14:paraId="63905F5E"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artículo 1058 del Código de Comercio establece: “El tomador está obligado a declarar sinceramente los hechos o circunstancias que determinan el estado del riesgo, según el cuestionario que le sea propuesto por el asegurador. La reticencia o la inexactitud sobre hechos o circunstancias que, conocidos por el asegurador, lo hubieren retraído de celebrar el contrato, o inducido a estipular condiciones más onerosas, producen la nulidad relativa del seguro”. </w:t>
      </w:r>
    </w:p>
    <w:p w14:paraId="742E39D7" w14:textId="77777777" w:rsidR="00FE1D78" w:rsidRPr="00A0108E" w:rsidRDefault="00FE1D78" w:rsidP="00E0774A">
      <w:pPr>
        <w:autoSpaceDE w:val="0"/>
        <w:autoSpaceDN w:val="0"/>
        <w:adjustRightInd w:val="0"/>
        <w:jc w:val="both"/>
        <w:rPr>
          <w:rFonts w:ascii="Century Gothic" w:eastAsia="Calibri" w:hAnsi="Century Gothic" w:cs="Arial"/>
          <w:sz w:val="22"/>
          <w:szCs w:val="22"/>
          <w:lang w:val="es-CO"/>
        </w:rPr>
      </w:pPr>
    </w:p>
    <w:p w14:paraId="34A78DF6" w14:textId="12C6EAE6" w:rsidR="00E0774A" w:rsidRPr="00A0108E" w:rsidRDefault="00E0774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Disposición legal que encuentra su respaldo legal en lo normado por el artículo 1158 de la misma obra, el cual indica: “Aunque el asegurador prescinda del examen médico, el asegurado no podrá considerarse exento de las obligaciones a que se refiere el artículo 1058, ni de las sanciones a que su infracción da lugar”. </w:t>
      </w:r>
    </w:p>
    <w:p w14:paraId="0F558B89" w14:textId="77777777" w:rsidR="00FE1D78" w:rsidRPr="00A0108E" w:rsidRDefault="00FE1D78" w:rsidP="00E0774A">
      <w:pPr>
        <w:autoSpaceDE w:val="0"/>
        <w:autoSpaceDN w:val="0"/>
        <w:adjustRightInd w:val="0"/>
        <w:jc w:val="both"/>
        <w:rPr>
          <w:rFonts w:ascii="Century Gothic" w:eastAsia="Calibri" w:hAnsi="Century Gothic" w:cs="Arial"/>
          <w:sz w:val="22"/>
          <w:szCs w:val="22"/>
          <w:lang w:val="es-CO"/>
        </w:rPr>
      </w:pPr>
    </w:p>
    <w:p w14:paraId="1AFDF707" w14:textId="491EEE5D" w:rsidR="00E0774A" w:rsidRPr="00A0108E" w:rsidRDefault="00E0774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lastRenderedPageBreak/>
        <w:t xml:space="preserve">De acuerdo a lo anterior, la reclamación presentada como consecuencia del </w:t>
      </w:r>
      <w:r w:rsidR="00FE1D78" w:rsidRPr="00A0108E">
        <w:rPr>
          <w:rFonts w:ascii="Century Gothic" w:eastAsia="Calibri" w:hAnsi="Century Gothic" w:cs="Arial"/>
          <w:sz w:val="22"/>
          <w:szCs w:val="22"/>
          <w:lang w:val="es-CO"/>
        </w:rPr>
        <w:t>fallecimiento</w:t>
      </w:r>
      <w:r w:rsidRPr="00A0108E">
        <w:rPr>
          <w:rFonts w:ascii="Century Gothic" w:eastAsia="Calibri" w:hAnsi="Century Gothic" w:cs="Arial"/>
          <w:sz w:val="22"/>
          <w:szCs w:val="22"/>
          <w:lang w:val="es-CO"/>
        </w:rPr>
        <w:t xml:space="preserve"> de la señora L</w:t>
      </w:r>
      <w:r w:rsidR="00FE1D78" w:rsidRPr="00A0108E">
        <w:rPr>
          <w:rFonts w:ascii="Century Gothic" w:eastAsia="Calibri" w:hAnsi="Century Gothic" w:cs="Arial"/>
          <w:sz w:val="22"/>
          <w:szCs w:val="22"/>
          <w:lang w:val="es-CO"/>
        </w:rPr>
        <w:t>igia</w:t>
      </w:r>
      <w:r w:rsidRPr="00A0108E">
        <w:rPr>
          <w:rFonts w:ascii="Century Gothic" w:eastAsia="Calibri" w:hAnsi="Century Gothic" w:cs="Arial"/>
          <w:sz w:val="22"/>
          <w:szCs w:val="22"/>
          <w:lang w:val="es-CO"/>
        </w:rPr>
        <w:t xml:space="preserve"> </w:t>
      </w:r>
      <w:r w:rsidR="00FE1D78" w:rsidRPr="00A0108E">
        <w:rPr>
          <w:rFonts w:ascii="Century Gothic" w:eastAsia="Calibri" w:hAnsi="Century Gothic" w:cs="Arial"/>
          <w:sz w:val="22"/>
          <w:szCs w:val="22"/>
          <w:lang w:val="es-CO"/>
        </w:rPr>
        <w:t>Gonzalez (q.e.p.d)</w:t>
      </w:r>
      <w:r w:rsidRPr="00A0108E">
        <w:rPr>
          <w:rFonts w:ascii="Century Gothic" w:eastAsia="Calibri" w:hAnsi="Century Gothic" w:cs="Arial"/>
          <w:sz w:val="22"/>
          <w:szCs w:val="22"/>
          <w:lang w:val="es-CO"/>
        </w:rPr>
        <w:t xml:space="preserve">, no se encuentra amparada por cuanto no se cumplió con lo establecido en las disposiciones legales antes citadas, teniendo en cuenta que al momento de ingreso a la póliza, el cual se constituye con el desembolso del crédito, ya había presentado en tiempo anterior la condición </w:t>
      </w:r>
      <w:r w:rsidR="007826C2" w:rsidRPr="00A0108E">
        <w:rPr>
          <w:rFonts w:ascii="Century Gothic" w:eastAsia="Calibri" w:hAnsi="Century Gothic" w:cs="Arial"/>
          <w:sz w:val="22"/>
          <w:szCs w:val="22"/>
          <w:lang w:val="es-CO"/>
        </w:rPr>
        <w:t xml:space="preserve">de </w:t>
      </w:r>
      <w:r w:rsidR="007826C2" w:rsidRPr="007826C2">
        <w:rPr>
          <w:rFonts w:ascii="Century Gothic" w:eastAsia="Calibri" w:hAnsi="Century Gothic" w:cs="Arial"/>
          <w:i/>
          <w:iCs/>
          <w:sz w:val="22"/>
          <w:szCs w:val="22"/>
          <w:lang w:val="es-CO"/>
        </w:rPr>
        <w:t>hipertensión arterial</w:t>
      </w:r>
      <w:r w:rsidR="007826C2" w:rsidRPr="00A0108E">
        <w:rPr>
          <w:rFonts w:ascii="Century Gothic" w:eastAsia="Calibri" w:hAnsi="Century Gothic" w:cs="Arial"/>
          <w:i/>
          <w:iCs/>
          <w:sz w:val="22"/>
          <w:szCs w:val="22"/>
          <w:lang w:val="es-CO"/>
        </w:rPr>
        <w:t xml:space="preserve"> -</w:t>
      </w:r>
      <w:r w:rsidR="007826C2" w:rsidRPr="007826C2">
        <w:rPr>
          <w:rFonts w:ascii="Century Gothic" w:eastAsia="Calibri" w:hAnsi="Century Gothic" w:cs="Arial"/>
          <w:i/>
          <w:iCs/>
          <w:sz w:val="22"/>
          <w:szCs w:val="22"/>
          <w:lang w:val="es-CO"/>
        </w:rPr>
        <w:t>Tromboembolismo pulmonar</w:t>
      </w:r>
      <w:r w:rsidR="007826C2" w:rsidRPr="00A0108E">
        <w:rPr>
          <w:rFonts w:ascii="Century Gothic" w:eastAsia="Calibri" w:hAnsi="Century Gothic" w:cs="Arial"/>
          <w:i/>
          <w:iCs/>
          <w:sz w:val="22"/>
          <w:szCs w:val="22"/>
          <w:lang w:val="es-CO"/>
        </w:rPr>
        <w:t xml:space="preserve"> y </w:t>
      </w:r>
      <w:r w:rsidR="007826C2" w:rsidRPr="00A0108E">
        <w:rPr>
          <w:rFonts w:ascii="Century Gothic" w:eastAsia="Calibri" w:hAnsi="Century Gothic" w:cs="Arial"/>
          <w:i/>
          <w:iCs/>
          <w:sz w:val="22"/>
          <w:szCs w:val="22"/>
          <w:lang w:val="es-CO"/>
        </w:rPr>
        <w:t>Carcinoma urotelial papilar de alto grado in situ de vejiga T1G3 marzo de 201</w:t>
      </w:r>
      <w:r w:rsidR="007826C2" w:rsidRPr="00A0108E">
        <w:rPr>
          <w:rFonts w:ascii="Century Gothic" w:eastAsia="Calibri" w:hAnsi="Century Gothic" w:cs="Arial"/>
          <w:i/>
          <w:iCs/>
          <w:sz w:val="22"/>
          <w:szCs w:val="22"/>
          <w:lang w:val="es-CO"/>
        </w:rPr>
        <w:t xml:space="preserve">7, entonces </w:t>
      </w:r>
      <w:r w:rsidRPr="00A0108E">
        <w:rPr>
          <w:rFonts w:ascii="Century Gothic" w:eastAsia="Calibri" w:hAnsi="Century Gothic" w:cs="Arial"/>
          <w:sz w:val="22"/>
          <w:szCs w:val="22"/>
          <w:lang w:val="es-CO"/>
        </w:rPr>
        <w:t xml:space="preserve">no declaró sinceramente el estado de salud con el cual ingresaba al seguro vida deudores, al no informar los antecedentes médicos antes citados, en los formularios propuestos para el ingreso a la póliza, lo que indica que incurrió en reticencia de la información. Por tanto, LA EQUIDAD SEGUROS DE VIDA O.C. se declaró exonerada legalmente de toda responsabilidad por la reclamación presentada con motivo </w:t>
      </w:r>
      <w:r w:rsidR="00A05873" w:rsidRPr="00A0108E">
        <w:rPr>
          <w:rFonts w:ascii="Century Gothic" w:eastAsia="Calibri" w:hAnsi="Century Gothic" w:cs="Arial"/>
          <w:sz w:val="22"/>
          <w:szCs w:val="22"/>
          <w:lang w:val="es-CO"/>
        </w:rPr>
        <w:t>de la muerte de</w:t>
      </w:r>
      <w:r w:rsidRPr="00A0108E">
        <w:rPr>
          <w:rFonts w:ascii="Century Gothic" w:eastAsia="Calibri" w:hAnsi="Century Gothic" w:cs="Arial"/>
          <w:sz w:val="22"/>
          <w:szCs w:val="22"/>
          <w:lang w:val="es-CO"/>
        </w:rPr>
        <w:t xml:space="preserve"> la señora </w:t>
      </w:r>
      <w:r w:rsidR="00A05873" w:rsidRPr="00A0108E">
        <w:rPr>
          <w:rFonts w:ascii="Century Gothic" w:eastAsia="Calibri" w:hAnsi="Century Gothic" w:cs="Arial"/>
          <w:sz w:val="22"/>
          <w:szCs w:val="22"/>
          <w:lang w:val="es-CO"/>
        </w:rPr>
        <w:t>Ligia Gonzalez (q.e.p.d).</w:t>
      </w:r>
    </w:p>
    <w:p w14:paraId="1BFA8729"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751FEB89" w14:textId="36A30D26" w:rsidR="00E0774A" w:rsidRPr="00A0108E" w:rsidRDefault="00E0774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b/>
          <w:sz w:val="22"/>
          <w:szCs w:val="22"/>
          <w:lang w:val="es-CO"/>
        </w:rPr>
        <w:t>DECIMO:</w:t>
      </w:r>
      <w:r w:rsidRPr="00A0108E">
        <w:rPr>
          <w:rFonts w:ascii="Century Gothic" w:eastAsia="Calibri" w:hAnsi="Century Gothic" w:cs="Arial"/>
          <w:sz w:val="22"/>
          <w:szCs w:val="22"/>
          <w:lang w:val="es-CO"/>
        </w:rPr>
        <w:t xml:space="preserve"> </w:t>
      </w:r>
      <w:r w:rsidR="00C304A0" w:rsidRPr="00A0108E">
        <w:rPr>
          <w:rFonts w:ascii="Century Gothic" w:eastAsia="Calibri" w:hAnsi="Century Gothic" w:cs="Arial"/>
          <w:sz w:val="22"/>
          <w:szCs w:val="22"/>
          <w:lang w:val="es-CO"/>
        </w:rPr>
        <w:t xml:space="preserve">No es cierto que la nota medica no sea referente a la señora LIGIA GONZALEZ, por cuanto lo aquí anotado: </w:t>
      </w:r>
    </w:p>
    <w:p w14:paraId="3DA98E59" w14:textId="77777777" w:rsidR="00473B4D" w:rsidRPr="00A0108E" w:rsidRDefault="00473B4D" w:rsidP="00E0774A">
      <w:pPr>
        <w:autoSpaceDE w:val="0"/>
        <w:autoSpaceDN w:val="0"/>
        <w:adjustRightInd w:val="0"/>
        <w:jc w:val="both"/>
        <w:rPr>
          <w:rFonts w:ascii="Century Gothic" w:eastAsia="Calibri" w:hAnsi="Century Gothic" w:cs="Arial"/>
          <w:sz w:val="22"/>
          <w:szCs w:val="22"/>
          <w:lang w:val="es-CO"/>
        </w:rPr>
      </w:pPr>
    </w:p>
    <w:p w14:paraId="7939D44A" w14:textId="77777777" w:rsidR="00C304A0" w:rsidRPr="00A0108E" w:rsidRDefault="00473B4D"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"Jhon Larry Castañeda: 51 años", seguido de un diagnóstico de Carcinoma urotelial papilar de alto grado in situ de vejiga, diagnosticado en marzo de 2017. </w:t>
      </w:r>
    </w:p>
    <w:p w14:paraId="130342B6" w14:textId="77777777" w:rsidR="00C304A0" w:rsidRPr="00A0108E" w:rsidRDefault="00C304A0" w:rsidP="00E0774A">
      <w:pPr>
        <w:autoSpaceDE w:val="0"/>
        <w:autoSpaceDN w:val="0"/>
        <w:adjustRightInd w:val="0"/>
        <w:jc w:val="both"/>
        <w:rPr>
          <w:rFonts w:ascii="Century Gothic" w:eastAsia="Calibri" w:hAnsi="Century Gothic" w:cs="Arial"/>
          <w:sz w:val="22"/>
          <w:szCs w:val="22"/>
        </w:rPr>
      </w:pPr>
    </w:p>
    <w:p w14:paraId="2B583B70" w14:textId="478E84E6" w:rsidR="00473B4D" w:rsidRPr="00A0108E" w:rsidRDefault="00C304A0"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Véase:</w:t>
      </w:r>
      <w:r w:rsidR="00D01065" w:rsidRPr="00A0108E">
        <w:rPr>
          <w:rFonts w:ascii="Century Gothic" w:eastAsia="Calibri" w:hAnsi="Century Gothic" w:cs="Arial"/>
          <w:sz w:val="22"/>
          <w:szCs w:val="22"/>
        </w:rPr>
        <w:t xml:space="preserve"> que en la parte superior indica el nombre de la señora LIGIA GONZALEZ (q.e.p.d) y la nota hace referencia al </w:t>
      </w:r>
      <w:r w:rsidR="002105EE" w:rsidRPr="00A0108E">
        <w:rPr>
          <w:rFonts w:ascii="Century Gothic" w:eastAsia="Calibri" w:hAnsi="Century Gothic" w:cs="Arial"/>
          <w:sz w:val="22"/>
          <w:szCs w:val="22"/>
        </w:rPr>
        <w:t>médico</w:t>
      </w:r>
      <w:r w:rsidR="00D01065" w:rsidRPr="00A0108E">
        <w:rPr>
          <w:rFonts w:ascii="Century Gothic" w:eastAsia="Calibri" w:hAnsi="Century Gothic" w:cs="Arial"/>
          <w:sz w:val="22"/>
          <w:szCs w:val="22"/>
        </w:rPr>
        <w:t xml:space="preserve"> tratante.</w:t>
      </w:r>
    </w:p>
    <w:p w14:paraId="50DD69BB" w14:textId="2811007F" w:rsidR="00D01065" w:rsidRPr="00A0108E" w:rsidRDefault="00F75073"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t xml:space="preserve"> </w:t>
      </w:r>
      <w:r w:rsidR="00D01065" w:rsidRPr="00A0108E">
        <w:rPr>
          <w:rFonts w:ascii="Century Gothic" w:hAnsi="Century Gothic"/>
          <w:noProof/>
          <w:sz w:val="22"/>
          <w:szCs w:val="22"/>
        </w:rPr>
        <w:drawing>
          <wp:inline distT="0" distB="0" distL="0" distR="0" wp14:anchorId="3E65838F" wp14:editId="07415172">
            <wp:extent cx="5612130" cy="2562225"/>
            <wp:effectExtent l="0" t="0" r="7620" b="9525"/>
            <wp:docPr id="13289736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973624" name=""/>
                    <pic:cNvPicPr/>
                  </pic:nvPicPr>
                  <pic:blipFill>
                    <a:blip r:embed="rId18"/>
                    <a:stretch>
                      <a:fillRect/>
                    </a:stretch>
                  </pic:blipFill>
                  <pic:spPr>
                    <a:xfrm>
                      <a:off x="0" y="0"/>
                      <a:ext cx="5612130" cy="2562225"/>
                    </a:xfrm>
                    <a:prstGeom prst="rect">
                      <a:avLst/>
                    </a:prstGeom>
                  </pic:spPr>
                </pic:pic>
              </a:graphicData>
            </a:graphic>
          </wp:inline>
        </w:drawing>
      </w:r>
    </w:p>
    <w:p w14:paraId="41D0990D" w14:textId="698BCF02" w:rsidR="00D01065" w:rsidRPr="00A0108E" w:rsidRDefault="00D01065"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De todas formas señor delegado en caso que esta historia clinica, no fuera de la señor LIGIA GONZALEZ (q.</w:t>
      </w:r>
      <w:proofErr w:type="gramStart"/>
      <w:r w:rsidRPr="00A0108E">
        <w:rPr>
          <w:rFonts w:ascii="Century Gothic" w:eastAsia="Calibri" w:hAnsi="Century Gothic" w:cs="Arial"/>
          <w:sz w:val="22"/>
          <w:szCs w:val="22"/>
        </w:rPr>
        <w:t>e.pd</w:t>
      </w:r>
      <w:proofErr w:type="gramEnd"/>
      <w:r w:rsidRPr="00A0108E">
        <w:rPr>
          <w:rFonts w:ascii="Century Gothic" w:eastAsia="Calibri" w:hAnsi="Century Gothic" w:cs="Arial"/>
          <w:sz w:val="22"/>
          <w:szCs w:val="22"/>
        </w:rPr>
        <w:t xml:space="preserve">), </w:t>
      </w:r>
      <w:r w:rsidR="002105EE" w:rsidRPr="00A0108E">
        <w:rPr>
          <w:rFonts w:ascii="Century Gothic" w:eastAsia="Calibri" w:hAnsi="Century Gothic" w:cs="Arial"/>
          <w:sz w:val="22"/>
          <w:szCs w:val="22"/>
        </w:rPr>
        <w:t>lo que debió de haber hecho la aquí demandante es solicitar corrección, o aclaración a la entidad Hospitalaria Con alma Pablo Tobón Uribe.</w:t>
      </w:r>
    </w:p>
    <w:p w14:paraId="0B927C0C" w14:textId="77777777" w:rsidR="00473B4D" w:rsidRPr="00A0108E" w:rsidRDefault="00473B4D" w:rsidP="00E0774A">
      <w:pPr>
        <w:autoSpaceDE w:val="0"/>
        <w:autoSpaceDN w:val="0"/>
        <w:adjustRightInd w:val="0"/>
        <w:jc w:val="both"/>
        <w:rPr>
          <w:rFonts w:ascii="Century Gothic" w:eastAsia="Calibri" w:hAnsi="Century Gothic" w:cs="Arial"/>
          <w:b/>
          <w:bCs/>
          <w:sz w:val="22"/>
          <w:szCs w:val="22"/>
        </w:rPr>
      </w:pPr>
    </w:p>
    <w:p w14:paraId="347D5D5E" w14:textId="2EC6F295" w:rsidR="003C3754" w:rsidRPr="00A0108E" w:rsidRDefault="00473B4D"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b/>
          <w:bCs/>
          <w:sz w:val="22"/>
          <w:szCs w:val="22"/>
        </w:rPr>
        <w:t>DECIMO PRIMERO.</w:t>
      </w:r>
      <w:r w:rsidRPr="00A0108E">
        <w:rPr>
          <w:rFonts w:ascii="Century Gothic" w:eastAsia="Calibri" w:hAnsi="Century Gothic" w:cs="Arial"/>
          <w:sz w:val="22"/>
          <w:szCs w:val="22"/>
        </w:rPr>
        <w:t xml:space="preserve"> </w:t>
      </w:r>
      <w:r w:rsidR="003C3754" w:rsidRPr="00A0108E">
        <w:rPr>
          <w:rFonts w:ascii="Century Gothic" w:eastAsia="Calibri" w:hAnsi="Century Gothic" w:cs="Arial"/>
          <w:sz w:val="22"/>
          <w:szCs w:val="22"/>
        </w:rPr>
        <w:t>No es cierto que,</w:t>
      </w:r>
      <w:r w:rsidRPr="00A0108E">
        <w:rPr>
          <w:rFonts w:ascii="Century Gothic" w:eastAsia="Calibri" w:hAnsi="Century Gothic" w:cs="Arial"/>
          <w:sz w:val="22"/>
          <w:szCs w:val="22"/>
        </w:rPr>
        <w:t xml:space="preserve"> en ningún momento se </w:t>
      </w:r>
      <w:r w:rsidR="003C3754" w:rsidRPr="00A0108E">
        <w:rPr>
          <w:rFonts w:ascii="Century Gothic" w:eastAsia="Calibri" w:hAnsi="Century Gothic" w:cs="Arial"/>
          <w:sz w:val="22"/>
          <w:szCs w:val="22"/>
        </w:rPr>
        <w:t xml:space="preserve">le </w:t>
      </w:r>
      <w:r w:rsidRPr="00A0108E">
        <w:rPr>
          <w:rFonts w:ascii="Century Gothic" w:eastAsia="Calibri" w:hAnsi="Century Gothic" w:cs="Arial"/>
          <w:sz w:val="22"/>
          <w:szCs w:val="22"/>
        </w:rPr>
        <w:t>proporcionó a</w:t>
      </w:r>
      <w:r w:rsidR="003C3754"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l</w:t>
      </w:r>
      <w:r w:rsidR="003C3754" w:rsidRPr="00A0108E">
        <w:rPr>
          <w:rFonts w:ascii="Century Gothic" w:eastAsia="Calibri" w:hAnsi="Century Gothic" w:cs="Arial"/>
          <w:sz w:val="22"/>
          <w:szCs w:val="22"/>
        </w:rPr>
        <w:t>a</w:t>
      </w:r>
      <w:r w:rsidRPr="00A0108E">
        <w:rPr>
          <w:rFonts w:ascii="Century Gothic" w:eastAsia="Calibri" w:hAnsi="Century Gothic" w:cs="Arial"/>
          <w:sz w:val="22"/>
          <w:szCs w:val="22"/>
        </w:rPr>
        <w:t xml:space="preserve"> asegurad</w:t>
      </w:r>
      <w:r w:rsidR="003C3754" w:rsidRPr="00A0108E">
        <w:rPr>
          <w:rFonts w:ascii="Century Gothic" w:eastAsia="Calibri" w:hAnsi="Century Gothic" w:cs="Arial"/>
          <w:sz w:val="22"/>
          <w:szCs w:val="22"/>
        </w:rPr>
        <w:t>a</w:t>
      </w:r>
      <w:r w:rsidRPr="00A0108E">
        <w:rPr>
          <w:rFonts w:ascii="Century Gothic" w:eastAsia="Calibri" w:hAnsi="Century Gothic" w:cs="Arial"/>
          <w:sz w:val="22"/>
          <w:szCs w:val="22"/>
        </w:rPr>
        <w:t xml:space="preserve"> la información necesaria para el correcto diligenciamiento de la Declaración de Asegurabilidad</w:t>
      </w:r>
      <w:r w:rsidR="003C3754" w:rsidRPr="00A0108E">
        <w:rPr>
          <w:rFonts w:ascii="Century Gothic" w:eastAsia="Calibri" w:hAnsi="Century Gothic" w:cs="Arial"/>
          <w:sz w:val="22"/>
          <w:szCs w:val="22"/>
        </w:rPr>
        <w:t xml:space="preserve">, pues téngase en cuenta que de las solicitudes que cuenta BANCOOMEVA, existe una declaración de fecha </w:t>
      </w:r>
      <w:r w:rsidR="00F75073" w:rsidRPr="00A0108E">
        <w:rPr>
          <w:rFonts w:ascii="Century Gothic" w:eastAsia="Calibri" w:hAnsi="Century Gothic" w:cs="Arial"/>
          <w:sz w:val="22"/>
          <w:szCs w:val="22"/>
        </w:rPr>
        <w:t xml:space="preserve">de fecha 9 de septiembre </w:t>
      </w:r>
      <w:r w:rsidR="00F75073" w:rsidRPr="00A0108E">
        <w:rPr>
          <w:rFonts w:ascii="Century Gothic" w:eastAsia="Calibri" w:hAnsi="Century Gothic" w:cs="Arial"/>
          <w:sz w:val="22"/>
          <w:szCs w:val="22"/>
        </w:rPr>
        <w:lastRenderedPageBreak/>
        <w:t>de 2017, donde si informo la hipertensión</w:t>
      </w:r>
      <w:r w:rsidR="00C33EC6" w:rsidRPr="00A0108E">
        <w:rPr>
          <w:rFonts w:ascii="Century Gothic" w:eastAsia="Calibri" w:hAnsi="Century Gothic" w:cs="Arial"/>
          <w:sz w:val="22"/>
          <w:szCs w:val="22"/>
        </w:rPr>
        <w:t xml:space="preserve">, por lo que ahora no se puede intentar decir que mi representada no le </w:t>
      </w:r>
      <w:r w:rsidR="007F0D23" w:rsidRPr="00A0108E">
        <w:rPr>
          <w:rFonts w:ascii="Century Gothic" w:eastAsia="Calibri" w:hAnsi="Century Gothic" w:cs="Arial"/>
          <w:sz w:val="22"/>
          <w:szCs w:val="22"/>
        </w:rPr>
        <w:t>proporcionó</w:t>
      </w:r>
      <w:r w:rsidR="00C33EC6" w:rsidRPr="00A0108E">
        <w:rPr>
          <w:rFonts w:ascii="Century Gothic" w:eastAsia="Calibri" w:hAnsi="Century Gothic" w:cs="Arial"/>
          <w:sz w:val="22"/>
          <w:szCs w:val="22"/>
        </w:rPr>
        <w:t xml:space="preserve"> información de </w:t>
      </w:r>
      <w:r w:rsidR="007F0D23" w:rsidRPr="00A0108E">
        <w:rPr>
          <w:rFonts w:ascii="Century Gothic" w:eastAsia="Calibri" w:hAnsi="Century Gothic" w:cs="Arial"/>
          <w:sz w:val="22"/>
          <w:szCs w:val="22"/>
        </w:rPr>
        <w:t>cómo</w:t>
      </w:r>
      <w:r w:rsidR="00C33EC6" w:rsidRPr="00A0108E">
        <w:rPr>
          <w:rFonts w:ascii="Century Gothic" w:eastAsia="Calibri" w:hAnsi="Century Gothic" w:cs="Arial"/>
          <w:sz w:val="22"/>
          <w:szCs w:val="22"/>
        </w:rPr>
        <w:t xml:space="preserve"> se debía diligenciar la declaración de </w:t>
      </w:r>
      <w:r w:rsidR="007F0D23" w:rsidRPr="00A0108E">
        <w:rPr>
          <w:rFonts w:ascii="Century Gothic" w:eastAsia="Calibri" w:hAnsi="Century Gothic" w:cs="Arial"/>
          <w:sz w:val="22"/>
          <w:szCs w:val="22"/>
        </w:rPr>
        <w:t>asegurabilidad</w:t>
      </w:r>
      <w:r w:rsidR="00C33EC6" w:rsidRPr="00A0108E">
        <w:rPr>
          <w:rFonts w:ascii="Century Gothic" w:eastAsia="Calibri" w:hAnsi="Century Gothic" w:cs="Arial"/>
          <w:sz w:val="22"/>
          <w:szCs w:val="22"/>
        </w:rPr>
        <w:t>.</w:t>
      </w:r>
    </w:p>
    <w:p w14:paraId="5E934C41" w14:textId="2276441E" w:rsidR="00F75073" w:rsidRPr="00A0108E" w:rsidRDefault="00F75073"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2E1FEB8C" wp14:editId="0CC9E5E1">
            <wp:extent cx="5343525" cy="5429250"/>
            <wp:effectExtent l="0" t="0" r="9525" b="0"/>
            <wp:docPr id="608986410"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986410" name="Imagen 1" descr="Texto&#10;&#10;El contenido generado por IA puede ser incorrecto."/>
                    <pic:cNvPicPr/>
                  </pic:nvPicPr>
                  <pic:blipFill>
                    <a:blip r:embed="rId19"/>
                    <a:stretch>
                      <a:fillRect/>
                    </a:stretch>
                  </pic:blipFill>
                  <pic:spPr>
                    <a:xfrm>
                      <a:off x="0" y="0"/>
                      <a:ext cx="5343525" cy="5429250"/>
                    </a:xfrm>
                    <a:prstGeom prst="rect">
                      <a:avLst/>
                    </a:prstGeom>
                  </pic:spPr>
                </pic:pic>
              </a:graphicData>
            </a:graphic>
          </wp:inline>
        </w:drawing>
      </w:r>
    </w:p>
    <w:p w14:paraId="5ACDA209" w14:textId="77777777" w:rsidR="00F75073" w:rsidRPr="00A0108E" w:rsidRDefault="00F75073" w:rsidP="00E0774A">
      <w:pPr>
        <w:autoSpaceDE w:val="0"/>
        <w:autoSpaceDN w:val="0"/>
        <w:adjustRightInd w:val="0"/>
        <w:jc w:val="both"/>
        <w:rPr>
          <w:rFonts w:ascii="Century Gothic" w:eastAsia="Calibri" w:hAnsi="Century Gothic" w:cs="Arial"/>
          <w:sz w:val="22"/>
          <w:szCs w:val="22"/>
        </w:rPr>
      </w:pPr>
    </w:p>
    <w:p w14:paraId="0718A2FB" w14:textId="10AA8AF0" w:rsidR="00F75073" w:rsidRPr="00A0108E" w:rsidRDefault="007F0D23"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La declaración de fecha 5 octubre de 2022, no indico padecer de hipertensión</w:t>
      </w:r>
      <w:r w:rsidR="00950EDC" w:rsidRPr="00A0108E">
        <w:rPr>
          <w:rFonts w:ascii="Century Gothic" w:eastAsia="Calibri" w:hAnsi="Century Gothic" w:cs="Arial"/>
          <w:sz w:val="22"/>
          <w:szCs w:val="22"/>
        </w:rPr>
        <w:t>,</w:t>
      </w:r>
      <w:r w:rsidRPr="00A0108E">
        <w:rPr>
          <w:rFonts w:ascii="Century Gothic" w:eastAsia="Calibri" w:hAnsi="Century Gothic" w:cs="Arial"/>
          <w:sz w:val="22"/>
          <w:szCs w:val="22"/>
        </w:rPr>
        <w:t xml:space="preserve"> </w:t>
      </w:r>
      <w:r w:rsidR="00950EDC" w:rsidRPr="00A0108E">
        <w:rPr>
          <w:rFonts w:ascii="Century Gothic" w:eastAsia="Calibri" w:hAnsi="Century Gothic" w:cs="Arial"/>
          <w:sz w:val="22"/>
          <w:szCs w:val="22"/>
        </w:rPr>
        <w:t>ni</w:t>
      </w:r>
      <w:r w:rsidRPr="00A0108E">
        <w:rPr>
          <w:rFonts w:ascii="Century Gothic" w:eastAsia="Calibri" w:hAnsi="Century Gothic" w:cs="Arial"/>
          <w:sz w:val="22"/>
          <w:szCs w:val="22"/>
        </w:rPr>
        <w:t xml:space="preserve"> de </w:t>
      </w:r>
      <w:r w:rsidR="00950EDC" w:rsidRPr="00A0108E">
        <w:rPr>
          <w:rFonts w:ascii="Century Gothic" w:eastAsia="Calibri" w:hAnsi="Century Gothic" w:cs="Arial"/>
          <w:sz w:val="22"/>
          <w:szCs w:val="22"/>
        </w:rPr>
        <w:t>cáncer</w:t>
      </w:r>
      <w:r w:rsidRPr="00A0108E">
        <w:rPr>
          <w:rFonts w:ascii="Century Gothic" w:eastAsia="Calibri" w:hAnsi="Century Gothic" w:cs="Arial"/>
          <w:sz w:val="22"/>
          <w:szCs w:val="22"/>
        </w:rPr>
        <w:t>.</w:t>
      </w:r>
    </w:p>
    <w:p w14:paraId="172405B4" w14:textId="73D66108" w:rsidR="00F75073" w:rsidRPr="00A0108E" w:rsidRDefault="00F75073"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lastRenderedPageBreak/>
        <w:drawing>
          <wp:inline distT="0" distB="0" distL="0" distR="0" wp14:anchorId="02556912" wp14:editId="0E2F618F">
            <wp:extent cx="5612130" cy="3596640"/>
            <wp:effectExtent l="0" t="0" r="7620" b="3810"/>
            <wp:docPr id="2789175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17537" name=""/>
                    <pic:cNvPicPr/>
                  </pic:nvPicPr>
                  <pic:blipFill>
                    <a:blip r:embed="rId20"/>
                    <a:stretch>
                      <a:fillRect/>
                    </a:stretch>
                  </pic:blipFill>
                  <pic:spPr>
                    <a:xfrm>
                      <a:off x="0" y="0"/>
                      <a:ext cx="5612130" cy="3596640"/>
                    </a:xfrm>
                    <a:prstGeom prst="rect">
                      <a:avLst/>
                    </a:prstGeom>
                  </pic:spPr>
                </pic:pic>
              </a:graphicData>
            </a:graphic>
          </wp:inline>
        </w:drawing>
      </w:r>
    </w:p>
    <w:p w14:paraId="7CF2D7F4" w14:textId="77777777" w:rsidR="003C3754" w:rsidRPr="00A0108E" w:rsidRDefault="003C3754" w:rsidP="00E0774A">
      <w:pPr>
        <w:autoSpaceDE w:val="0"/>
        <w:autoSpaceDN w:val="0"/>
        <w:adjustRightInd w:val="0"/>
        <w:jc w:val="both"/>
        <w:rPr>
          <w:rFonts w:ascii="Century Gothic" w:eastAsia="Calibri" w:hAnsi="Century Gothic" w:cs="Arial"/>
          <w:sz w:val="22"/>
          <w:szCs w:val="22"/>
        </w:rPr>
      </w:pPr>
    </w:p>
    <w:p w14:paraId="33C43B9D" w14:textId="0A786AE9" w:rsidR="00C46575" w:rsidRPr="00A0108E" w:rsidRDefault="007F0D23"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No es cierto que, l</w:t>
      </w:r>
      <w:r w:rsidR="00473B4D" w:rsidRPr="00A0108E">
        <w:rPr>
          <w:rFonts w:ascii="Century Gothic" w:eastAsia="Calibri" w:hAnsi="Century Gothic" w:cs="Arial"/>
          <w:sz w:val="22"/>
          <w:szCs w:val="22"/>
        </w:rPr>
        <w:t>os funcionarios de la entidad no advirtieron a la señora LIGIA GONZÁLEZ CASTAÑEDA</w:t>
      </w:r>
      <w:r w:rsidRPr="00A0108E">
        <w:rPr>
          <w:rFonts w:ascii="Century Gothic" w:eastAsia="Calibri" w:hAnsi="Century Gothic" w:cs="Arial"/>
          <w:sz w:val="22"/>
          <w:szCs w:val="22"/>
        </w:rPr>
        <w:t xml:space="preserve"> (q.e.p.d</w:t>
      </w:r>
      <w:r w:rsidR="001C265E" w:rsidRPr="00A0108E">
        <w:rPr>
          <w:rFonts w:ascii="Century Gothic" w:eastAsia="Calibri" w:hAnsi="Century Gothic" w:cs="Arial"/>
          <w:sz w:val="22"/>
          <w:szCs w:val="22"/>
        </w:rPr>
        <w:t>) sobre</w:t>
      </w:r>
      <w:r w:rsidR="00473B4D" w:rsidRPr="00A0108E">
        <w:rPr>
          <w:rFonts w:ascii="Century Gothic" w:eastAsia="Calibri" w:hAnsi="Century Gothic" w:cs="Arial"/>
          <w:sz w:val="22"/>
          <w:szCs w:val="22"/>
        </w:rPr>
        <w:t xml:space="preserve"> la importancia del seguro ni sobre la relevancia de sus condiciones de salud en relación con el siniestro, </w:t>
      </w:r>
      <w:r w:rsidR="00C46575" w:rsidRPr="00A0108E">
        <w:rPr>
          <w:rFonts w:ascii="Century Gothic" w:eastAsia="Calibri" w:hAnsi="Century Gothic" w:cs="Arial"/>
          <w:sz w:val="22"/>
          <w:szCs w:val="22"/>
        </w:rPr>
        <w:t xml:space="preserve">porque la señora LIGIA (q.e.p.d), sabia leer, </w:t>
      </w:r>
      <w:r w:rsidR="00E33273" w:rsidRPr="00A0108E">
        <w:rPr>
          <w:rFonts w:ascii="Century Gothic" w:eastAsia="Calibri" w:hAnsi="Century Gothic" w:cs="Arial"/>
          <w:sz w:val="22"/>
          <w:szCs w:val="22"/>
        </w:rPr>
        <w:t xml:space="preserve">pues su profesión es docente, indico su información, y </w:t>
      </w:r>
      <w:r w:rsidR="006759D0" w:rsidRPr="00A0108E">
        <w:rPr>
          <w:rFonts w:ascii="Century Gothic" w:eastAsia="Calibri" w:hAnsi="Century Gothic" w:cs="Arial"/>
          <w:sz w:val="22"/>
          <w:szCs w:val="22"/>
        </w:rPr>
        <w:t xml:space="preserve">firmo la declaración de </w:t>
      </w:r>
      <w:r w:rsidR="001C265E" w:rsidRPr="00A0108E">
        <w:rPr>
          <w:rFonts w:ascii="Century Gothic" w:eastAsia="Calibri" w:hAnsi="Century Gothic" w:cs="Arial"/>
          <w:sz w:val="22"/>
          <w:szCs w:val="22"/>
        </w:rPr>
        <w:t>asegurabilidad</w:t>
      </w:r>
      <w:r w:rsidR="00E33273" w:rsidRPr="00A0108E">
        <w:rPr>
          <w:rFonts w:ascii="Century Gothic" w:eastAsia="Calibri" w:hAnsi="Century Gothic" w:cs="Arial"/>
          <w:sz w:val="22"/>
          <w:szCs w:val="22"/>
        </w:rPr>
        <w:t xml:space="preserve">. </w:t>
      </w:r>
      <w:r w:rsidR="00473B4D" w:rsidRPr="00A0108E">
        <w:rPr>
          <w:rFonts w:ascii="Century Gothic" w:eastAsia="Calibri" w:hAnsi="Century Gothic" w:cs="Arial"/>
          <w:sz w:val="22"/>
          <w:szCs w:val="22"/>
        </w:rPr>
        <w:t xml:space="preserve"> </w:t>
      </w:r>
    </w:p>
    <w:p w14:paraId="15D281FB" w14:textId="77777777" w:rsidR="00C46575" w:rsidRPr="00A0108E" w:rsidRDefault="00C46575" w:rsidP="00E0774A">
      <w:pPr>
        <w:autoSpaceDE w:val="0"/>
        <w:autoSpaceDN w:val="0"/>
        <w:adjustRightInd w:val="0"/>
        <w:jc w:val="both"/>
        <w:rPr>
          <w:rFonts w:ascii="Century Gothic" w:eastAsia="Calibri" w:hAnsi="Century Gothic" w:cs="Arial"/>
          <w:sz w:val="22"/>
          <w:szCs w:val="22"/>
        </w:rPr>
      </w:pPr>
    </w:p>
    <w:p w14:paraId="55676796" w14:textId="53031A07" w:rsidR="00473B4D" w:rsidRPr="00A0108E" w:rsidRDefault="00402DE8"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Respecto a que mi </w:t>
      </w:r>
      <w:r w:rsidR="001C265E" w:rsidRPr="00A0108E">
        <w:rPr>
          <w:rFonts w:ascii="Century Gothic" w:eastAsia="Calibri" w:hAnsi="Century Gothic" w:cs="Arial"/>
          <w:sz w:val="22"/>
          <w:szCs w:val="22"/>
        </w:rPr>
        <w:t>representada</w:t>
      </w:r>
      <w:r w:rsidR="00473B4D" w:rsidRPr="00A0108E">
        <w:rPr>
          <w:rFonts w:ascii="Century Gothic" w:eastAsia="Calibri" w:hAnsi="Century Gothic" w:cs="Arial"/>
          <w:sz w:val="22"/>
          <w:szCs w:val="22"/>
        </w:rPr>
        <w:t xml:space="preserve">, </w:t>
      </w:r>
      <w:r w:rsidR="001C265E" w:rsidRPr="00A0108E">
        <w:rPr>
          <w:rFonts w:ascii="Century Gothic" w:eastAsia="Calibri" w:hAnsi="Century Gothic" w:cs="Arial"/>
          <w:sz w:val="22"/>
          <w:szCs w:val="22"/>
        </w:rPr>
        <w:t>no indagó</w:t>
      </w:r>
      <w:r w:rsidR="00473B4D" w:rsidRPr="00A0108E">
        <w:rPr>
          <w:rFonts w:ascii="Century Gothic" w:eastAsia="Calibri" w:hAnsi="Century Gothic" w:cs="Arial"/>
          <w:sz w:val="22"/>
          <w:szCs w:val="22"/>
        </w:rPr>
        <w:t xml:space="preserve"> sobre </w:t>
      </w:r>
      <w:r w:rsidR="001C265E" w:rsidRPr="00A0108E">
        <w:rPr>
          <w:rFonts w:ascii="Century Gothic" w:eastAsia="Calibri" w:hAnsi="Century Gothic" w:cs="Arial"/>
          <w:sz w:val="22"/>
          <w:szCs w:val="22"/>
        </w:rPr>
        <w:t>el</w:t>
      </w:r>
      <w:r w:rsidR="00473B4D" w:rsidRPr="00A0108E">
        <w:rPr>
          <w:rFonts w:ascii="Century Gothic" w:eastAsia="Calibri" w:hAnsi="Century Gothic" w:cs="Arial"/>
          <w:sz w:val="22"/>
          <w:szCs w:val="22"/>
        </w:rPr>
        <w:t xml:space="preserve"> historial médico</w:t>
      </w:r>
      <w:r w:rsidR="001C265E" w:rsidRPr="00A0108E">
        <w:rPr>
          <w:rFonts w:ascii="Century Gothic" w:eastAsia="Calibri" w:hAnsi="Century Gothic" w:cs="Arial"/>
          <w:sz w:val="22"/>
          <w:szCs w:val="22"/>
        </w:rPr>
        <w:t>,</w:t>
      </w:r>
      <w:r w:rsidR="00473B4D" w:rsidRPr="00A0108E">
        <w:rPr>
          <w:rFonts w:ascii="Century Gothic" w:eastAsia="Calibri" w:hAnsi="Century Gothic" w:cs="Arial"/>
          <w:sz w:val="22"/>
          <w:szCs w:val="22"/>
        </w:rPr>
        <w:t xml:space="preserve"> ni se le solicitó la historia clínica correspondiente para que </w:t>
      </w:r>
      <w:r w:rsidR="001C265E" w:rsidRPr="00A0108E">
        <w:rPr>
          <w:rFonts w:ascii="Century Gothic" w:eastAsia="Calibri" w:hAnsi="Century Gothic" w:cs="Arial"/>
          <w:sz w:val="22"/>
          <w:szCs w:val="22"/>
        </w:rPr>
        <w:t xml:space="preserve">LA </w:t>
      </w:r>
      <w:r w:rsidR="00473B4D" w:rsidRPr="00A0108E">
        <w:rPr>
          <w:rFonts w:ascii="Century Gothic" w:eastAsia="Calibri" w:hAnsi="Century Gothic" w:cs="Arial"/>
          <w:sz w:val="22"/>
          <w:szCs w:val="22"/>
        </w:rPr>
        <w:t>EQUIDAD SEGUROS DE VIDA</w:t>
      </w:r>
      <w:r w:rsidR="001C265E" w:rsidRPr="00A0108E">
        <w:rPr>
          <w:rFonts w:ascii="Century Gothic" w:eastAsia="Calibri" w:hAnsi="Century Gothic" w:cs="Arial"/>
          <w:sz w:val="22"/>
          <w:szCs w:val="22"/>
        </w:rPr>
        <w:t xml:space="preserve"> O.C.</w:t>
      </w:r>
      <w:r w:rsidR="00473B4D" w:rsidRPr="00A0108E">
        <w:rPr>
          <w:rFonts w:ascii="Century Gothic" w:eastAsia="Calibri" w:hAnsi="Century Gothic" w:cs="Arial"/>
          <w:sz w:val="22"/>
          <w:szCs w:val="22"/>
        </w:rPr>
        <w:t>, pudiera verificar su situación de salud</w:t>
      </w:r>
      <w:r w:rsidR="001C265E" w:rsidRPr="00A0108E">
        <w:rPr>
          <w:rFonts w:ascii="Century Gothic" w:eastAsia="Calibri" w:hAnsi="Century Gothic" w:cs="Arial"/>
          <w:sz w:val="22"/>
          <w:szCs w:val="22"/>
        </w:rPr>
        <w:t xml:space="preserve">, </w:t>
      </w:r>
      <w:r w:rsidR="001C265E" w:rsidRPr="00A0108E">
        <w:rPr>
          <w:rFonts w:ascii="Century Gothic" w:eastAsia="Calibri" w:hAnsi="Century Gothic" w:cs="Arial"/>
          <w:sz w:val="22"/>
          <w:szCs w:val="22"/>
        </w:rPr>
        <w:t>antes de la firma del contrato</w:t>
      </w:r>
      <w:r w:rsidR="001C265E" w:rsidRPr="00A0108E">
        <w:rPr>
          <w:rFonts w:ascii="Century Gothic" w:eastAsia="Calibri" w:hAnsi="Century Gothic" w:cs="Arial"/>
          <w:sz w:val="22"/>
          <w:szCs w:val="22"/>
        </w:rPr>
        <w:t xml:space="preserve">, se indica que </w:t>
      </w:r>
      <w:r w:rsidR="00B34DF9" w:rsidRPr="00A0108E">
        <w:rPr>
          <w:rFonts w:ascii="Century Gothic" w:eastAsia="Calibri" w:hAnsi="Century Gothic" w:cs="Arial"/>
          <w:sz w:val="22"/>
          <w:szCs w:val="22"/>
        </w:rPr>
        <w:t>las condiciones particulares de la póliza se indicaron</w:t>
      </w:r>
      <w:r w:rsidR="0017358A" w:rsidRPr="00A0108E">
        <w:rPr>
          <w:rFonts w:ascii="Century Gothic" w:eastAsia="Calibri" w:hAnsi="Century Gothic" w:cs="Arial"/>
          <w:sz w:val="22"/>
          <w:szCs w:val="22"/>
        </w:rPr>
        <w:t xml:space="preserve"> que, si el potencial asegurado en la declaración indico tener una buena condición de salud, </w:t>
      </w:r>
      <w:r w:rsidR="00B34DF9" w:rsidRPr="00A0108E">
        <w:rPr>
          <w:rFonts w:ascii="Century Gothic" w:eastAsia="Calibri" w:hAnsi="Century Gothic" w:cs="Arial"/>
          <w:sz w:val="22"/>
          <w:szCs w:val="22"/>
        </w:rPr>
        <w:t xml:space="preserve">se asegurara automáticamente: </w:t>
      </w:r>
    </w:p>
    <w:p w14:paraId="5C90663E" w14:textId="0A7D9ACF" w:rsidR="0017358A" w:rsidRPr="00A0108E" w:rsidRDefault="0017358A" w:rsidP="00E0774A">
      <w:pPr>
        <w:autoSpaceDE w:val="0"/>
        <w:autoSpaceDN w:val="0"/>
        <w:adjustRightInd w:val="0"/>
        <w:jc w:val="both"/>
        <w:rPr>
          <w:rFonts w:ascii="Century Gothic" w:eastAsia="Calibri" w:hAnsi="Century Gothic" w:cs="Arial"/>
          <w:sz w:val="22"/>
          <w:szCs w:val="22"/>
          <w:lang w:val="es-CO"/>
        </w:rPr>
      </w:pPr>
      <w:r w:rsidRPr="00A0108E">
        <w:rPr>
          <w:rFonts w:ascii="Century Gothic" w:hAnsi="Century Gothic"/>
          <w:noProof/>
          <w:sz w:val="22"/>
          <w:szCs w:val="22"/>
        </w:rPr>
        <w:drawing>
          <wp:inline distT="0" distB="0" distL="0" distR="0" wp14:anchorId="0FA8AE5A" wp14:editId="2EDBCD32">
            <wp:extent cx="4743450" cy="1428750"/>
            <wp:effectExtent l="0" t="0" r="0" b="0"/>
            <wp:docPr id="731576971" name="Imagen 1" descr="Una captura de pantalla de un celular con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576971" name="Imagen 1" descr="Una captura de pantalla de un celular con texto&#10;&#10;El contenido generado por IA puede ser incorrecto."/>
                    <pic:cNvPicPr/>
                  </pic:nvPicPr>
                  <pic:blipFill>
                    <a:blip r:embed="rId21"/>
                    <a:stretch>
                      <a:fillRect/>
                    </a:stretch>
                  </pic:blipFill>
                  <pic:spPr>
                    <a:xfrm>
                      <a:off x="0" y="0"/>
                      <a:ext cx="4743450" cy="1428750"/>
                    </a:xfrm>
                    <a:prstGeom prst="rect">
                      <a:avLst/>
                    </a:prstGeom>
                  </pic:spPr>
                </pic:pic>
              </a:graphicData>
            </a:graphic>
          </wp:inline>
        </w:drawing>
      </w:r>
    </w:p>
    <w:p w14:paraId="16AC5DBD" w14:textId="28EC8687" w:rsidR="00B34DF9" w:rsidRPr="00A0108E" w:rsidRDefault="00B34DF9"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Pero si el potencial asegurado informa alguna de ciertas </w:t>
      </w:r>
      <w:r w:rsidR="00950EDC" w:rsidRPr="00A0108E">
        <w:rPr>
          <w:rFonts w:ascii="Century Gothic" w:eastAsia="Calibri" w:hAnsi="Century Gothic" w:cs="Arial"/>
          <w:sz w:val="22"/>
          <w:szCs w:val="22"/>
          <w:lang w:val="es-CO"/>
        </w:rPr>
        <w:t>patologías</w:t>
      </w:r>
      <w:r w:rsidRPr="00A0108E">
        <w:rPr>
          <w:rFonts w:ascii="Century Gothic" w:eastAsia="Calibri" w:hAnsi="Century Gothic" w:cs="Arial"/>
          <w:sz w:val="22"/>
          <w:szCs w:val="22"/>
          <w:lang w:val="es-CO"/>
        </w:rPr>
        <w:t xml:space="preserve"> LA EQUIDD SEGUROS DE VIDA realizara los siguientes exámenes:</w:t>
      </w:r>
    </w:p>
    <w:p w14:paraId="1C0ACF04" w14:textId="354E75B6" w:rsidR="001C265E" w:rsidRPr="00A0108E" w:rsidRDefault="0017358A"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lastRenderedPageBreak/>
        <w:drawing>
          <wp:inline distT="0" distB="0" distL="0" distR="0" wp14:anchorId="1E06950C" wp14:editId="4DA4FBB6">
            <wp:extent cx="4324350" cy="2571750"/>
            <wp:effectExtent l="0" t="0" r="0" b="0"/>
            <wp:docPr id="2034736311" name="Imagen 1" descr="Captura de pantalla de un celular con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736311" name="Imagen 1" descr="Captura de pantalla de un celular con texto&#10;&#10;El contenido generado por IA puede ser incorrecto."/>
                    <pic:cNvPicPr/>
                  </pic:nvPicPr>
                  <pic:blipFill>
                    <a:blip r:embed="rId22"/>
                    <a:stretch>
                      <a:fillRect/>
                    </a:stretch>
                  </pic:blipFill>
                  <pic:spPr>
                    <a:xfrm>
                      <a:off x="0" y="0"/>
                      <a:ext cx="4324350" cy="2571750"/>
                    </a:xfrm>
                    <a:prstGeom prst="rect">
                      <a:avLst/>
                    </a:prstGeom>
                  </pic:spPr>
                </pic:pic>
              </a:graphicData>
            </a:graphic>
          </wp:inline>
        </w:drawing>
      </w:r>
    </w:p>
    <w:p w14:paraId="5F715C4E" w14:textId="74AE9704" w:rsidR="00B34DF9" w:rsidRPr="00A0108E" w:rsidRDefault="00B34DF9"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68E4728E" wp14:editId="1F0BA667">
            <wp:extent cx="4333875" cy="1276350"/>
            <wp:effectExtent l="0" t="0" r="9525" b="0"/>
            <wp:docPr id="2275290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29060" name=""/>
                    <pic:cNvPicPr/>
                  </pic:nvPicPr>
                  <pic:blipFill>
                    <a:blip r:embed="rId23"/>
                    <a:stretch>
                      <a:fillRect/>
                    </a:stretch>
                  </pic:blipFill>
                  <pic:spPr>
                    <a:xfrm>
                      <a:off x="0" y="0"/>
                      <a:ext cx="4333875" cy="1276350"/>
                    </a:xfrm>
                    <a:prstGeom prst="rect">
                      <a:avLst/>
                    </a:prstGeom>
                  </pic:spPr>
                </pic:pic>
              </a:graphicData>
            </a:graphic>
          </wp:inline>
        </w:drawing>
      </w:r>
    </w:p>
    <w:p w14:paraId="6EE68107" w14:textId="0258A680" w:rsidR="00B34DF9" w:rsidRPr="00A0108E" w:rsidRDefault="00B34DF9"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Entonces tenemos que como no informa alguna </w:t>
      </w:r>
      <w:r w:rsidR="00950EDC" w:rsidRPr="00A0108E">
        <w:rPr>
          <w:rFonts w:ascii="Century Gothic" w:eastAsia="Calibri" w:hAnsi="Century Gothic" w:cs="Arial"/>
          <w:sz w:val="22"/>
          <w:szCs w:val="22"/>
        </w:rPr>
        <w:t>enfermeda</w:t>
      </w:r>
      <w:r w:rsidRPr="00A0108E">
        <w:rPr>
          <w:rFonts w:ascii="Century Gothic" w:eastAsia="Calibri" w:hAnsi="Century Gothic" w:cs="Arial"/>
          <w:sz w:val="22"/>
          <w:szCs w:val="22"/>
        </w:rPr>
        <w:t xml:space="preserve"> no se </w:t>
      </w:r>
      <w:r w:rsidR="00950EDC" w:rsidRPr="00A0108E">
        <w:rPr>
          <w:rFonts w:ascii="Century Gothic" w:eastAsia="Calibri" w:hAnsi="Century Gothic" w:cs="Arial"/>
          <w:sz w:val="22"/>
          <w:szCs w:val="22"/>
        </w:rPr>
        <w:t>l</w:t>
      </w:r>
      <w:r w:rsidRPr="00A0108E">
        <w:rPr>
          <w:rFonts w:ascii="Century Gothic" w:eastAsia="Calibri" w:hAnsi="Century Gothic" w:cs="Arial"/>
          <w:sz w:val="22"/>
          <w:szCs w:val="22"/>
        </w:rPr>
        <w:t xml:space="preserve">e </w:t>
      </w:r>
      <w:r w:rsidR="00950EDC" w:rsidRPr="00A0108E">
        <w:rPr>
          <w:rFonts w:ascii="Century Gothic" w:eastAsia="Calibri" w:hAnsi="Century Gothic" w:cs="Arial"/>
          <w:sz w:val="22"/>
          <w:szCs w:val="22"/>
        </w:rPr>
        <w:t>re</w:t>
      </w:r>
      <w:r w:rsidRPr="00A0108E">
        <w:rPr>
          <w:rFonts w:ascii="Century Gothic" w:eastAsia="Calibri" w:hAnsi="Century Gothic" w:cs="Arial"/>
          <w:sz w:val="22"/>
          <w:szCs w:val="22"/>
        </w:rPr>
        <w:t>alizo examen.</w:t>
      </w:r>
    </w:p>
    <w:p w14:paraId="25B575D5" w14:textId="77777777" w:rsidR="00B34DF9" w:rsidRPr="00A0108E" w:rsidRDefault="00B34DF9" w:rsidP="00E0774A">
      <w:pPr>
        <w:autoSpaceDE w:val="0"/>
        <w:autoSpaceDN w:val="0"/>
        <w:adjustRightInd w:val="0"/>
        <w:jc w:val="both"/>
        <w:rPr>
          <w:rFonts w:ascii="Century Gothic" w:eastAsia="Calibri" w:hAnsi="Century Gothic" w:cs="Arial"/>
          <w:sz w:val="22"/>
          <w:szCs w:val="22"/>
        </w:rPr>
      </w:pPr>
    </w:p>
    <w:p w14:paraId="7ACA4289" w14:textId="18EF1025" w:rsidR="00B34DF9" w:rsidRPr="00A0108E" w:rsidRDefault="00950EDC" w:rsidP="00E0774A">
      <w:pPr>
        <w:autoSpaceDE w:val="0"/>
        <w:autoSpaceDN w:val="0"/>
        <w:adjustRightInd w:val="0"/>
        <w:jc w:val="both"/>
        <w:rPr>
          <w:rFonts w:ascii="Century Gothic" w:eastAsia="Calibri" w:hAnsi="Century Gothic" w:cs="Arial"/>
          <w:sz w:val="22"/>
          <w:szCs w:val="22"/>
          <w:u w:val="single"/>
          <w:lang w:val="es-CO"/>
        </w:rPr>
      </w:pPr>
      <w:r w:rsidRPr="00A0108E">
        <w:rPr>
          <w:rFonts w:ascii="Century Gothic" w:eastAsia="Calibri" w:hAnsi="Century Gothic" w:cs="Arial"/>
          <w:sz w:val="22"/>
          <w:szCs w:val="22"/>
        </w:rPr>
        <w:t>Además,</w:t>
      </w:r>
      <w:r w:rsidR="00B34DF9"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téngase</w:t>
      </w:r>
      <w:r w:rsidR="00B34DF9" w:rsidRPr="00A0108E">
        <w:rPr>
          <w:rFonts w:ascii="Century Gothic" w:eastAsia="Calibri" w:hAnsi="Century Gothic" w:cs="Arial"/>
          <w:sz w:val="22"/>
          <w:szCs w:val="22"/>
        </w:rPr>
        <w:t xml:space="preserve"> en cuenta que, el </w:t>
      </w:r>
      <w:r w:rsidRPr="00A0108E">
        <w:rPr>
          <w:rFonts w:ascii="Century Gothic" w:eastAsia="Calibri" w:hAnsi="Century Gothic" w:cs="Arial"/>
          <w:sz w:val="22"/>
          <w:szCs w:val="22"/>
          <w:lang w:val="es-CO"/>
        </w:rPr>
        <w:t xml:space="preserve">artículo 1158 </w:t>
      </w:r>
      <w:r w:rsidRPr="00A0108E">
        <w:rPr>
          <w:rFonts w:ascii="Century Gothic" w:eastAsia="Calibri" w:hAnsi="Century Gothic" w:cs="Arial"/>
          <w:sz w:val="22"/>
          <w:szCs w:val="22"/>
          <w:lang w:val="es-CO"/>
        </w:rPr>
        <w:t xml:space="preserve">del Código de Comercio </w:t>
      </w:r>
      <w:r w:rsidRPr="00A0108E">
        <w:rPr>
          <w:rFonts w:ascii="Century Gothic" w:eastAsia="Calibri" w:hAnsi="Century Gothic" w:cs="Arial"/>
          <w:sz w:val="22"/>
          <w:szCs w:val="22"/>
          <w:lang w:val="es-CO"/>
        </w:rPr>
        <w:t>de la indica: “</w:t>
      </w:r>
      <w:r w:rsidRPr="00A0108E">
        <w:rPr>
          <w:rFonts w:ascii="Century Gothic" w:eastAsia="Calibri" w:hAnsi="Century Gothic" w:cs="Arial"/>
          <w:sz w:val="22"/>
          <w:szCs w:val="22"/>
          <w:u w:val="single"/>
          <w:lang w:val="es-CO"/>
        </w:rPr>
        <w:t>Aunque el asegurador prescinda del examen médico, el asegurado no podrá considerarse exento de las obligaciones a que se refiere el artículo 1058, ni de las sanciones a que su infracción da lugar”.</w:t>
      </w:r>
    </w:p>
    <w:p w14:paraId="4B5635ED" w14:textId="77777777" w:rsidR="00950EDC" w:rsidRPr="00A0108E" w:rsidRDefault="00950EDC" w:rsidP="00E0774A">
      <w:pPr>
        <w:autoSpaceDE w:val="0"/>
        <w:autoSpaceDN w:val="0"/>
        <w:adjustRightInd w:val="0"/>
        <w:jc w:val="both"/>
        <w:rPr>
          <w:rFonts w:ascii="Century Gothic" w:eastAsia="Calibri" w:hAnsi="Century Gothic" w:cs="Arial"/>
          <w:sz w:val="22"/>
          <w:szCs w:val="22"/>
          <w:u w:val="single"/>
          <w:lang w:val="es-CO"/>
        </w:rPr>
      </w:pPr>
    </w:p>
    <w:p w14:paraId="01A32061" w14:textId="59467A6F" w:rsidR="00950EDC" w:rsidRPr="00A0108E" w:rsidRDefault="00950EDC" w:rsidP="00E0774A">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artículo 1058 del Código de Comercio establece: “El tomador </w:t>
      </w:r>
      <w:r w:rsidRPr="00A0108E">
        <w:rPr>
          <w:rFonts w:ascii="Century Gothic" w:eastAsia="Calibri" w:hAnsi="Century Gothic" w:cs="Arial"/>
          <w:sz w:val="22"/>
          <w:szCs w:val="22"/>
          <w:lang w:val="es-CO"/>
        </w:rPr>
        <w:t xml:space="preserve">– </w:t>
      </w:r>
      <w:r w:rsidR="00206A92" w:rsidRPr="00A0108E">
        <w:rPr>
          <w:rFonts w:ascii="Century Gothic" w:eastAsia="Calibri" w:hAnsi="Century Gothic" w:cs="Arial"/>
          <w:sz w:val="22"/>
          <w:szCs w:val="22"/>
          <w:lang w:val="es-CO"/>
        </w:rPr>
        <w:t>asegurado</w:t>
      </w:r>
      <w:r w:rsidRPr="00A0108E">
        <w:rPr>
          <w:rFonts w:ascii="Century Gothic" w:eastAsia="Calibri" w:hAnsi="Century Gothic" w:cs="Arial"/>
          <w:sz w:val="22"/>
          <w:szCs w:val="22"/>
          <w:lang w:val="es-CO"/>
        </w:rPr>
        <w:t xml:space="preserve"> </w:t>
      </w:r>
      <w:r w:rsidRPr="00A0108E">
        <w:rPr>
          <w:rFonts w:ascii="Century Gothic" w:eastAsia="Calibri" w:hAnsi="Century Gothic" w:cs="Arial"/>
          <w:sz w:val="22"/>
          <w:szCs w:val="22"/>
          <w:lang w:val="es-CO"/>
        </w:rPr>
        <w:t xml:space="preserve">está obligado a declarar sinceramente los hechos o circunstancias que determinan el estado del riesgo, según el cuestionario que le sea propuesto por el asegurador. La reticencia o la inexactitud sobre hechos o circunstancias que, conocidos por el asegurador, lo hubieren retraído de celebrar el contrato, o inducido a estipular condiciones más onerosas, producen la nulidad relativa del seguro”. </w:t>
      </w:r>
    </w:p>
    <w:p w14:paraId="75459EAB" w14:textId="77777777" w:rsidR="00473B4D" w:rsidRPr="00A0108E" w:rsidRDefault="00473B4D" w:rsidP="00E0774A">
      <w:pPr>
        <w:autoSpaceDE w:val="0"/>
        <w:autoSpaceDN w:val="0"/>
        <w:adjustRightInd w:val="0"/>
        <w:jc w:val="both"/>
        <w:rPr>
          <w:rFonts w:ascii="Century Gothic" w:eastAsia="Calibri" w:hAnsi="Century Gothic" w:cs="Arial"/>
          <w:b/>
          <w:bCs/>
          <w:sz w:val="22"/>
          <w:szCs w:val="22"/>
        </w:rPr>
      </w:pPr>
    </w:p>
    <w:p w14:paraId="24D1C657" w14:textId="43FE0A34" w:rsidR="00206A92" w:rsidRPr="00A0108E" w:rsidRDefault="00473B4D" w:rsidP="00206A92">
      <w:pPr>
        <w:autoSpaceDE w:val="0"/>
        <w:autoSpaceDN w:val="0"/>
        <w:adjustRightInd w:val="0"/>
        <w:jc w:val="both"/>
        <w:rPr>
          <w:rFonts w:ascii="Century Gothic" w:eastAsia="Calibri" w:hAnsi="Century Gothic" w:cs="Arial"/>
          <w:sz w:val="22"/>
          <w:szCs w:val="22"/>
          <w:u w:val="single"/>
          <w:lang w:val="es-CO"/>
        </w:rPr>
      </w:pPr>
      <w:r w:rsidRPr="00A0108E">
        <w:rPr>
          <w:rFonts w:ascii="Century Gothic" w:eastAsia="Calibri" w:hAnsi="Century Gothic" w:cs="Arial"/>
          <w:b/>
          <w:bCs/>
          <w:sz w:val="22"/>
          <w:szCs w:val="22"/>
        </w:rPr>
        <w:t>DECIMO SEGUNDO.</w:t>
      </w:r>
      <w:r w:rsidRPr="00A0108E">
        <w:rPr>
          <w:rFonts w:ascii="Century Gothic" w:eastAsia="Calibri" w:hAnsi="Century Gothic" w:cs="Arial"/>
          <w:sz w:val="22"/>
          <w:szCs w:val="22"/>
        </w:rPr>
        <w:t xml:space="preserve"> </w:t>
      </w:r>
      <w:r w:rsidR="00C05F61" w:rsidRPr="00A0108E">
        <w:rPr>
          <w:rFonts w:ascii="Century Gothic" w:eastAsia="Calibri" w:hAnsi="Century Gothic" w:cs="Arial"/>
          <w:sz w:val="22"/>
          <w:szCs w:val="22"/>
        </w:rPr>
        <w:t xml:space="preserve">No es cierto que LA EQUIDAD SEGUROS DE VIDA O.C., </w:t>
      </w:r>
      <w:r w:rsidRPr="00A0108E">
        <w:rPr>
          <w:rFonts w:ascii="Century Gothic" w:eastAsia="Calibri" w:hAnsi="Century Gothic" w:cs="Arial"/>
          <w:sz w:val="22"/>
          <w:szCs w:val="22"/>
        </w:rPr>
        <w:t xml:space="preserve">no realizó una evaluación completa ni adecuada de la historia clínica de </w:t>
      </w:r>
      <w:r w:rsidR="00206A92" w:rsidRPr="00A0108E">
        <w:rPr>
          <w:rFonts w:ascii="Century Gothic" w:eastAsia="Calibri" w:hAnsi="Century Gothic" w:cs="Arial"/>
          <w:sz w:val="22"/>
          <w:szCs w:val="22"/>
        </w:rPr>
        <w:t>Ligia gonzalez (q.e.p.d)</w:t>
      </w:r>
      <w:r w:rsidRPr="00A0108E">
        <w:rPr>
          <w:rFonts w:ascii="Century Gothic" w:eastAsia="Calibri" w:hAnsi="Century Gothic" w:cs="Arial"/>
          <w:sz w:val="22"/>
          <w:szCs w:val="22"/>
        </w:rPr>
        <w:t xml:space="preserve">, </w:t>
      </w:r>
      <w:r w:rsidR="00206A92" w:rsidRPr="00A0108E">
        <w:rPr>
          <w:rFonts w:ascii="Century Gothic" w:eastAsia="Calibri" w:hAnsi="Century Gothic" w:cs="Arial"/>
          <w:sz w:val="22"/>
          <w:szCs w:val="22"/>
        </w:rPr>
        <w:t xml:space="preserve">pues como ya manifesté: </w:t>
      </w:r>
      <w:r w:rsidR="00206A92" w:rsidRPr="00A0108E">
        <w:rPr>
          <w:rFonts w:ascii="Century Gothic" w:eastAsia="Calibri" w:hAnsi="Century Gothic" w:cs="Arial"/>
          <w:sz w:val="22"/>
          <w:szCs w:val="22"/>
        </w:rPr>
        <w:t xml:space="preserve">el </w:t>
      </w:r>
      <w:r w:rsidR="00206A92" w:rsidRPr="00A0108E">
        <w:rPr>
          <w:rFonts w:ascii="Century Gothic" w:eastAsia="Calibri" w:hAnsi="Century Gothic" w:cs="Arial"/>
          <w:sz w:val="22"/>
          <w:szCs w:val="22"/>
          <w:lang w:val="es-CO"/>
        </w:rPr>
        <w:t>artículo 1158 del Código de Comercio de la indica: “</w:t>
      </w:r>
      <w:r w:rsidR="00206A92" w:rsidRPr="00A0108E">
        <w:rPr>
          <w:rFonts w:ascii="Century Gothic" w:eastAsia="Calibri" w:hAnsi="Century Gothic" w:cs="Arial"/>
          <w:sz w:val="22"/>
          <w:szCs w:val="22"/>
          <w:u w:val="single"/>
          <w:lang w:val="es-CO"/>
        </w:rPr>
        <w:t>Aunque el asegurador prescinda del examen médico, el asegurado no podrá considerarse exento de las obligaciones a que se refiere el artículo 1058, ni de las sanciones a que su infracción da lugar”.</w:t>
      </w:r>
    </w:p>
    <w:p w14:paraId="1BDA36BE" w14:textId="015675D6" w:rsidR="00206A92" w:rsidRPr="00A0108E" w:rsidRDefault="00206A92"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No es cierto que, si LA EQUIDAD SEGUROS GENERALES O.C. no pidió al momento del ingreso a la póliza, la historia Clinica del potencial asegurado entonces esto es una</w:t>
      </w:r>
      <w:r w:rsidR="00473B4D" w:rsidRPr="00A0108E">
        <w:rPr>
          <w:rFonts w:ascii="Century Gothic" w:eastAsia="Calibri" w:hAnsi="Century Gothic" w:cs="Arial"/>
          <w:sz w:val="22"/>
          <w:szCs w:val="22"/>
        </w:rPr>
        <w:t xml:space="preserve"> falta de análisis</w:t>
      </w:r>
      <w:r w:rsidR="00473B4D" w:rsidRPr="00A0108E">
        <w:rPr>
          <w:rFonts w:ascii="Century Gothic" w:eastAsia="Calibri" w:hAnsi="Century Gothic" w:cs="Arial"/>
          <w:sz w:val="22"/>
          <w:szCs w:val="22"/>
        </w:rPr>
        <w:t xml:space="preserve"> </w:t>
      </w:r>
      <w:r w:rsidR="00473B4D" w:rsidRPr="00A0108E">
        <w:rPr>
          <w:rFonts w:ascii="Century Gothic" w:eastAsia="Calibri" w:hAnsi="Century Gothic" w:cs="Arial"/>
          <w:sz w:val="22"/>
          <w:szCs w:val="22"/>
        </w:rPr>
        <w:t>exhaustivo de su situación médica</w:t>
      </w:r>
      <w:r w:rsidRPr="00A0108E">
        <w:rPr>
          <w:rFonts w:ascii="Century Gothic" w:eastAsia="Calibri" w:hAnsi="Century Gothic" w:cs="Arial"/>
          <w:sz w:val="22"/>
          <w:szCs w:val="22"/>
        </w:rPr>
        <w:t xml:space="preserve">, porque para eso se le pone de presente antes del ingreso de la póliza una declaración de asegurabilidad al </w:t>
      </w:r>
      <w:r w:rsidRPr="00A0108E">
        <w:rPr>
          <w:rFonts w:ascii="Century Gothic" w:eastAsia="Calibri" w:hAnsi="Century Gothic" w:cs="Arial"/>
          <w:sz w:val="22"/>
          <w:szCs w:val="22"/>
        </w:rPr>
        <w:lastRenderedPageBreak/>
        <w:t xml:space="preserve">potencial asegurado, para que el de buena </w:t>
      </w:r>
      <w:r w:rsidR="007D0F1B" w:rsidRPr="00A0108E">
        <w:rPr>
          <w:rFonts w:ascii="Century Gothic" w:eastAsia="Calibri" w:hAnsi="Century Gothic" w:cs="Arial"/>
          <w:sz w:val="22"/>
          <w:szCs w:val="22"/>
        </w:rPr>
        <w:t xml:space="preserve">Fe </w:t>
      </w:r>
      <w:r w:rsidRPr="00A0108E">
        <w:rPr>
          <w:rFonts w:ascii="Century Gothic" w:eastAsia="Calibri" w:hAnsi="Century Gothic" w:cs="Arial"/>
          <w:sz w:val="22"/>
          <w:szCs w:val="22"/>
        </w:rPr>
        <w:t>y de forma veraz diligenci</w:t>
      </w:r>
      <w:r w:rsidR="007D0F1B" w:rsidRPr="00A0108E">
        <w:rPr>
          <w:rFonts w:ascii="Century Gothic" w:eastAsia="Calibri" w:hAnsi="Century Gothic" w:cs="Arial"/>
          <w:sz w:val="22"/>
          <w:szCs w:val="22"/>
        </w:rPr>
        <w:t>e</w:t>
      </w:r>
      <w:r w:rsidRPr="00A0108E">
        <w:rPr>
          <w:rFonts w:ascii="Century Gothic" w:eastAsia="Calibri" w:hAnsi="Century Gothic" w:cs="Arial"/>
          <w:sz w:val="22"/>
          <w:szCs w:val="22"/>
        </w:rPr>
        <w:t xml:space="preserve"> indicando todas y cada una de las patologías que ella ha padecido o padece y con base en esas repuestas LA EQUIDAD S</w:t>
      </w:r>
      <w:r w:rsidR="007D0F1B" w:rsidRPr="00A0108E">
        <w:rPr>
          <w:rFonts w:ascii="Century Gothic" w:eastAsia="Calibri" w:hAnsi="Century Gothic" w:cs="Arial"/>
          <w:sz w:val="22"/>
          <w:szCs w:val="22"/>
        </w:rPr>
        <w:t>EG</w:t>
      </w:r>
      <w:r w:rsidRPr="00A0108E">
        <w:rPr>
          <w:rFonts w:ascii="Century Gothic" w:eastAsia="Calibri" w:hAnsi="Century Gothic" w:cs="Arial"/>
          <w:sz w:val="22"/>
          <w:szCs w:val="22"/>
        </w:rPr>
        <w:t>UROS DE VIDA O.C. determinar los exámenes que debe realizar de cada enfermedad y si hay lugar a la solicitud de la historia clinica.</w:t>
      </w:r>
    </w:p>
    <w:p w14:paraId="59F18999" w14:textId="3C99DC47" w:rsidR="00206A92" w:rsidRPr="00A0108E" w:rsidRDefault="008F0C9E" w:rsidP="00E0774A">
      <w:pPr>
        <w:autoSpaceDE w:val="0"/>
        <w:autoSpaceDN w:val="0"/>
        <w:adjustRightInd w:val="0"/>
        <w:jc w:val="both"/>
        <w:rPr>
          <w:rFonts w:ascii="Century Gothic" w:eastAsia="Calibri" w:hAnsi="Century Gothic" w:cs="Arial"/>
          <w:sz w:val="22"/>
          <w:szCs w:val="22"/>
        </w:rPr>
      </w:pPr>
      <w:proofErr w:type="gramStart"/>
      <w:r w:rsidRPr="00A0108E">
        <w:rPr>
          <w:rFonts w:ascii="Century Gothic" w:eastAsia="Calibri" w:hAnsi="Century Gothic" w:cs="Arial"/>
          <w:sz w:val="22"/>
          <w:szCs w:val="22"/>
        </w:rPr>
        <w:t>Además</w:t>
      </w:r>
      <w:proofErr w:type="gramEnd"/>
      <w:r w:rsidRPr="00A0108E">
        <w:rPr>
          <w:rFonts w:ascii="Century Gothic" w:eastAsia="Calibri" w:hAnsi="Century Gothic" w:cs="Arial"/>
          <w:sz w:val="22"/>
          <w:szCs w:val="22"/>
        </w:rPr>
        <w:t xml:space="preserve"> Téngase en cuenta que en la declaración firma por la señora LIGIA (q.e.p.d) autorizo expresamente a cualquier médico, funcionario de Hospital o persona que me haya atendido a suministrar a LA EQUIDAD copia de la historia clínica. Esta autorización se hace extensiva aun después de mi fallecimiento.</w:t>
      </w:r>
    </w:p>
    <w:p w14:paraId="090AB51E" w14:textId="21E84193" w:rsidR="008F0C9E" w:rsidRPr="00A0108E" w:rsidRDefault="008F0C9E"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66285913" wp14:editId="0A8C9941">
            <wp:extent cx="5612130" cy="125095"/>
            <wp:effectExtent l="0" t="0" r="7620" b="8255"/>
            <wp:docPr id="14706133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613370" name=""/>
                    <pic:cNvPicPr/>
                  </pic:nvPicPr>
                  <pic:blipFill>
                    <a:blip r:embed="rId24"/>
                    <a:stretch>
                      <a:fillRect/>
                    </a:stretch>
                  </pic:blipFill>
                  <pic:spPr>
                    <a:xfrm>
                      <a:off x="0" y="0"/>
                      <a:ext cx="5612130" cy="125095"/>
                    </a:xfrm>
                    <a:prstGeom prst="rect">
                      <a:avLst/>
                    </a:prstGeom>
                  </pic:spPr>
                </pic:pic>
              </a:graphicData>
            </a:graphic>
          </wp:inline>
        </w:drawing>
      </w:r>
    </w:p>
    <w:p w14:paraId="79C22FFC" w14:textId="33B74171" w:rsidR="008F0C9E" w:rsidRPr="00A0108E" w:rsidRDefault="008F0C9E"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18565ED9" wp14:editId="17A8F34F">
            <wp:extent cx="5612130" cy="824865"/>
            <wp:effectExtent l="0" t="0" r="7620" b="0"/>
            <wp:docPr id="6397693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769313" name=""/>
                    <pic:cNvPicPr/>
                  </pic:nvPicPr>
                  <pic:blipFill>
                    <a:blip r:embed="rId25"/>
                    <a:stretch>
                      <a:fillRect/>
                    </a:stretch>
                  </pic:blipFill>
                  <pic:spPr>
                    <a:xfrm>
                      <a:off x="0" y="0"/>
                      <a:ext cx="5612130" cy="824865"/>
                    </a:xfrm>
                    <a:prstGeom prst="rect">
                      <a:avLst/>
                    </a:prstGeom>
                  </pic:spPr>
                </pic:pic>
              </a:graphicData>
            </a:graphic>
          </wp:inline>
        </w:drawing>
      </w:r>
    </w:p>
    <w:p w14:paraId="29058ED5" w14:textId="316E19ED" w:rsidR="007D0F1B" w:rsidRPr="00A0108E" w:rsidRDefault="007D0F1B"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Es cierto que, hasta el</w:t>
      </w:r>
      <w:r w:rsidR="00473B4D" w:rsidRPr="00A0108E">
        <w:rPr>
          <w:rFonts w:ascii="Century Gothic" w:eastAsia="Calibri" w:hAnsi="Century Gothic" w:cs="Arial"/>
          <w:sz w:val="22"/>
          <w:szCs w:val="22"/>
        </w:rPr>
        <w:t xml:space="preserve"> día de hoy, </w:t>
      </w:r>
      <w:r w:rsidRPr="00A0108E">
        <w:rPr>
          <w:rFonts w:ascii="Century Gothic" w:eastAsia="Calibri" w:hAnsi="Century Gothic" w:cs="Arial"/>
          <w:sz w:val="22"/>
          <w:szCs w:val="22"/>
        </w:rPr>
        <w:t>LA EQUIDAD SEGUROS DE VIDA O.C., ha ratificado la objeción por RETICEN</w:t>
      </w:r>
      <w:r w:rsidR="008F0C9E" w:rsidRPr="00A0108E">
        <w:rPr>
          <w:rFonts w:ascii="Century Gothic" w:eastAsia="Calibri" w:hAnsi="Century Gothic" w:cs="Arial"/>
          <w:sz w:val="22"/>
          <w:szCs w:val="22"/>
        </w:rPr>
        <w:t>CI</w:t>
      </w:r>
      <w:r w:rsidRPr="00A0108E">
        <w:rPr>
          <w:rFonts w:ascii="Century Gothic" w:eastAsia="Calibri" w:hAnsi="Century Gothic" w:cs="Arial"/>
          <w:sz w:val="22"/>
          <w:szCs w:val="22"/>
        </w:rPr>
        <w:t>A en la información suministrada por la asegurada.</w:t>
      </w:r>
    </w:p>
    <w:p w14:paraId="1588961E" w14:textId="77777777" w:rsidR="007D0F1B" w:rsidRPr="00A0108E" w:rsidRDefault="007D0F1B" w:rsidP="00E0774A">
      <w:pPr>
        <w:autoSpaceDE w:val="0"/>
        <w:autoSpaceDN w:val="0"/>
        <w:adjustRightInd w:val="0"/>
        <w:jc w:val="both"/>
        <w:rPr>
          <w:rFonts w:ascii="Century Gothic" w:eastAsia="Calibri" w:hAnsi="Century Gothic" w:cs="Arial"/>
          <w:sz w:val="22"/>
          <w:szCs w:val="22"/>
        </w:rPr>
      </w:pPr>
    </w:p>
    <w:p w14:paraId="2673546F" w14:textId="4254F797" w:rsidR="007D0F1B" w:rsidRPr="00A0108E" w:rsidRDefault="007D0F1B"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En lo que refiere a este hecho</w:t>
      </w:r>
      <w:r w:rsidR="005C7C9B" w:rsidRPr="00A0108E">
        <w:rPr>
          <w:rFonts w:ascii="Century Gothic" w:eastAsia="Calibri" w:hAnsi="Century Gothic" w:cs="Arial"/>
          <w:sz w:val="22"/>
          <w:szCs w:val="22"/>
        </w:rPr>
        <w:t>, creo que es un párrafo respecto de lo que que indico en el auto que inadmitió la demanda:</w:t>
      </w:r>
    </w:p>
    <w:p w14:paraId="620EE7BF" w14:textId="453C6579" w:rsidR="00473B4D" w:rsidRPr="00A0108E" w:rsidRDefault="007D0F1B" w:rsidP="00E0774A">
      <w:pPr>
        <w:autoSpaceDE w:val="0"/>
        <w:autoSpaceDN w:val="0"/>
        <w:adjustRightInd w:val="0"/>
        <w:jc w:val="both"/>
        <w:rPr>
          <w:rFonts w:ascii="Century Gothic" w:eastAsia="Calibri" w:hAnsi="Century Gothic" w:cs="Arial"/>
          <w:i/>
          <w:iCs/>
          <w:sz w:val="18"/>
          <w:szCs w:val="18"/>
          <w:u w:val="single"/>
          <w:lang w:val="es-CO"/>
        </w:rPr>
      </w:pPr>
      <w:r w:rsidRPr="00A0108E">
        <w:rPr>
          <w:rFonts w:ascii="Century Gothic" w:eastAsia="Calibri" w:hAnsi="Century Gothic" w:cs="Arial"/>
          <w:sz w:val="18"/>
          <w:szCs w:val="18"/>
        </w:rPr>
        <w:t>“</w:t>
      </w:r>
      <w:r w:rsidR="00473B4D" w:rsidRPr="00A0108E">
        <w:rPr>
          <w:rFonts w:ascii="Century Gothic" w:eastAsia="Calibri" w:hAnsi="Century Gothic" w:cs="Arial"/>
          <w:i/>
          <w:iCs/>
          <w:sz w:val="18"/>
          <w:szCs w:val="18"/>
          <w:u w:val="single"/>
        </w:rPr>
        <w:t xml:space="preserve">3- Aclarar o precisar qué es lo que pretende a través de la demanda, atendiendo la naturaleza de la acción de protección al consumidor. (Numeral 4 del Artículo 82, de la Ley 1564 de 2012 - Código General del Proceso) Rta// Se acata el mandamiento del juzgado con respecto a las pretensiones de la demanda las cuales quedarían redactadas al siguiente tenor, excluyendo a la COOPERATIVA COOMEVA por no ser objeto de vigilancia por parte de la superintendencia financiera de </w:t>
      </w:r>
      <w:r w:rsidRPr="00A0108E">
        <w:rPr>
          <w:rFonts w:ascii="Century Gothic" w:eastAsia="Calibri" w:hAnsi="Century Gothic" w:cs="Arial"/>
          <w:i/>
          <w:iCs/>
          <w:sz w:val="18"/>
          <w:szCs w:val="18"/>
          <w:u w:val="single"/>
        </w:rPr>
        <w:t>Colombia”</w:t>
      </w:r>
    </w:p>
    <w:p w14:paraId="403223E8" w14:textId="77777777" w:rsidR="007D0F1B" w:rsidRPr="00A0108E" w:rsidRDefault="007D0F1B" w:rsidP="00E0774A">
      <w:pPr>
        <w:autoSpaceDE w:val="0"/>
        <w:autoSpaceDN w:val="0"/>
        <w:adjustRightInd w:val="0"/>
        <w:jc w:val="both"/>
        <w:rPr>
          <w:rFonts w:ascii="Century Gothic" w:eastAsia="Calibri" w:hAnsi="Century Gothic" w:cs="Arial"/>
          <w:sz w:val="22"/>
          <w:szCs w:val="22"/>
        </w:rPr>
      </w:pPr>
    </w:p>
    <w:p w14:paraId="11B65E16" w14:textId="77777777" w:rsidR="007D0F1B" w:rsidRPr="00A0108E" w:rsidRDefault="007D0F1B" w:rsidP="005C7C9B">
      <w:pPr>
        <w:autoSpaceDE w:val="0"/>
        <w:autoSpaceDN w:val="0"/>
        <w:adjustRightInd w:val="0"/>
        <w:jc w:val="center"/>
        <w:rPr>
          <w:rFonts w:ascii="Century Gothic" w:eastAsia="Calibri" w:hAnsi="Century Gothic" w:cs="Arial"/>
          <w:sz w:val="22"/>
          <w:szCs w:val="22"/>
        </w:rPr>
      </w:pPr>
    </w:p>
    <w:p w14:paraId="49974B9F" w14:textId="77777777" w:rsidR="00E0774A" w:rsidRPr="00A0108E" w:rsidRDefault="00E0774A" w:rsidP="005C7C9B">
      <w:pPr>
        <w:autoSpaceDE w:val="0"/>
        <w:autoSpaceDN w:val="0"/>
        <w:adjustRightInd w:val="0"/>
        <w:jc w:val="center"/>
        <w:rPr>
          <w:rFonts w:ascii="Century Gothic" w:eastAsia="Calibri" w:hAnsi="Century Gothic" w:cs="Arial"/>
          <w:b/>
          <w:sz w:val="22"/>
          <w:szCs w:val="22"/>
        </w:rPr>
      </w:pPr>
      <w:r w:rsidRPr="00A0108E">
        <w:rPr>
          <w:rFonts w:ascii="Century Gothic" w:eastAsia="Calibri" w:hAnsi="Century Gothic" w:cs="Arial"/>
          <w:b/>
          <w:sz w:val="22"/>
          <w:szCs w:val="22"/>
        </w:rPr>
        <w:t>EN CUANTO A LAS PRETENSIONES:</w:t>
      </w:r>
    </w:p>
    <w:p w14:paraId="769FCF90" w14:textId="77777777" w:rsidR="00EA0CEB" w:rsidRPr="00A0108E" w:rsidRDefault="00EA0CEB" w:rsidP="005C7C9B">
      <w:pPr>
        <w:autoSpaceDE w:val="0"/>
        <w:autoSpaceDN w:val="0"/>
        <w:adjustRightInd w:val="0"/>
        <w:jc w:val="center"/>
        <w:rPr>
          <w:rFonts w:ascii="Century Gothic" w:eastAsia="Calibri" w:hAnsi="Century Gothic" w:cs="Arial"/>
          <w:b/>
          <w:sz w:val="22"/>
          <w:szCs w:val="22"/>
        </w:rPr>
      </w:pPr>
    </w:p>
    <w:p w14:paraId="4C3CEA6D" w14:textId="6AFC5058"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Nos oponemos a todas y cada una de las pretensiones, por cuanto carecen de sustento jurídico y fáctico que hagan viable su prosperidad y hasta tanto se acrediten dentro del proceso los elementos necesarios para realizar afectación al contrato de seguro Vida grupo No. AA00</w:t>
      </w:r>
      <w:r w:rsidR="004112F3" w:rsidRPr="00A0108E">
        <w:rPr>
          <w:rFonts w:ascii="Century Gothic" w:eastAsia="Calibri" w:hAnsi="Century Gothic" w:cs="Arial"/>
          <w:sz w:val="22"/>
          <w:szCs w:val="22"/>
        </w:rPr>
        <w:t>7625</w:t>
      </w:r>
      <w:r w:rsidRPr="00A0108E">
        <w:rPr>
          <w:rFonts w:ascii="Century Gothic" w:eastAsia="Calibri" w:hAnsi="Century Gothic" w:cs="Arial"/>
          <w:sz w:val="22"/>
          <w:szCs w:val="22"/>
        </w:rPr>
        <w:t>, Certificado No. AA</w:t>
      </w:r>
      <w:r w:rsidR="004112F3" w:rsidRPr="00A0108E">
        <w:rPr>
          <w:rFonts w:ascii="Century Gothic" w:eastAsia="Calibri" w:hAnsi="Century Gothic" w:cs="Arial"/>
          <w:sz w:val="22"/>
          <w:szCs w:val="22"/>
        </w:rPr>
        <w:t>0123908</w:t>
      </w:r>
      <w:r w:rsidRPr="00A0108E">
        <w:rPr>
          <w:rFonts w:ascii="Century Gothic" w:eastAsia="Calibri" w:hAnsi="Century Gothic" w:cs="Arial"/>
          <w:sz w:val="22"/>
          <w:szCs w:val="22"/>
        </w:rPr>
        <w:t xml:space="preserve">, Orden </w:t>
      </w:r>
      <w:r w:rsidR="004112F3" w:rsidRPr="00A0108E">
        <w:rPr>
          <w:rFonts w:ascii="Century Gothic" w:eastAsia="Calibri" w:hAnsi="Century Gothic" w:cs="Arial"/>
          <w:sz w:val="22"/>
          <w:szCs w:val="22"/>
        </w:rPr>
        <w:t>7978</w:t>
      </w:r>
      <w:r w:rsidRPr="00A0108E">
        <w:rPr>
          <w:rFonts w:ascii="Century Gothic" w:eastAsia="Calibri" w:hAnsi="Century Gothic" w:cs="Arial"/>
          <w:sz w:val="22"/>
          <w:szCs w:val="22"/>
        </w:rPr>
        <w:t>.</w:t>
      </w:r>
    </w:p>
    <w:p w14:paraId="57FA455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74404F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Además, no se logra acreditar de forma fehaciente elementos que permitan desvirtuar la objeción alegada por la Equidad Seguros de Vida O.C., la cual es seria y fundada, por las razones expuestas en ella y reiteradas en la presente contestación.</w:t>
      </w:r>
    </w:p>
    <w:p w14:paraId="477F14BA"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14B08B9" w14:textId="2F764210" w:rsidR="00E0774A" w:rsidRPr="00A0108E" w:rsidRDefault="00E0774A" w:rsidP="00E0774A">
      <w:pPr>
        <w:autoSpaceDE w:val="0"/>
        <w:autoSpaceDN w:val="0"/>
        <w:adjustRightInd w:val="0"/>
        <w:jc w:val="both"/>
        <w:rPr>
          <w:rFonts w:ascii="Century Gothic" w:eastAsia="Calibri" w:hAnsi="Century Gothic" w:cs="Arial"/>
          <w:b/>
          <w:bCs/>
          <w:sz w:val="22"/>
          <w:szCs w:val="22"/>
        </w:rPr>
      </w:pPr>
      <w:r w:rsidRPr="00A0108E">
        <w:rPr>
          <w:rFonts w:ascii="Century Gothic" w:eastAsia="Calibri" w:hAnsi="Century Gothic" w:cs="Arial"/>
          <w:sz w:val="22"/>
          <w:szCs w:val="22"/>
        </w:rPr>
        <w:t xml:space="preserve">En el mismo sentido, tampoco existe prueba que permita señalar que la aquí demandante se encuentra facultada para exigir el pago de indemnización a cargo del ya mencionado contrato de seguro, pues como se explicará y se probará, aquel únicamente podrá ser afectado en la medida en que se acredite la realización del riesgo y que no medie ninguna de las causales de exclusión </w:t>
      </w:r>
      <w:r w:rsidRPr="00A0108E">
        <w:rPr>
          <w:rFonts w:ascii="Century Gothic" w:eastAsia="Calibri" w:hAnsi="Century Gothic" w:cs="Arial"/>
          <w:b/>
          <w:bCs/>
          <w:sz w:val="22"/>
          <w:szCs w:val="22"/>
        </w:rPr>
        <w:t>previamente acordadas</w:t>
      </w:r>
      <w:r w:rsidR="003A0F2C" w:rsidRPr="00A0108E">
        <w:rPr>
          <w:rFonts w:ascii="Century Gothic" w:eastAsia="Calibri" w:hAnsi="Century Gothic" w:cs="Arial"/>
          <w:b/>
          <w:bCs/>
          <w:sz w:val="22"/>
          <w:szCs w:val="22"/>
        </w:rPr>
        <w:t xml:space="preserve">, </w:t>
      </w:r>
      <w:r w:rsidR="003A0F2C" w:rsidRPr="00A0108E">
        <w:rPr>
          <w:rFonts w:ascii="Century Gothic" w:eastAsia="Calibri" w:hAnsi="Century Gothic" w:cs="Arial"/>
          <w:sz w:val="22"/>
          <w:szCs w:val="22"/>
        </w:rPr>
        <w:t>así como que el pago de la póliza vida grupo</w:t>
      </w:r>
      <w:r w:rsidR="004D0255" w:rsidRPr="00A0108E">
        <w:rPr>
          <w:rFonts w:ascii="Century Gothic" w:eastAsia="Calibri" w:hAnsi="Century Gothic" w:cs="Arial"/>
          <w:sz w:val="22"/>
          <w:szCs w:val="22"/>
        </w:rPr>
        <w:t xml:space="preserve">, </w:t>
      </w:r>
      <w:r w:rsidR="003A0F2C" w:rsidRPr="00A0108E">
        <w:rPr>
          <w:rFonts w:ascii="Century Gothic" w:eastAsia="Calibri" w:hAnsi="Century Gothic" w:cs="Arial"/>
          <w:sz w:val="22"/>
          <w:szCs w:val="22"/>
        </w:rPr>
        <w:t>en caso de condena se realizara a la entidad esto es a LA COOPERATIVA MEDICA DEL VALLE Y DE PROFESIONALES DE COMLOMBIA COOMEVA</w:t>
      </w:r>
      <w:r w:rsidR="004D0255" w:rsidRPr="00A0108E">
        <w:rPr>
          <w:rFonts w:ascii="Century Gothic" w:eastAsia="Calibri" w:hAnsi="Century Gothic" w:cs="Arial"/>
          <w:sz w:val="22"/>
          <w:szCs w:val="22"/>
        </w:rPr>
        <w:t xml:space="preserve"> – BANCOOMEVA.</w:t>
      </w:r>
    </w:p>
    <w:p w14:paraId="2C6FDC83" w14:textId="77777777" w:rsidR="003A0F2C" w:rsidRPr="00A0108E" w:rsidRDefault="003A0F2C" w:rsidP="00E0774A">
      <w:pPr>
        <w:autoSpaceDE w:val="0"/>
        <w:autoSpaceDN w:val="0"/>
        <w:adjustRightInd w:val="0"/>
        <w:jc w:val="both"/>
        <w:rPr>
          <w:rFonts w:ascii="Century Gothic" w:eastAsia="Calibri" w:hAnsi="Century Gothic" w:cs="Arial"/>
          <w:sz w:val="22"/>
          <w:szCs w:val="22"/>
        </w:rPr>
      </w:pPr>
    </w:p>
    <w:p w14:paraId="61C86288" w14:textId="45C4E5A9" w:rsidR="003A0F2C" w:rsidRPr="00A0108E" w:rsidRDefault="003A0F2C"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Según certificado emitido por </w:t>
      </w:r>
      <w:r w:rsidR="00832C9F" w:rsidRPr="00A0108E">
        <w:rPr>
          <w:rFonts w:ascii="Century Gothic" w:eastAsia="Calibri" w:hAnsi="Century Gothic" w:cs="Arial"/>
          <w:sz w:val="22"/>
          <w:szCs w:val="22"/>
        </w:rPr>
        <w:t>BAN</w:t>
      </w:r>
      <w:r w:rsidRPr="00A0108E">
        <w:rPr>
          <w:rFonts w:ascii="Century Gothic" w:eastAsia="Calibri" w:hAnsi="Century Gothic" w:cs="Arial"/>
          <w:sz w:val="22"/>
          <w:szCs w:val="22"/>
        </w:rPr>
        <w:t>COOMEVA</w:t>
      </w:r>
      <w:r w:rsidRPr="00A0108E">
        <w:rPr>
          <w:rFonts w:ascii="Century Gothic" w:eastAsia="Calibri" w:hAnsi="Century Gothic" w:cs="Arial"/>
          <w:sz w:val="22"/>
          <w:szCs w:val="22"/>
        </w:rPr>
        <w:t xml:space="preserve">, de fecha </w:t>
      </w:r>
      <w:r w:rsidR="00832C9F" w:rsidRPr="00A0108E">
        <w:rPr>
          <w:rFonts w:ascii="Century Gothic" w:eastAsia="Calibri" w:hAnsi="Century Gothic" w:cs="Arial"/>
          <w:sz w:val="22"/>
          <w:szCs w:val="22"/>
        </w:rPr>
        <w:t>1</w:t>
      </w:r>
      <w:r w:rsidRPr="00A0108E">
        <w:rPr>
          <w:rFonts w:ascii="Century Gothic" w:eastAsia="Calibri" w:hAnsi="Century Gothic" w:cs="Arial"/>
          <w:sz w:val="22"/>
          <w:szCs w:val="22"/>
        </w:rPr>
        <w:t xml:space="preserve">9 de febrero de 2025 la señora </w:t>
      </w:r>
      <w:r w:rsidR="00832C9F" w:rsidRPr="00A0108E">
        <w:rPr>
          <w:rFonts w:ascii="Century Gothic" w:eastAsia="Calibri" w:hAnsi="Century Gothic" w:cs="Arial"/>
          <w:sz w:val="22"/>
          <w:szCs w:val="22"/>
        </w:rPr>
        <w:t>LIGIA GONZALEZ (q.e.p.d)</w:t>
      </w:r>
      <w:r w:rsidR="00CD0A13" w:rsidRPr="00A0108E">
        <w:rPr>
          <w:rFonts w:ascii="Century Gothic" w:eastAsia="Calibri" w:hAnsi="Century Gothic" w:cs="Arial"/>
          <w:sz w:val="22"/>
          <w:szCs w:val="22"/>
        </w:rPr>
        <w:t xml:space="preserve"> adeuda la suma de $352.980.011.</w:t>
      </w:r>
    </w:p>
    <w:p w14:paraId="3A2AE848" w14:textId="1B1DDC90" w:rsidR="003A0F2C" w:rsidRPr="00A0108E" w:rsidRDefault="003A0F2C" w:rsidP="00E0774A">
      <w:pPr>
        <w:autoSpaceDE w:val="0"/>
        <w:autoSpaceDN w:val="0"/>
        <w:adjustRightInd w:val="0"/>
        <w:jc w:val="both"/>
        <w:rPr>
          <w:rFonts w:ascii="Century Gothic" w:eastAsia="Calibri" w:hAnsi="Century Gothic" w:cs="Arial"/>
          <w:b/>
          <w:bCs/>
          <w:sz w:val="22"/>
          <w:szCs w:val="22"/>
        </w:rPr>
      </w:pPr>
      <w:r w:rsidRPr="00A0108E">
        <w:rPr>
          <w:rFonts w:ascii="Century Gothic" w:hAnsi="Century Gothic"/>
          <w:noProof/>
          <w:sz w:val="22"/>
          <w:szCs w:val="22"/>
        </w:rPr>
        <w:drawing>
          <wp:inline distT="0" distB="0" distL="0" distR="0" wp14:anchorId="63A341F3" wp14:editId="1D98DC19">
            <wp:extent cx="5612130" cy="3507740"/>
            <wp:effectExtent l="0" t="0" r="7620" b="0"/>
            <wp:docPr id="87495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95416" name=""/>
                    <pic:cNvPicPr/>
                  </pic:nvPicPr>
                  <pic:blipFill>
                    <a:blip r:embed="rId26"/>
                    <a:stretch>
                      <a:fillRect/>
                    </a:stretch>
                  </pic:blipFill>
                  <pic:spPr>
                    <a:xfrm>
                      <a:off x="0" y="0"/>
                      <a:ext cx="5612130" cy="3507740"/>
                    </a:xfrm>
                    <a:prstGeom prst="rect">
                      <a:avLst/>
                    </a:prstGeom>
                  </pic:spPr>
                </pic:pic>
              </a:graphicData>
            </a:graphic>
          </wp:inline>
        </w:drawing>
      </w:r>
    </w:p>
    <w:p w14:paraId="6FDD7249" w14:textId="77777777" w:rsidR="00E0774A" w:rsidRPr="00A0108E" w:rsidRDefault="00E0774A" w:rsidP="00E0774A">
      <w:pPr>
        <w:autoSpaceDE w:val="0"/>
        <w:autoSpaceDN w:val="0"/>
        <w:adjustRightInd w:val="0"/>
        <w:jc w:val="both"/>
        <w:rPr>
          <w:rFonts w:ascii="Century Gothic" w:eastAsia="Calibri" w:hAnsi="Century Gothic" w:cs="Arial"/>
          <w:b/>
          <w:bCs/>
          <w:sz w:val="22"/>
          <w:szCs w:val="22"/>
        </w:rPr>
      </w:pPr>
    </w:p>
    <w:p w14:paraId="1D764632" w14:textId="77777777" w:rsidR="00E0774A" w:rsidRPr="00A0108E" w:rsidRDefault="00E0774A" w:rsidP="00E0774A">
      <w:pPr>
        <w:autoSpaceDE w:val="0"/>
        <w:autoSpaceDN w:val="0"/>
        <w:adjustRightInd w:val="0"/>
        <w:jc w:val="both"/>
        <w:rPr>
          <w:rFonts w:ascii="Century Gothic" w:eastAsia="Calibri" w:hAnsi="Century Gothic" w:cs="Arial"/>
          <w:b/>
          <w:sz w:val="22"/>
          <w:szCs w:val="22"/>
          <w:u w:val="single"/>
          <w:lang w:val="es-ES"/>
        </w:rPr>
      </w:pPr>
      <w:r w:rsidRPr="00A0108E">
        <w:rPr>
          <w:rFonts w:ascii="Century Gothic" w:eastAsia="Calibri" w:hAnsi="Century Gothic" w:cs="Arial"/>
          <w:b/>
          <w:sz w:val="22"/>
          <w:szCs w:val="22"/>
          <w:u w:val="single"/>
          <w:lang w:val="es-ES"/>
        </w:rPr>
        <w:t>EXCEPCIONES DE MÉRITO O PERENTORIAS FRENTE A LA DEMANDA</w:t>
      </w:r>
    </w:p>
    <w:p w14:paraId="5D6FA063" w14:textId="77777777" w:rsidR="00E0774A" w:rsidRPr="00A0108E" w:rsidRDefault="00E0774A" w:rsidP="00E0774A">
      <w:pPr>
        <w:autoSpaceDE w:val="0"/>
        <w:autoSpaceDN w:val="0"/>
        <w:adjustRightInd w:val="0"/>
        <w:jc w:val="both"/>
        <w:rPr>
          <w:rFonts w:ascii="Century Gothic" w:eastAsia="Calibri" w:hAnsi="Century Gothic" w:cs="Arial"/>
          <w:b/>
          <w:sz w:val="22"/>
          <w:szCs w:val="22"/>
          <w:u w:val="single"/>
          <w:lang w:val="es-ES"/>
        </w:rPr>
      </w:pPr>
    </w:p>
    <w:p w14:paraId="1E68E6F6" w14:textId="173F1845" w:rsidR="00E0774A" w:rsidRPr="00A0108E" w:rsidRDefault="00E0774A" w:rsidP="00E0774A">
      <w:pPr>
        <w:autoSpaceDE w:val="0"/>
        <w:autoSpaceDN w:val="0"/>
        <w:adjustRightInd w:val="0"/>
        <w:jc w:val="both"/>
        <w:rPr>
          <w:rFonts w:ascii="Century Gothic" w:eastAsia="Calibri" w:hAnsi="Century Gothic" w:cs="Arial"/>
          <w:b/>
          <w:bCs/>
          <w:sz w:val="22"/>
          <w:szCs w:val="22"/>
        </w:rPr>
      </w:pPr>
      <w:r w:rsidRPr="00A0108E">
        <w:rPr>
          <w:rFonts w:ascii="Century Gothic" w:eastAsia="Calibri" w:hAnsi="Century Gothic" w:cs="Arial"/>
          <w:sz w:val="22"/>
          <w:szCs w:val="22"/>
          <w:lang w:val="es-ES"/>
        </w:rPr>
        <w:t xml:space="preserve">Manifiesto al señor </w:t>
      </w:r>
      <w:r w:rsidR="00A211AB" w:rsidRPr="00A0108E">
        <w:rPr>
          <w:rFonts w:ascii="Century Gothic" w:eastAsia="Calibri" w:hAnsi="Century Gothic" w:cs="Arial"/>
          <w:sz w:val="22"/>
          <w:szCs w:val="22"/>
          <w:lang w:val="es-ES"/>
        </w:rPr>
        <w:t>delegado</w:t>
      </w:r>
      <w:r w:rsidRPr="00A0108E">
        <w:rPr>
          <w:rFonts w:ascii="Century Gothic" w:eastAsia="Calibri" w:hAnsi="Century Gothic" w:cs="Arial"/>
          <w:sz w:val="22"/>
          <w:szCs w:val="22"/>
          <w:lang w:val="es-ES"/>
        </w:rPr>
        <w:t xml:space="preserve"> que coadyuvo con las excepciones propuestas</w:t>
      </w:r>
      <w:r w:rsidR="00A211AB" w:rsidRPr="00A0108E">
        <w:rPr>
          <w:rFonts w:ascii="Century Gothic" w:eastAsia="Calibri" w:hAnsi="Century Gothic" w:cs="Arial"/>
          <w:sz w:val="22"/>
          <w:szCs w:val="22"/>
          <w:lang w:val="es-ES"/>
        </w:rPr>
        <w:t xml:space="preserve"> por la demandada BANCOOMEVA,</w:t>
      </w:r>
      <w:r w:rsidRPr="00A0108E">
        <w:rPr>
          <w:rFonts w:ascii="Century Gothic" w:eastAsia="Calibri" w:hAnsi="Century Gothic" w:cs="Arial"/>
          <w:sz w:val="22"/>
          <w:szCs w:val="22"/>
          <w:lang w:val="es-ES"/>
        </w:rPr>
        <w:t xml:space="preserve"> que aparezcan probadas durante el proceso y adiciono las siguientes oponiéndome a la prosperidad de las pretensiones con las siguientes razones de hecho y de derecho:</w:t>
      </w:r>
    </w:p>
    <w:p w14:paraId="584AAC1A"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bookmarkStart w:id="0" w:name="_Hlk38980729"/>
    </w:p>
    <w:p w14:paraId="43B933CB"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bCs/>
          <w:sz w:val="22"/>
          <w:szCs w:val="22"/>
          <w:lang w:val="es-ES"/>
        </w:rPr>
      </w:pPr>
      <w:r w:rsidRPr="00A0108E">
        <w:rPr>
          <w:rFonts w:ascii="Century Gothic" w:eastAsia="Calibri" w:hAnsi="Century Gothic" w:cs="Arial"/>
          <w:b/>
          <w:bCs/>
          <w:sz w:val="22"/>
          <w:szCs w:val="22"/>
          <w:lang w:val="es-ES"/>
        </w:rPr>
        <w:t>FALTA DE LEGTIMACIÓN EN LA CAUSA POR ACTIVA</w:t>
      </w:r>
    </w:p>
    <w:p w14:paraId="0CBC5AC8" w14:textId="77777777" w:rsidR="00520378" w:rsidRPr="00A0108E" w:rsidRDefault="00520378" w:rsidP="00411FF1">
      <w:pPr>
        <w:autoSpaceDE w:val="0"/>
        <w:autoSpaceDN w:val="0"/>
        <w:adjustRightInd w:val="0"/>
        <w:ind w:left="644"/>
        <w:jc w:val="both"/>
        <w:rPr>
          <w:rFonts w:ascii="Century Gothic" w:eastAsia="Calibri" w:hAnsi="Century Gothic" w:cs="Arial"/>
          <w:b/>
          <w:bCs/>
          <w:sz w:val="22"/>
          <w:szCs w:val="22"/>
          <w:lang w:val="es-ES"/>
        </w:rPr>
      </w:pPr>
    </w:p>
    <w:p w14:paraId="2E37E6E6" w14:textId="6D7BFDA5" w:rsidR="00D72A81" w:rsidRPr="00D72A81" w:rsidRDefault="00D72A81" w:rsidP="00D72A81">
      <w:pPr>
        <w:autoSpaceDE w:val="0"/>
        <w:autoSpaceDN w:val="0"/>
        <w:adjustRightInd w:val="0"/>
        <w:jc w:val="both"/>
        <w:rPr>
          <w:rFonts w:ascii="Century Gothic" w:eastAsia="Calibri" w:hAnsi="Century Gothic" w:cs="Arial"/>
          <w:sz w:val="22"/>
          <w:szCs w:val="22"/>
          <w:lang w:val="es-ES"/>
        </w:rPr>
      </w:pPr>
      <w:bookmarkStart w:id="1" w:name="_Hlk19095163"/>
      <w:bookmarkEnd w:id="0"/>
      <w:r w:rsidRPr="00D72A81">
        <w:rPr>
          <w:rFonts w:ascii="Century Gothic" w:eastAsia="Calibri" w:hAnsi="Century Gothic" w:cs="Arial"/>
          <w:sz w:val="22"/>
          <w:szCs w:val="22"/>
          <w:lang w:val="es-ES"/>
        </w:rPr>
        <w:t>Dentro del proceso se establece que la demandante pretende el reconocimiento de una indemnización derivada de un contrato de vida grupo.</w:t>
      </w:r>
    </w:p>
    <w:p w14:paraId="31A1E04B" w14:textId="77777777" w:rsidR="00D72A81" w:rsidRPr="00D72A81" w:rsidRDefault="00D72A81" w:rsidP="00D72A81">
      <w:pPr>
        <w:autoSpaceDE w:val="0"/>
        <w:autoSpaceDN w:val="0"/>
        <w:adjustRightInd w:val="0"/>
        <w:jc w:val="both"/>
        <w:rPr>
          <w:rFonts w:ascii="Century Gothic" w:eastAsia="Calibri" w:hAnsi="Century Gothic" w:cs="Arial"/>
          <w:sz w:val="22"/>
          <w:szCs w:val="22"/>
          <w:lang w:val="es-ES"/>
        </w:rPr>
      </w:pPr>
    </w:p>
    <w:p w14:paraId="48B04301" w14:textId="2220C0C8" w:rsidR="00D72A81" w:rsidRPr="00D72A81" w:rsidRDefault="00D72A81" w:rsidP="00D72A81">
      <w:pPr>
        <w:autoSpaceDE w:val="0"/>
        <w:autoSpaceDN w:val="0"/>
        <w:adjustRightInd w:val="0"/>
        <w:jc w:val="both"/>
        <w:rPr>
          <w:rFonts w:ascii="Century Gothic" w:eastAsia="Calibri" w:hAnsi="Century Gothic" w:cs="Arial"/>
          <w:sz w:val="22"/>
          <w:szCs w:val="22"/>
          <w:lang w:val="es-ES"/>
        </w:rPr>
      </w:pPr>
      <w:r w:rsidRPr="00D72A81">
        <w:rPr>
          <w:rFonts w:ascii="Century Gothic" w:eastAsia="Calibri" w:hAnsi="Century Gothic" w:cs="Arial"/>
          <w:sz w:val="22"/>
          <w:szCs w:val="22"/>
          <w:lang w:val="es-ES"/>
        </w:rPr>
        <w:t xml:space="preserve">La legitimación en la causa hace referencia a la relación procesal que puede existir entre el demandante y el demandado; así pues, aquella otorga la facultad a los sujetos procesales de realizar una intervención a lo largo del proceso, lo que permite el ejercicio de derecho de defensa y contradicción. </w:t>
      </w:r>
    </w:p>
    <w:p w14:paraId="2D076B96" w14:textId="77777777" w:rsidR="00D72A81" w:rsidRPr="00D72A81" w:rsidRDefault="00D72A81" w:rsidP="00D72A81">
      <w:pPr>
        <w:autoSpaceDE w:val="0"/>
        <w:autoSpaceDN w:val="0"/>
        <w:adjustRightInd w:val="0"/>
        <w:jc w:val="both"/>
        <w:rPr>
          <w:rFonts w:ascii="Century Gothic" w:eastAsia="Calibri" w:hAnsi="Century Gothic" w:cs="Arial"/>
          <w:sz w:val="22"/>
          <w:szCs w:val="22"/>
          <w:lang w:val="es-ES"/>
        </w:rPr>
      </w:pPr>
    </w:p>
    <w:p w14:paraId="10B71464" w14:textId="77777777" w:rsidR="00D72A81" w:rsidRPr="00D72A81" w:rsidRDefault="00D72A81" w:rsidP="00D72A81">
      <w:pPr>
        <w:autoSpaceDE w:val="0"/>
        <w:autoSpaceDN w:val="0"/>
        <w:adjustRightInd w:val="0"/>
        <w:jc w:val="both"/>
        <w:rPr>
          <w:rFonts w:ascii="Century Gothic" w:eastAsia="Calibri" w:hAnsi="Century Gothic" w:cs="Arial"/>
          <w:sz w:val="22"/>
          <w:szCs w:val="22"/>
          <w:lang w:val="es-ES"/>
        </w:rPr>
      </w:pPr>
      <w:r w:rsidRPr="00D72A81">
        <w:rPr>
          <w:rFonts w:ascii="Century Gothic" w:eastAsia="Calibri" w:hAnsi="Century Gothic" w:cs="Arial"/>
          <w:sz w:val="22"/>
          <w:szCs w:val="22"/>
          <w:lang w:val="es-ES"/>
        </w:rPr>
        <w:t xml:space="preserve">Ahora bien, es viable afirmar que la legitimación en la causa es un presupuesto propio de la acción para perseguir la declaratoria de un derecho, esto, teniendo en cuenta que en el momento en el que quien demanda o quien ha sido demandado no es el titular de la facultad o no está llamado a responder, deberán ser rechazadas las pretensiones de la demanda. </w:t>
      </w:r>
    </w:p>
    <w:p w14:paraId="5A95EAF6" w14:textId="77777777" w:rsidR="00D72A81" w:rsidRPr="00D72A81" w:rsidRDefault="00D72A81" w:rsidP="00D72A81">
      <w:pPr>
        <w:autoSpaceDE w:val="0"/>
        <w:autoSpaceDN w:val="0"/>
        <w:adjustRightInd w:val="0"/>
        <w:jc w:val="both"/>
        <w:rPr>
          <w:rFonts w:ascii="Century Gothic" w:eastAsia="Calibri" w:hAnsi="Century Gothic" w:cs="Arial"/>
          <w:sz w:val="22"/>
          <w:szCs w:val="22"/>
          <w:lang w:val="es-ES"/>
        </w:rPr>
      </w:pPr>
    </w:p>
    <w:p w14:paraId="0D87F7F6" w14:textId="77777777" w:rsidR="00BA50DE" w:rsidRPr="00A0108E" w:rsidRDefault="00BA50DE" w:rsidP="00D72A81">
      <w:pPr>
        <w:autoSpaceDE w:val="0"/>
        <w:autoSpaceDN w:val="0"/>
        <w:adjustRightInd w:val="0"/>
        <w:jc w:val="both"/>
        <w:rPr>
          <w:rFonts w:ascii="Century Gothic" w:eastAsia="Calibri" w:hAnsi="Century Gothic" w:cs="Arial"/>
          <w:sz w:val="22"/>
          <w:szCs w:val="22"/>
          <w:lang w:val="es-ES"/>
        </w:rPr>
      </w:pPr>
    </w:p>
    <w:p w14:paraId="22540783" w14:textId="77777777" w:rsidR="00BA50DE" w:rsidRPr="00A0108E" w:rsidRDefault="00BA50DE" w:rsidP="00D72A81">
      <w:pPr>
        <w:autoSpaceDE w:val="0"/>
        <w:autoSpaceDN w:val="0"/>
        <w:adjustRightInd w:val="0"/>
        <w:jc w:val="both"/>
        <w:rPr>
          <w:rFonts w:ascii="Century Gothic" w:eastAsia="Calibri" w:hAnsi="Century Gothic" w:cs="Arial"/>
          <w:sz w:val="22"/>
          <w:szCs w:val="22"/>
          <w:lang w:val="es-ES"/>
        </w:rPr>
      </w:pPr>
    </w:p>
    <w:p w14:paraId="7C4DF2C7" w14:textId="77777777" w:rsidR="00BA50DE" w:rsidRPr="00A0108E" w:rsidRDefault="00BA50DE" w:rsidP="00D72A81">
      <w:pPr>
        <w:autoSpaceDE w:val="0"/>
        <w:autoSpaceDN w:val="0"/>
        <w:adjustRightInd w:val="0"/>
        <w:jc w:val="both"/>
        <w:rPr>
          <w:rFonts w:ascii="Century Gothic" w:eastAsia="Calibri" w:hAnsi="Century Gothic" w:cs="Arial"/>
          <w:sz w:val="22"/>
          <w:szCs w:val="22"/>
          <w:lang w:val="es-ES"/>
        </w:rPr>
      </w:pPr>
    </w:p>
    <w:p w14:paraId="4463C6C5" w14:textId="0CB0F905" w:rsidR="00D72A81" w:rsidRPr="00D72A81" w:rsidRDefault="00D72A81" w:rsidP="00D72A81">
      <w:pPr>
        <w:autoSpaceDE w:val="0"/>
        <w:autoSpaceDN w:val="0"/>
        <w:adjustRightInd w:val="0"/>
        <w:jc w:val="both"/>
        <w:rPr>
          <w:rFonts w:ascii="Century Gothic" w:eastAsia="Calibri" w:hAnsi="Century Gothic" w:cs="Arial"/>
          <w:sz w:val="22"/>
          <w:szCs w:val="22"/>
          <w:lang w:val="es-ES"/>
        </w:rPr>
      </w:pPr>
      <w:r w:rsidRPr="00D72A81">
        <w:rPr>
          <w:rFonts w:ascii="Century Gothic" w:eastAsia="Calibri" w:hAnsi="Century Gothic" w:cs="Arial"/>
          <w:sz w:val="22"/>
          <w:szCs w:val="22"/>
          <w:lang w:val="es-ES"/>
        </w:rPr>
        <w:t>Según el doctrinante Chiovenda:</w:t>
      </w:r>
    </w:p>
    <w:p w14:paraId="5730F6B2" w14:textId="77777777" w:rsidR="00D72A81" w:rsidRPr="00D72A81" w:rsidRDefault="00D72A81" w:rsidP="00D72A81">
      <w:pPr>
        <w:autoSpaceDE w:val="0"/>
        <w:autoSpaceDN w:val="0"/>
        <w:adjustRightInd w:val="0"/>
        <w:jc w:val="both"/>
        <w:rPr>
          <w:rFonts w:ascii="Century Gothic" w:eastAsia="Calibri" w:hAnsi="Century Gothic" w:cs="Arial"/>
          <w:i/>
          <w:sz w:val="22"/>
          <w:szCs w:val="22"/>
          <w:u w:val="single"/>
          <w:lang w:val="es-CO"/>
        </w:rPr>
      </w:pPr>
      <w:r w:rsidRPr="00D72A81">
        <w:rPr>
          <w:rFonts w:ascii="Century Gothic" w:eastAsia="Calibri" w:hAnsi="Century Gothic" w:cs="Arial"/>
          <w:i/>
          <w:sz w:val="22"/>
          <w:szCs w:val="22"/>
          <w:u w:val="single"/>
          <w:lang w:val="es-ES"/>
        </w:rPr>
        <w:t>“</w:t>
      </w:r>
      <w:r w:rsidRPr="00D72A81">
        <w:rPr>
          <w:rFonts w:ascii="Century Gothic" w:eastAsia="Calibri" w:hAnsi="Century Gothic" w:cs="Arial"/>
          <w:i/>
          <w:sz w:val="22"/>
          <w:szCs w:val="22"/>
          <w:u w:val="single"/>
          <w:lang w:val="es-CO"/>
        </w:rPr>
        <w:t>la legitimatio ad causam consiste en la identidad de la persona del actor con la persona a la cual la ley concede la acción (legitimación activa) y la identidad de la persona del demandado con la persona contra la cual es concedida la acción (legitimación pasiva)”</w:t>
      </w:r>
      <w:r w:rsidRPr="00D72A81">
        <w:rPr>
          <w:rFonts w:ascii="Century Gothic" w:eastAsia="Calibri" w:hAnsi="Century Gothic" w:cs="Arial"/>
          <w:i/>
          <w:sz w:val="22"/>
          <w:szCs w:val="22"/>
          <w:u w:val="single"/>
          <w:vertAlign w:val="superscript"/>
          <w:lang w:val="es-CO"/>
        </w:rPr>
        <w:footnoteReference w:id="1"/>
      </w:r>
    </w:p>
    <w:p w14:paraId="08F6379B" w14:textId="77777777" w:rsidR="00BA50DE" w:rsidRPr="00A0108E" w:rsidRDefault="00BA50DE" w:rsidP="00D72A81">
      <w:pPr>
        <w:autoSpaceDE w:val="0"/>
        <w:autoSpaceDN w:val="0"/>
        <w:adjustRightInd w:val="0"/>
        <w:jc w:val="both"/>
        <w:rPr>
          <w:rFonts w:ascii="Century Gothic" w:eastAsia="Calibri" w:hAnsi="Century Gothic" w:cs="Arial"/>
          <w:sz w:val="22"/>
          <w:szCs w:val="22"/>
          <w:lang w:val="es-ES"/>
        </w:rPr>
      </w:pPr>
    </w:p>
    <w:p w14:paraId="0C74F657" w14:textId="5567C4D0" w:rsidR="00D72A81" w:rsidRPr="00D72A81" w:rsidRDefault="00D72A81" w:rsidP="00D72A81">
      <w:pPr>
        <w:autoSpaceDE w:val="0"/>
        <w:autoSpaceDN w:val="0"/>
        <w:adjustRightInd w:val="0"/>
        <w:jc w:val="both"/>
        <w:rPr>
          <w:rFonts w:ascii="Century Gothic" w:eastAsia="Calibri" w:hAnsi="Century Gothic" w:cs="Arial"/>
          <w:b/>
          <w:sz w:val="22"/>
          <w:szCs w:val="22"/>
          <w:lang w:val="es-ES"/>
        </w:rPr>
      </w:pPr>
      <w:r w:rsidRPr="00D72A81">
        <w:rPr>
          <w:rFonts w:ascii="Century Gothic" w:eastAsia="Calibri" w:hAnsi="Century Gothic" w:cs="Arial"/>
          <w:sz w:val="22"/>
          <w:szCs w:val="22"/>
          <w:lang w:val="es-ES"/>
        </w:rPr>
        <w:t>En ese orden de ideas, es la ley la que otorga la legitimidad para quien pretenda perseguir la declaratoria de un derecho. Es decir, aquella permite que una persona formule algún tipo de pretensión – activa – o que por el contrario, las ataque – pasiva; así pues quienes se encuentren legitimados en la causa dentro de un proceso que pretende la declaratoria de un derecho, tienen una vinculación directa con la pretensión.</w:t>
      </w:r>
      <w:r w:rsidRPr="00D72A81">
        <w:rPr>
          <w:rFonts w:ascii="Century Gothic" w:eastAsia="Calibri" w:hAnsi="Century Gothic" w:cs="Arial"/>
          <w:sz w:val="22"/>
          <w:szCs w:val="22"/>
          <w:vertAlign w:val="superscript"/>
          <w:lang w:val="es-ES"/>
        </w:rPr>
        <w:footnoteReference w:id="2"/>
      </w:r>
      <w:r w:rsidRPr="00D72A81">
        <w:rPr>
          <w:rFonts w:ascii="Century Gothic" w:eastAsia="Calibri" w:hAnsi="Century Gothic" w:cs="Arial"/>
          <w:sz w:val="22"/>
          <w:szCs w:val="22"/>
          <w:lang w:val="es-ES"/>
        </w:rPr>
        <w:t xml:space="preserve"> La falta de legitimación en la causa impide que el fallador decida un proceso de acuerdo con los intereses del demandante, toda vez que aquella paraliza la demostración de un daño endilgado al demandado.</w:t>
      </w:r>
      <w:r w:rsidRPr="00D72A81">
        <w:rPr>
          <w:rFonts w:ascii="Century Gothic" w:eastAsia="Calibri" w:hAnsi="Century Gothic" w:cs="Arial"/>
          <w:b/>
          <w:sz w:val="22"/>
          <w:szCs w:val="22"/>
          <w:lang w:val="es-ES"/>
        </w:rPr>
        <w:t xml:space="preserve"> </w:t>
      </w:r>
    </w:p>
    <w:p w14:paraId="7E1B1BC1" w14:textId="77777777" w:rsidR="00D72A81" w:rsidRPr="00D72A81" w:rsidRDefault="00D72A81" w:rsidP="00D72A81">
      <w:pPr>
        <w:autoSpaceDE w:val="0"/>
        <w:autoSpaceDN w:val="0"/>
        <w:adjustRightInd w:val="0"/>
        <w:jc w:val="both"/>
        <w:rPr>
          <w:rFonts w:ascii="Century Gothic" w:eastAsia="Calibri" w:hAnsi="Century Gothic" w:cs="Arial"/>
          <w:b/>
          <w:sz w:val="22"/>
          <w:szCs w:val="22"/>
          <w:lang w:val="es-ES"/>
        </w:rPr>
      </w:pPr>
    </w:p>
    <w:p w14:paraId="7104A522" w14:textId="68BFF931" w:rsidR="00D72A81" w:rsidRPr="00D72A81" w:rsidRDefault="00D72A81" w:rsidP="00D72A81">
      <w:pPr>
        <w:autoSpaceDE w:val="0"/>
        <w:autoSpaceDN w:val="0"/>
        <w:adjustRightInd w:val="0"/>
        <w:jc w:val="both"/>
        <w:rPr>
          <w:rFonts w:ascii="Century Gothic" w:eastAsia="Calibri" w:hAnsi="Century Gothic" w:cs="Arial"/>
          <w:sz w:val="22"/>
          <w:szCs w:val="22"/>
        </w:rPr>
      </w:pPr>
      <w:r w:rsidRPr="00D72A81">
        <w:rPr>
          <w:rFonts w:ascii="Century Gothic" w:eastAsia="Calibri" w:hAnsi="Century Gothic" w:cs="Arial"/>
          <w:sz w:val="22"/>
          <w:szCs w:val="22"/>
        </w:rPr>
        <w:t>Visto lo anterior, será viable manifestar al despacho que la aquí demandante no está facultada legalmente para solicitar la indemnización y/o el pago derivado del contrato de seguro, pues no funge como tomador.</w:t>
      </w:r>
    </w:p>
    <w:p w14:paraId="1385577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D7908F4"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2" w:name="_Hlk38980745"/>
      <w:r w:rsidRPr="00A0108E">
        <w:rPr>
          <w:rFonts w:ascii="Century Gothic" w:eastAsia="Calibri" w:hAnsi="Century Gothic" w:cs="Arial"/>
          <w:b/>
          <w:sz w:val="22"/>
          <w:szCs w:val="22"/>
          <w:lang w:val="es-CO"/>
        </w:rPr>
        <w:t>INEXISTENCIA DE RIESGO INCIERTO Y FUTURO QUE PUDIERA SER OBJETO DE ASEGURAMIENTO.</w:t>
      </w:r>
    </w:p>
    <w:bookmarkEnd w:id="1"/>
    <w:bookmarkEnd w:id="2"/>
    <w:p w14:paraId="2B827021" w14:textId="77777777" w:rsidR="005D3902" w:rsidRPr="00A0108E" w:rsidRDefault="005D3902" w:rsidP="00E0774A">
      <w:pPr>
        <w:autoSpaceDE w:val="0"/>
        <w:autoSpaceDN w:val="0"/>
        <w:adjustRightInd w:val="0"/>
        <w:jc w:val="both"/>
        <w:rPr>
          <w:rFonts w:ascii="Century Gothic" w:eastAsia="Calibri" w:hAnsi="Century Gothic" w:cs="Arial"/>
          <w:bCs/>
          <w:sz w:val="22"/>
          <w:szCs w:val="22"/>
        </w:rPr>
      </w:pPr>
    </w:p>
    <w:p w14:paraId="27597699" w14:textId="366A6A72"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bCs/>
          <w:sz w:val="22"/>
          <w:szCs w:val="22"/>
        </w:rPr>
        <w:t>E</w:t>
      </w:r>
      <w:r w:rsidRPr="00A0108E">
        <w:rPr>
          <w:rFonts w:ascii="Century Gothic" w:eastAsia="Calibri" w:hAnsi="Century Gothic" w:cs="Arial"/>
          <w:sz w:val="22"/>
          <w:szCs w:val="22"/>
        </w:rPr>
        <w:t xml:space="preserve">l artículo 1045 del código de comercio señala de manera taxativa los elementos que le son inherentes y de obligatoria existencia para que pueda nacer el contrato de seguro a la vida jurídica, así pues, se han señalado como elementos esenciales del contrato de seguro, </w:t>
      </w:r>
      <w:r w:rsidRPr="00A0108E">
        <w:rPr>
          <w:rFonts w:ascii="Century Gothic" w:eastAsia="Calibri" w:hAnsi="Century Gothic" w:cs="Arial"/>
          <w:b/>
          <w:sz w:val="22"/>
          <w:szCs w:val="22"/>
        </w:rPr>
        <w:t xml:space="preserve">el interés asegurable, el riesgo asegurable, la prima o precio del seguro y la obligación condicional del asegurador. </w:t>
      </w:r>
      <w:r w:rsidRPr="00A0108E">
        <w:rPr>
          <w:rFonts w:ascii="Century Gothic" w:eastAsia="Calibri" w:hAnsi="Century Gothic" w:cs="Arial"/>
          <w:sz w:val="22"/>
          <w:szCs w:val="22"/>
        </w:rPr>
        <w:t xml:space="preserve">Ha precisado el mentado artículo, que la ausencia de cualquiera de éstos </w:t>
      </w:r>
      <w:r w:rsidRPr="00A0108E">
        <w:rPr>
          <w:rFonts w:ascii="Century Gothic" w:eastAsia="Calibri" w:hAnsi="Century Gothic" w:cs="Arial"/>
          <w:b/>
          <w:sz w:val="22"/>
          <w:szCs w:val="22"/>
        </w:rPr>
        <w:t>impedirá</w:t>
      </w:r>
      <w:r w:rsidRPr="00A0108E">
        <w:rPr>
          <w:rFonts w:ascii="Century Gothic" w:eastAsia="Calibri" w:hAnsi="Century Gothic" w:cs="Arial"/>
          <w:sz w:val="22"/>
          <w:szCs w:val="22"/>
        </w:rPr>
        <w:t xml:space="preserve"> que el contrato de seguro genere efectos. </w:t>
      </w:r>
    </w:p>
    <w:p w14:paraId="2E278C19"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E365D9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Ahora bien, para ampliar la presente ilustración, debemos atender a lo preceptuado en el artículo 1054 ibidem, que reza:</w:t>
      </w:r>
    </w:p>
    <w:p w14:paraId="46B25BA0"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371F22D" w14:textId="77777777" w:rsidR="00E0774A" w:rsidRPr="00A0108E" w:rsidRDefault="00E0774A" w:rsidP="00E0774A">
      <w:pPr>
        <w:autoSpaceDE w:val="0"/>
        <w:autoSpaceDN w:val="0"/>
        <w:adjustRightInd w:val="0"/>
        <w:jc w:val="both"/>
        <w:rPr>
          <w:rFonts w:ascii="Century Gothic" w:eastAsia="Calibri" w:hAnsi="Century Gothic" w:cs="Arial"/>
          <w:i/>
          <w:sz w:val="22"/>
          <w:szCs w:val="22"/>
        </w:rPr>
      </w:pPr>
      <w:r w:rsidRPr="00A0108E">
        <w:rPr>
          <w:rFonts w:ascii="Century Gothic" w:eastAsia="Calibri" w:hAnsi="Century Gothic" w:cs="Arial"/>
          <w:i/>
          <w:sz w:val="22"/>
          <w:szCs w:val="22"/>
        </w:rPr>
        <w:t xml:space="preserve">Art. 1054. Definición de riesgo. </w:t>
      </w:r>
    </w:p>
    <w:p w14:paraId="05647527" w14:textId="77777777" w:rsidR="00E0774A" w:rsidRPr="00A0108E" w:rsidRDefault="00E0774A" w:rsidP="00E0774A">
      <w:pPr>
        <w:autoSpaceDE w:val="0"/>
        <w:autoSpaceDN w:val="0"/>
        <w:adjustRightInd w:val="0"/>
        <w:jc w:val="both"/>
        <w:rPr>
          <w:rFonts w:ascii="Century Gothic" w:eastAsia="Calibri" w:hAnsi="Century Gothic" w:cs="Arial"/>
          <w:i/>
          <w:sz w:val="22"/>
          <w:szCs w:val="22"/>
        </w:rPr>
      </w:pPr>
    </w:p>
    <w:p w14:paraId="79EF139C" w14:textId="77777777" w:rsidR="00E0774A" w:rsidRPr="00A0108E" w:rsidRDefault="00E0774A" w:rsidP="00E0774A">
      <w:pPr>
        <w:autoSpaceDE w:val="0"/>
        <w:autoSpaceDN w:val="0"/>
        <w:adjustRightInd w:val="0"/>
        <w:jc w:val="both"/>
        <w:rPr>
          <w:rFonts w:ascii="Century Gothic" w:eastAsia="Calibri" w:hAnsi="Century Gothic" w:cs="Arial"/>
          <w:i/>
          <w:sz w:val="22"/>
          <w:szCs w:val="22"/>
        </w:rPr>
      </w:pPr>
      <w:r w:rsidRPr="00A0108E">
        <w:rPr>
          <w:rFonts w:ascii="Century Gothic" w:eastAsia="Calibri" w:hAnsi="Century Gothic" w:cs="Arial"/>
          <w:b/>
          <w:i/>
          <w:sz w:val="22"/>
          <w:szCs w:val="22"/>
          <w:u w:val="single"/>
        </w:rPr>
        <w:t>Denominase riesgo el suceso incierto</w:t>
      </w:r>
      <w:r w:rsidRPr="00A0108E">
        <w:rPr>
          <w:rFonts w:ascii="Century Gothic" w:eastAsia="Calibri" w:hAnsi="Century Gothic" w:cs="Arial"/>
          <w:i/>
          <w:sz w:val="22"/>
          <w:szCs w:val="22"/>
        </w:rPr>
        <w:t xml:space="preserve"> que no depende exclusivamente de la voluntad del tomador, del asegurado o del beneficiario, y cuya realización da origen a la obligación del asegurador. </w:t>
      </w:r>
      <w:r w:rsidRPr="00A0108E">
        <w:rPr>
          <w:rFonts w:ascii="Century Gothic" w:eastAsia="Calibri" w:hAnsi="Century Gothic" w:cs="Arial"/>
          <w:b/>
          <w:i/>
          <w:sz w:val="22"/>
          <w:szCs w:val="22"/>
        </w:rPr>
        <w:t>Los hechos ciertos</w:t>
      </w:r>
      <w:r w:rsidRPr="00A0108E">
        <w:rPr>
          <w:rFonts w:ascii="Century Gothic" w:eastAsia="Calibri" w:hAnsi="Century Gothic" w:cs="Arial"/>
          <w:i/>
          <w:sz w:val="22"/>
          <w:szCs w:val="22"/>
        </w:rPr>
        <w:t xml:space="preserve">, salvo la muerte, y los físicamente imposibles, </w:t>
      </w:r>
      <w:r w:rsidRPr="00A0108E">
        <w:rPr>
          <w:rFonts w:ascii="Century Gothic" w:eastAsia="Calibri" w:hAnsi="Century Gothic" w:cs="Arial"/>
          <w:b/>
          <w:i/>
          <w:sz w:val="22"/>
          <w:szCs w:val="22"/>
        </w:rPr>
        <w:t>no constituyen riesgos y son, por lo tanto, extraños al contrato de seguro</w:t>
      </w:r>
      <w:r w:rsidRPr="00A0108E">
        <w:rPr>
          <w:rFonts w:ascii="Century Gothic" w:eastAsia="Calibri" w:hAnsi="Century Gothic" w:cs="Arial"/>
          <w:i/>
          <w:sz w:val="22"/>
          <w:szCs w:val="22"/>
        </w:rPr>
        <w:t xml:space="preserve">. Tampoco constituye riesgo la incertidumbre subjetiva respecto </w:t>
      </w:r>
      <w:r w:rsidRPr="00A0108E">
        <w:rPr>
          <w:rFonts w:ascii="Century Gothic" w:eastAsia="Calibri" w:hAnsi="Century Gothic" w:cs="Arial"/>
          <w:i/>
          <w:sz w:val="22"/>
          <w:szCs w:val="22"/>
        </w:rPr>
        <w:lastRenderedPageBreak/>
        <w:t>de determinado hecho que haya tenido o no cumplimiento. (Subraya y negrillas fuera de texto)</w:t>
      </w:r>
    </w:p>
    <w:p w14:paraId="63D03B9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68AC355"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De acuerdo con lo anterior, es viable afirmar que el </w:t>
      </w:r>
      <w:r w:rsidRPr="00A0108E">
        <w:rPr>
          <w:rFonts w:ascii="Century Gothic" w:eastAsia="Calibri" w:hAnsi="Century Gothic" w:cs="Arial"/>
          <w:b/>
          <w:bCs/>
          <w:sz w:val="22"/>
          <w:szCs w:val="22"/>
        </w:rPr>
        <w:t>contrato de seguro tiene como finalidad amparar un riesgo que debe ser futuro e incierto</w:t>
      </w:r>
      <w:r w:rsidRPr="00A0108E">
        <w:rPr>
          <w:rFonts w:ascii="Century Gothic" w:eastAsia="Calibri" w:hAnsi="Century Gothic" w:cs="Arial"/>
          <w:sz w:val="22"/>
          <w:szCs w:val="22"/>
        </w:rPr>
        <w:t xml:space="preserve">; y que, de materializarse, nacería la obligación para el ente asegurador. En ese orden de ideas, debe resultar claro que los hechos </w:t>
      </w:r>
      <w:r w:rsidRPr="00A0108E">
        <w:rPr>
          <w:rFonts w:ascii="Century Gothic" w:eastAsia="Calibri" w:hAnsi="Century Gothic" w:cs="Arial"/>
          <w:b/>
          <w:sz w:val="22"/>
          <w:szCs w:val="22"/>
        </w:rPr>
        <w:t xml:space="preserve">ciertos </w:t>
      </w:r>
      <w:r w:rsidRPr="00A0108E">
        <w:rPr>
          <w:rFonts w:ascii="Century Gothic" w:eastAsia="Calibri" w:hAnsi="Century Gothic" w:cs="Arial"/>
          <w:sz w:val="22"/>
          <w:szCs w:val="22"/>
        </w:rPr>
        <w:t>carecen de coberturas o de amparos.</w:t>
      </w:r>
    </w:p>
    <w:p w14:paraId="5474658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1068AB9E"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sz w:val="22"/>
          <w:szCs w:val="22"/>
        </w:rPr>
        <w:t>Señor Juez, se tiene entonces que, jurídicamente hablando, no es posible celebrar un contrato de seguro sobre un hecho o una circunstancia que ya haya ocurrido, y sobre la cual exista certeza de su existencia.</w:t>
      </w:r>
      <w:r w:rsidRPr="00A0108E">
        <w:rPr>
          <w:rFonts w:ascii="Century Gothic" w:eastAsia="Calibri" w:hAnsi="Century Gothic" w:cs="Arial"/>
          <w:b/>
          <w:sz w:val="22"/>
          <w:szCs w:val="22"/>
        </w:rPr>
        <w:t xml:space="preserve"> </w:t>
      </w:r>
    </w:p>
    <w:p w14:paraId="1A8C7443"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1954FA18"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Frente al riesgo, el Doctrinante Veiga Copo ha mencionado que:</w:t>
      </w:r>
    </w:p>
    <w:p w14:paraId="6C0B36B2"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053E2B8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i/>
          <w:iCs/>
          <w:sz w:val="22"/>
          <w:szCs w:val="22"/>
          <w:lang w:val="es-ES"/>
        </w:rPr>
        <w:t>“</w:t>
      </w:r>
      <w:r w:rsidRPr="00A0108E">
        <w:rPr>
          <w:rFonts w:ascii="Century Gothic" w:eastAsia="Calibri" w:hAnsi="Century Gothic" w:cs="Arial"/>
          <w:b/>
          <w:i/>
          <w:iCs/>
          <w:sz w:val="22"/>
          <w:szCs w:val="22"/>
          <w:lang w:val="es-ES"/>
        </w:rPr>
        <w:t>El riesgo constituye el elemento esencial del contrato de seguro y, como tal, debe ser individualizado y delimitado.</w:t>
      </w:r>
      <w:r w:rsidRPr="00A0108E">
        <w:rPr>
          <w:rFonts w:ascii="Century Gothic" w:eastAsia="Calibri" w:hAnsi="Century Gothic" w:cs="Arial"/>
          <w:i/>
          <w:iCs/>
          <w:sz w:val="22"/>
          <w:szCs w:val="22"/>
          <w:lang w:val="es-ES"/>
        </w:rPr>
        <w:t xml:space="preserve"> Riesgo es, en suma, aquella eventualidad que hace nacer una necesidad. A diferencia pues de otras relaciones contractuales en el que las partes hasta cierto </w:t>
      </w:r>
      <w:proofErr w:type="gramStart"/>
      <w:r w:rsidRPr="00A0108E">
        <w:rPr>
          <w:rFonts w:ascii="Century Gothic" w:eastAsia="Calibri" w:hAnsi="Century Gothic" w:cs="Arial"/>
          <w:i/>
          <w:iCs/>
          <w:sz w:val="22"/>
          <w:szCs w:val="22"/>
          <w:lang w:val="es-ES"/>
        </w:rPr>
        <w:t>punto,</w:t>
      </w:r>
      <w:proofErr w:type="gramEnd"/>
      <w:r w:rsidRPr="00A0108E">
        <w:rPr>
          <w:rFonts w:ascii="Century Gothic" w:eastAsia="Calibri" w:hAnsi="Century Gothic" w:cs="Arial"/>
          <w:i/>
          <w:iCs/>
          <w:sz w:val="22"/>
          <w:szCs w:val="22"/>
          <w:lang w:val="es-ES"/>
        </w:rPr>
        <w:t xml:space="preserve"> controlan autónomamente los elementos del contrato en el iter contractual, en el contrato de seguro, </w:t>
      </w:r>
      <w:r w:rsidRPr="00A0108E">
        <w:rPr>
          <w:rFonts w:ascii="Century Gothic" w:eastAsia="Calibri" w:hAnsi="Century Gothic" w:cs="Arial"/>
          <w:b/>
          <w:i/>
          <w:iCs/>
          <w:sz w:val="22"/>
          <w:szCs w:val="22"/>
          <w:lang w:val="es-ES"/>
        </w:rPr>
        <w:t>el asegurador en realidad no es capaz de apreciar en su totalidad el contenido y la solicitud y ulteriormente de la propuesta del tomador.</w:t>
      </w:r>
      <w:r w:rsidRPr="00A0108E">
        <w:rPr>
          <w:rFonts w:ascii="Century Gothic" w:eastAsia="Calibri" w:hAnsi="Century Gothic" w:cs="Arial"/>
          <w:i/>
          <w:iCs/>
          <w:sz w:val="22"/>
          <w:szCs w:val="22"/>
          <w:lang w:val="es-ES"/>
        </w:rPr>
        <w:t xml:space="preserve"> Es decir, de todos los elementos y circunstancias que permiten realmente valorar la entidad e intensidad del riesgo, muchos de ellos están compuestos de datos referentes o bien a cosas, o bien a personas cuyo exacto conocimiento tanto presente como pasado </w:t>
      </w:r>
      <w:r w:rsidRPr="00A0108E">
        <w:rPr>
          <w:rFonts w:ascii="Century Gothic" w:eastAsia="Calibri" w:hAnsi="Century Gothic" w:cs="Arial"/>
          <w:b/>
          <w:i/>
          <w:iCs/>
          <w:sz w:val="22"/>
          <w:szCs w:val="22"/>
          <w:lang w:val="es-ES"/>
        </w:rPr>
        <w:t>sólo puede ser o estar en condiciones de ser conocido por el asegurado</w:t>
      </w:r>
      <w:r w:rsidRPr="00A0108E">
        <w:rPr>
          <w:rFonts w:ascii="Century Gothic" w:eastAsia="Calibri" w:hAnsi="Century Gothic" w:cs="Arial"/>
          <w:i/>
          <w:iCs/>
          <w:sz w:val="22"/>
          <w:szCs w:val="22"/>
          <w:lang w:val="es-ES"/>
        </w:rPr>
        <w:t>, pues en no pocas ocasiones pertenecerá a su esfera íntima personal. La concreción de esa buena fe jurídica entre las partes no sólo impregna el contrato sino también toda la legislación del contrato, siendo múltiples los artículos que bien directamente, bien de un modo indirecto alude a la misma a lo largo del articulado”.</w:t>
      </w:r>
    </w:p>
    <w:p w14:paraId="3D196E7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5A82B544" w14:textId="65644C6E" w:rsidR="00DE60D7" w:rsidRPr="00DE60D7" w:rsidRDefault="002922E0" w:rsidP="00DE60D7">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rPr>
        <w:t xml:space="preserve">Para el caso en concreto, </w:t>
      </w:r>
      <w:proofErr w:type="gramStart"/>
      <w:r w:rsidRPr="00A0108E">
        <w:rPr>
          <w:rFonts w:ascii="Century Gothic" w:eastAsia="Calibri" w:hAnsi="Century Gothic" w:cs="Arial"/>
          <w:sz w:val="22"/>
          <w:szCs w:val="22"/>
        </w:rPr>
        <w:t xml:space="preserve">de acuerdo </w:t>
      </w:r>
      <w:r w:rsidR="00DE60D7" w:rsidRPr="00A0108E">
        <w:rPr>
          <w:rFonts w:ascii="Century Gothic" w:eastAsia="Calibri" w:hAnsi="Century Gothic" w:cs="Arial"/>
          <w:sz w:val="22"/>
          <w:szCs w:val="22"/>
        </w:rPr>
        <w:t>a</w:t>
      </w:r>
      <w:proofErr w:type="gramEnd"/>
      <w:r w:rsidR="00DE60D7"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 xml:space="preserve">la historia clínica </w:t>
      </w:r>
      <w:r w:rsidRPr="00A0108E">
        <w:rPr>
          <w:rFonts w:ascii="Century Gothic" w:eastAsia="Calibri" w:hAnsi="Century Gothic" w:cs="Arial"/>
          <w:sz w:val="22"/>
          <w:szCs w:val="22"/>
        </w:rPr>
        <w:t xml:space="preserve">la señora LIGIA GONZALEZ (q.e.p.d) </w:t>
      </w:r>
      <w:r w:rsidR="00DE60D7" w:rsidRPr="00DE60D7">
        <w:rPr>
          <w:rFonts w:ascii="Century Gothic" w:eastAsia="Calibri" w:hAnsi="Century Gothic" w:cs="Arial"/>
          <w:sz w:val="22"/>
          <w:szCs w:val="22"/>
          <w:lang w:val="es-CO"/>
        </w:rPr>
        <w:t xml:space="preserve">se evidencian los siguientes antecedentes: </w:t>
      </w:r>
    </w:p>
    <w:p w14:paraId="6370E9BD" w14:textId="77777777" w:rsidR="00DE60D7" w:rsidRPr="00DE60D7" w:rsidRDefault="00DE60D7" w:rsidP="00DE60D7">
      <w:pPr>
        <w:autoSpaceDE w:val="0"/>
        <w:autoSpaceDN w:val="0"/>
        <w:adjustRightInd w:val="0"/>
        <w:jc w:val="both"/>
        <w:rPr>
          <w:rFonts w:ascii="Century Gothic" w:eastAsia="Calibri" w:hAnsi="Century Gothic" w:cs="Arial"/>
          <w:sz w:val="22"/>
          <w:szCs w:val="22"/>
          <w:lang w:val="es-CO"/>
        </w:rPr>
      </w:pPr>
      <w:r w:rsidRPr="00DE60D7">
        <w:rPr>
          <w:rFonts w:ascii="Century Gothic" w:eastAsia="Calibri" w:hAnsi="Century Gothic" w:cs="Arial"/>
          <w:i/>
          <w:iCs/>
          <w:sz w:val="22"/>
          <w:szCs w:val="22"/>
          <w:lang w:val="es-CO"/>
        </w:rPr>
        <w:t xml:space="preserve">…” FUNDACIÓN SANTA FE DE BOGOTA </w:t>
      </w:r>
    </w:p>
    <w:p w14:paraId="7DC3D10C" w14:textId="77777777" w:rsidR="00DE60D7" w:rsidRPr="00DE60D7" w:rsidRDefault="00DE60D7" w:rsidP="00DE60D7">
      <w:pPr>
        <w:autoSpaceDE w:val="0"/>
        <w:autoSpaceDN w:val="0"/>
        <w:adjustRightInd w:val="0"/>
        <w:jc w:val="both"/>
        <w:rPr>
          <w:rFonts w:ascii="Century Gothic" w:eastAsia="Calibri" w:hAnsi="Century Gothic" w:cs="Arial"/>
          <w:sz w:val="22"/>
          <w:szCs w:val="22"/>
          <w:lang w:val="es-CO"/>
        </w:rPr>
      </w:pPr>
      <w:r w:rsidRPr="00DE60D7">
        <w:rPr>
          <w:rFonts w:ascii="Century Gothic" w:eastAsia="Calibri" w:hAnsi="Century Gothic" w:cs="Arial"/>
          <w:i/>
          <w:iCs/>
          <w:sz w:val="22"/>
          <w:szCs w:val="22"/>
          <w:lang w:val="es-CO"/>
        </w:rPr>
        <w:t xml:space="preserve">Fecha inicio: 2020/10/04. Antecedentes. Patológicos. (2020/10/04) hipertensión arterial. Diagnósticos: </w:t>
      </w:r>
      <w:r w:rsidRPr="00DE60D7">
        <w:rPr>
          <w:rFonts w:ascii="Century Gothic" w:eastAsia="Calibri" w:hAnsi="Century Gothic" w:cs="Arial"/>
          <w:b/>
          <w:bCs/>
          <w:i/>
          <w:iCs/>
          <w:sz w:val="22"/>
          <w:szCs w:val="22"/>
          <w:lang w:val="es-CO"/>
        </w:rPr>
        <w:t>2020/10/04 Hipertensión esencial primaria.</w:t>
      </w:r>
      <w:r w:rsidRPr="00DE60D7">
        <w:rPr>
          <w:rFonts w:ascii="Century Gothic" w:eastAsia="Calibri" w:hAnsi="Century Gothic" w:cs="Arial"/>
          <w:i/>
          <w:iCs/>
          <w:sz w:val="22"/>
          <w:szCs w:val="22"/>
          <w:lang w:val="es-CO"/>
        </w:rPr>
        <w:t xml:space="preserve"> </w:t>
      </w:r>
    </w:p>
    <w:p w14:paraId="5C37ADF2" w14:textId="77777777" w:rsidR="00DE60D7" w:rsidRPr="00DE60D7" w:rsidRDefault="00DE60D7" w:rsidP="00DE60D7">
      <w:pPr>
        <w:autoSpaceDE w:val="0"/>
        <w:autoSpaceDN w:val="0"/>
        <w:adjustRightInd w:val="0"/>
        <w:jc w:val="both"/>
        <w:rPr>
          <w:rFonts w:ascii="Century Gothic" w:eastAsia="Calibri" w:hAnsi="Century Gothic" w:cs="Arial"/>
          <w:sz w:val="22"/>
          <w:szCs w:val="22"/>
          <w:lang w:val="es-CO"/>
        </w:rPr>
      </w:pPr>
      <w:r w:rsidRPr="00DE60D7">
        <w:rPr>
          <w:rFonts w:ascii="Century Gothic" w:eastAsia="Calibri" w:hAnsi="Century Gothic" w:cs="Arial"/>
          <w:i/>
          <w:iCs/>
          <w:sz w:val="22"/>
          <w:szCs w:val="22"/>
          <w:lang w:val="es-CO"/>
        </w:rPr>
        <w:t xml:space="preserve">Fecha inicio: 2020/11/10. Enfermedad actual. Tromboembolismo pulmonar. Diagnósticos: 2020/11/10 embolia pulmonar sin mención de corazón pulmonar agudo. </w:t>
      </w:r>
      <w:r w:rsidRPr="00DE60D7">
        <w:rPr>
          <w:rFonts w:ascii="Century Gothic" w:eastAsia="Calibri" w:hAnsi="Century Gothic" w:cs="Arial"/>
          <w:b/>
          <w:bCs/>
          <w:i/>
          <w:iCs/>
          <w:sz w:val="22"/>
          <w:szCs w:val="22"/>
          <w:lang w:val="es-CO"/>
        </w:rPr>
        <w:t>2020/11/10 Hipertensión esencial primaria.</w:t>
      </w:r>
      <w:r w:rsidRPr="00DE60D7">
        <w:rPr>
          <w:rFonts w:ascii="Century Gothic" w:eastAsia="Calibri" w:hAnsi="Century Gothic" w:cs="Arial"/>
          <w:i/>
          <w:iCs/>
          <w:sz w:val="22"/>
          <w:szCs w:val="22"/>
          <w:lang w:val="es-CO"/>
        </w:rPr>
        <w:t xml:space="preserve"> </w:t>
      </w:r>
    </w:p>
    <w:p w14:paraId="5F190F07" w14:textId="77777777" w:rsidR="00DE60D7" w:rsidRPr="00DE60D7" w:rsidRDefault="00DE60D7" w:rsidP="00DE60D7">
      <w:pPr>
        <w:autoSpaceDE w:val="0"/>
        <w:autoSpaceDN w:val="0"/>
        <w:adjustRightInd w:val="0"/>
        <w:jc w:val="both"/>
        <w:rPr>
          <w:rFonts w:ascii="Century Gothic" w:eastAsia="Calibri" w:hAnsi="Century Gothic" w:cs="Arial"/>
          <w:sz w:val="22"/>
          <w:szCs w:val="22"/>
          <w:lang w:val="es-CO"/>
        </w:rPr>
      </w:pPr>
      <w:r w:rsidRPr="00DE60D7">
        <w:rPr>
          <w:rFonts w:ascii="Century Gothic" w:eastAsia="Calibri" w:hAnsi="Century Gothic" w:cs="Arial"/>
          <w:i/>
          <w:iCs/>
          <w:sz w:val="22"/>
          <w:szCs w:val="22"/>
          <w:lang w:val="es-CO"/>
        </w:rPr>
        <w:t xml:space="preserve">HOSPITAL PABLO TOBON URIBE </w:t>
      </w:r>
    </w:p>
    <w:p w14:paraId="0063E918" w14:textId="5F6271E2" w:rsidR="00E0774A" w:rsidRPr="00A0108E" w:rsidRDefault="00DE60D7" w:rsidP="00DE60D7">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i/>
          <w:iCs/>
          <w:sz w:val="22"/>
          <w:szCs w:val="22"/>
          <w:lang w:val="es-CO"/>
        </w:rPr>
        <w:t xml:space="preserve">fecha: 25/09/2023. </w:t>
      </w:r>
      <w:r w:rsidRPr="00A0108E">
        <w:rPr>
          <w:rFonts w:ascii="Century Gothic" w:eastAsia="Calibri" w:hAnsi="Century Gothic" w:cs="Arial"/>
          <w:b/>
          <w:bCs/>
          <w:i/>
          <w:iCs/>
          <w:sz w:val="22"/>
          <w:szCs w:val="22"/>
          <w:lang w:val="es-CO"/>
        </w:rPr>
        <w:t xml:space="preserve">Diagnósticos: Carcinoma urotelial metastásico. Antecedentes personales. Patológicos: Carcinoma urotelial papilar de alto grado in situ de vejiga T1G3 </w:t>
      </w:r>
      <w:r w:rsidRPr="00A0108E">
        <w:rPr>
          <w:rFonts w:ascii="Century Gothic" w:eastAsia="Calibri" w:hAnsi="Century Gothic" w:cs="Arial"/>
          <w:b/>
          <w:bCs/>
          <w:i/>
          <w:iCs/>
          <w:color w:val="FF0000"/>
          <w:sz w:val="22"/>
          <w:szCs w:val="22"/>
          <w:lang w:val="es-CO"/>
        </w:rPr>
        <w:t>marzo de 2017…”</w:t>
      </w:r>
    </w:p>
    <w:p w14:paraId="58CE45DF" w14:textId="77777777" w:rsidR="002922E0" w:rsidRPr="00A0108E" w:rsidRDefault="002922E0" w:rsidP="00E0774A">
      <w:pPr>
        <w:autoSpaceDE w:val="0"/>
        <w:autoSpaceDN w:val="0"/>
        <w:adjustRightInd w:val="0"/>
        <w:jc w:val="both"/>
        <w:rPr>
          <w:rFonts w:ascii="Century Gothic" w:eastAsia="Calibri" w:hAnsi="Century Gothic" w:cs="Arial"/>
          <w:sz w:val="22"/>
          <w:szCs w:val="22"/>
        </w:rPr>
      </w:pPr>
    </w:p>
    <w:p w14:paraId="57247BED" w14:textId="77777777" w:rsidR="002922E0" w:rsidRPr="00A0108E" w:rsidRDefault="002922E0" w:rsidP="00E0774A">
      <w:pPr>
        <w:autoSpaceDE w:val="0"/>
        <w:autoSpaceDN w:val="0"/>
        <w:adjustRightInd w:val="0"/>
        <w:jc w:val="both"/>
        <w:rPr>
          <w:rFonts w:ascii="Century Gothic" w:eastAsia="Calibri" w:hAnsi="Century Gothic" w:cs="Arial"/>
          <w:sz w:val="22"/>
          <w:szCs w:val="22"/>
        </w:rPr>
      </w:pPr>
    </w:p>
    <w:p w14:paraId="13F1DE3E" w14:textId="3847B756" w:rsidR="00E0774A" w:rsidRPr="00A0108E" w:rsidRDefault="00E0774A" w:rsidP="00B56894">
      <w:p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rPr>
        <w:t xml:space="preserve">Con los anteriores documentos se logró establecer que previo al desembolso del crédito y por ende a la inclusión al contrato de seguro – esto es, previo al </w:t>
      </w:r>
      <w:r w:rsidR="00DE60D7" w:rsidRPr="00A0108E">
        <w:rPr>
          <w:rFonts w:ascii="Century Gothic" w:eastAsia="Calibri" w:hAnsi="Century Gothic" w:cs="Arial"/>
          <w:sz w:val="22"/>
          <w:szCs w:val="22"/>
        </w:rPr>
        <w:t>4 de octubre de 2022</w:t>
      </w:r>
      <w:r w:rsidRPr="00A0108E">
        <w:rPr>
          <w:rFonts w:ascii="Century Gothic" w:eastAsia="Calibri" w:hAnsi="Century Gothic" w:cs="Arial"/>
          <w:sz w:val="22"/>
          <w:szCs w:val="22"/>
        </w:rPr>
        <w:t xml:space="preserve"> – le había sido diagnosticada </w:t>
      </w:r>
      <w:r w:rsidR="00DE60D7" w:rsidRPr="00A0108E">
        <w:rPr>
          <w:rFonts w:ascii="Century Gothic" w:eastAsia="Calibri" w:hAnsi="Century Gothic" w:cs="Arial"/>
          <w:sz w:val="22"/>
          <w:szCs w:val="22"/>
        </w:rPr>
        <w:t xml:space="preserve">HIPERTENSION Y CARCINOMA </w:t>
      </w:r>
      <w:r w:rsidR="00DE60D7" w:rsidRPr="00A0108E">
        <w:rPr>
          <w:rFonts w:ascii="Century Gothic" w:eastAsia="Calibri" w:hAnsi="Century Gothic" w:cs="Arial"/>
          <w:sz w:val="22"/>
          <w:szCs w:val="22"/>
        </w:rPr>
        <w:lastRenderedPageBreak/>
        <w:t>UROTELIAL METASTICO</w:t>
      </w:r>
      <w:r w:rsidR="00B56894" w:rsidRPr="00A0108E">
        <w:rPr>
          <w:rFonts w:ascii="Century Gothic" w:eastAsia="Calibri" w:hAnsi="Century Gothic" w:cs="Arial"/>
          <w:sz w:val="22"/>
          <w:szCs w:val="22"/>
        </w:rPr>
        <w:t xml:space="preserve"> y </w:t>
      </w:r>
      <w:r w:rsidR="00B56894" w:rsidRPr="00A0108E">
        <w:rPr>
          <w:rFonts w:ascii="Century Gothic" w:eastAsia="Calibri" w:hAnsi="Century Gothic" w:cs="Arial"/>
          <w:sz w:val="22"/>
          <w:szCs w:val="22"/>
          <w:lang w:val="es-CO"/>
        </w:rPr>
        <w:t>en las d</w:t>
      </w:r>
      <w:r w:rsidR="00B56894" w:rsidRPr="00A0108E">
        <w:rPr>
          <w:rFonts w:ascii="Century Gothic" w:eastAsia="Calibri" w:hAnsi="Century Gothic" w:cs="Arial"/>
          <w:sz w:val="22"/>
          <w:szCs w:val="22"/>
          <w:lang w:val="es-CO"/>
        </w:rPr>
        <w:t>eclaraciones de asegurabilidad suscritas por la señora LIGIA GONZALEZ CASTAÑEDA (q.e.p.d.), diligenciadas 01 de julio de 2022 y el 04 de octubre de 2022 para el otorgamiento del crédito</w:t>
      </w:r>
      <w:r w:rsidR="00B56894" w:rsidRPr="00A0108E">
        <w:rPr>
          <w:rFonts w:ascii="Century Gothic" w:eastAsia="Calibri" w:hAnsi="Century Gothic" w:cs="Arial"/>
          <w:sz w:val="22"/>
          <w:szCs w:val="22"/>
          <w:lang w:val="es-CO"/>
        </w:rPr>
        <w:t>, no las informo.</w:t>
      </w:r>
    </w:p>
    <w:p w14:paraId="14F20130"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p>
    <w:p w14:paraId="40AE8F6D" w14:textId="77777777" w:rsidR="008F0C9E" w:rsidRPr="00A0108E" w:rsidRDefault="008F0C9E" w:rsidP="008F0C9E">
      <w:pPr>
        <w:autoSpaceDE w:val="0"/>
        <w:autoSpaceDN w:val="0"/>
        <w:adjustRightInd w:val="0"/>
        <w:jc w:val="both"/>
        <w:rPr>
          <w:rFonts w:ascii="Century Gothic" w:eastAsia="Calibri" w:hAnsi="Century Gothic" w:cs="Arial"/>
          <w:sz w:val="22"/>
          <w:szCs w:val="22"/>
          <w:lang w:val="es-CO"/>
        </w:rPr>
      </w:pPr>
      <w:proofErr w:type="gramStart"/>
      <w:r w:rsidRPr="00A0108E">
        <w:rPr>
          <w:rFonts w:ascii="Century Gothic" w:eastAsia="Calibri" w:hAnsi="Century Gothic" w:cs="Arial"/>
          <w:sz w:val="22"/>
          <w:szCs w:val="22"/>
          <w:lang w:val="es-CO"/>
        </w:rPr>
        <w:t xml:space="preserve">Y </w:t>
      </w:r>
      <w:r w:rsidRPr="008F0C9E">
        <w:rPr>
          <w:rFonts w:ascii="Century Gothic" w:eastAsia="Calibri" w:hAnsi="Century Gothic" w:cs="Arial"/>
          <w:sz w:val="22"/>
          <w:szCs w:val="22"/>
          <w:lang w:val="es-CO"/>
        </w:rPr>
        <w:t xml:space="preserve"> se</w:t>
      </w:r>
      <w:proofErr w:type="gramEnd"/>
      <w:r w:rsidRPr="008F0C9E">
        <w:rPr>
          <w:rFonts w:ascii="Century Gothic" w:eastAsia="Calibri" w:hAnsi="Century Gothic" w:cs="Arial"/>
          <w:sz w:val="22"/>
          <w:szCs w:val="22"/>
          <w:lang w:val="es-CO"/>
        </w:rPr>
        <w:t xml:space="preserve"> le realizo la siguiente consulta: </w:t>
      </w:r>
      <w:r w:rsidRPr="00A0108E">
        <w:rPr>
          <w:rFonts w:ascii="Century Gothic" w:eastAsia="Calibri" w:hAnsi="Century Gothic" w:cs="Arial"/>
          <w:sz w:val="22"/>
          <w:szCs w:val="22"/>
          <w:lang w:val="es-CO"/>
        </w:rPr>
        <w:t xml:space="preserve"> </w:t>
      </w:r>
    </w:p>
    <w:p w14:paraId="24F0E1BD" w14:textId="77777777" w:rsidR="008F0C9E" w:rsidRPr="00A0108E" w:rsidRDefault="008F0C9E" w:rsidP="008F0C9E">
      <w:pPr>
        <w:autoSpaceDE w:val="0"/>
        <w:autoSpaceDN w:val="0"/>
        <w:adjustRightInd w:val="0"/>
        <w:jc w:val="both"/>
        <w:rPr>
          <w:rFonts w:ascii="Century Gothic" w:eastAsia="Calibri" w:hAnsi="Century Gothic" w:cs="Arial"/>
          <w:sz w:val="22"/>
          <w:szCs w:val="22"/>
          <w:lang w:val="es-CO"/>
        </w:rPr>
      </w:pPr>
    </w:p>
    <w:p w14:paraId="41073F6C" w14:textId="03C12D3B" w:rsidR="008F0C9E" w:rsidRPr="00A0108E" w:rsidRDefault="008F0C9E" w:rsidP="008F0C9E">
      <w:pPr>
        <w:autoSpaceDE w:val="0"/>
        <w:autoSpaceDN w:val="0"/>
        <w:adjustRightInd w:val="0"/>
        <w:jc w:val="both"/>
        <w:rPr>
          <w:rFonts w:ascii="Century Gothic" w:eastAsia="Calibri" w:hAnsi="Century Gothic" w:cs="Arial"/>
          <w:i/>
          <w:iCs/>
          <w:sz w:val="22"/>
          <w:szCs w:val="22"/>
          <w:lang w:val="es-CO"/>
        </w:rPr>
      </w:pPr>
      <w:r w:rsidRPr="008F0C9E">
        <w:rPr>
          <w:rFonts w:ascii="Century Gothic" w:eastAsia="Calibri" w:hAnsi="Century Gothic" w:cs="Arial"/>
          <w:i/>
          <w:iCs/>
          <w:sz w:val="22"/>
          <w:szCs w:val="22"/>
          <w:lang w:val="es-CO"/>
        </w:rPr>
        <w:t xml:space="preserve">“Con plena conciencia que la reticencia, inexactitud, omisión o la falsedad dejan sin efecto el seguro, así como este se otorga a personas que gozan de un estado de salud normal doy respuesta de buena fe a los siguientes interrogantes: </w:t>
      </w:r>
    </w:p>
    <w:p w14:paraId="491784FC"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p>
    <w:p w14:paraId="2247ED80" w14:textId="4E18E362" w:rsidR="00E0774A" w:rsidRPr="00A0108E" w:rsidRDefault="008F0C9E" w:rsidP="008F0C9E">
      <w:pPr>
        <w:autoSpaceDE w:val="0"/>
        <w:autoSpaceDN w:val="0"/>
        <w:adjustRightInd w:val="0"/>
        <w:jc w:val="both"/>
        <w:rPr>
          <w:rFonts w:ascii="Century Gothic" w:eastAsia="Calibri" w:hAnsi="Century Gothic" w:cs="Arial"/>
          <w:i/>
          <w:iCs/>
          <w:sz w:val="22"/>
          <w:szCs w:val="22"/>
          <w:lang w:val="es-CO"/>
        </w:rPr>
      </w:pPr>
      <w:r w:rsidRPr="00A0108E">
        <w:rPr>
          <w:rFonts w:ascii="Century Gothic" w:eastAsia="Calibri" w:hAnsi="Century Gothic" w:cs="Arial"/>
          <w:i/>
          <w:iCs/>
          <w:sz w:val="22"/>
          <w:szCs w:val="22"/>
          <w:lang w:val="es-CO"/>
        </w:rPr>
        <w:t>¿Goza usted de un buen estado de salud? Si X No</w:t>
      </w:r>
    </w:p>
    <w:p w14:paraId="3E18B938" w14:textId="77777777" w:rsidR="008F0C9E" w:rsidRPr="00A0108E" w:rsidRDefault="008F0C9E" w:rsidP="008F0C9E">
      <w:pPr>
        <w:autoSpaceDE w:val="0"/>
        <w:autoSpaceDN w:val="0"/>
        <w:adjustRightInd w:val="0"/>
        <w:jc w:val="both"/>
        <w:rPr>
          <w:rFonts w:ascii="Century Gothic" w:eastAsia="Calibri" w:hAnsi="Century Gothic" w:cs="Arial"/>
          <w:sz w:val="22"/>
          <w:szCs w:val="22"/>
        </w:rPr>
      </w:pPr>
    </w:p>
    <w:p w14:paraId="08CE2796" w14:textId="77777777" w:rsidR="008F0C9E" w:rsidRPr="00A0108E" w:rsidRDefault="008F0C9E" w:rsidP="008F0C9E">
      <w:pPr>
        <w:autoSpaceDE w:val="0"/>
        <w:autoSpaceDN w:val="0"/>
        <w:adjustRightInd w:val="0"/>
        <w:jc w:val="both"/>
        <w:rPr>
          <w:rFonts w:ascii="Century Gothic" w:eastAsia="Calibri" w:hAnsi="Century Gothic" w:cs="Arial"/>
          <w:i/>
          <w:iCs/>
          <w:sz w:val="22"/>
          <w:szCs w:val="22"/>
          <w:lang w:val="es-CO"/>
        </w:rPr>
      </w:pPr>
      <w:r w:rsidRPr="008F0C9E">
        <w:rPr>
          <w:rFonts w:ascii="Century Gothic" w:eastAsia="Calibri" w:hAnsi="Century Gothic" w:cs="Arial"/>
          <w:i/>
          <w:iCs/>
          <w:sz w:val="22"/>
          <w:szCs w:val="22"/>
          <w:lang w:val="es-CO"/>
        </w:rPr>
        <w:t xml:space="preserve">Por favor marque con una X si presenta o ha presentado alguna vez cualquiera de las siguientes condiciones: </w:t>
      </w:r>
    </w:p>
    <w:p w14:paraId="2339D586"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p>
    <w:p w14:paraId="67D15046"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 Afecciones cardiovasculares </w:t>
      </w:r>
    </w:p>
    <w:p w14:paraId="640182C4"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2. Afecciones Cerebrovasculares </w:t>
      </w:r>
    </w:p>
    <w:p w14:paraId="29028447"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3.Cáncer </w:t>
      </w:r>
    </w:p>
    <w:p w14:paraId="609960EC"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4. Diabetes </w:t>
      </w:r>
    </w:p>
    <w:p w14:paraId="7728225C"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5. VIH positivo / SIDA </w:t>
      </w:r>
    </w:p>
    <w:p w14:paraId="59BB2173"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6. Insuficiencia renal crónica </w:t>
      </w:r>
    </w:p>
    <w:p w14:paraId="7AFF26B2"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7. EPOC </w:t>
      </w:r>
    </w:p>
    <w:p w14:paraId="297C666A"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8. Afecciones renales </w:t>
      </w:r>
    </w:p>
    <w:p w14:paraId="2471ABC7"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9. Alcoholismo </w:t>
      </w:r>
    </w:p>
    <w:p w14:paraId="37D7BEC5"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10. Tabaquismo/drogadicción </w:t>
      </w:r>
    </w:p>
    <w:p w14:paraId="6ABE5E5C"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11. Hipertensión Arterial </w:t>
      </w:r>
    </w:p>
    <w:p w14:paraId="2436E49D"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12. Enfermedades congénitas </w:t>
      </w:r>
    </w:p>
    <w:p w14:paraId="68ED11CE"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13. Enfermedades del colágeno </w:t>
      </w:r>
    </w:p>
    <w:p w14:paraId="69D10392" w14:textId="77777777"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14. Enfermedades Hematológicas </w:t>
      </w:r>
    </w:p>
    <w:p w14:paraId="1A51A9D3" w14:textId="77777777" w:rsidR="008F0C9E" w:rsidRPr="00A0108E" w:rsidRDefault="008F0C9E" w:rsidP="008F0C9E">
      <w:pPr>
        <w:autoSpaceDE w:val="0"/>
        <w:autoSpaceDN w:val="0"/>
        <w:adjustRightInd w:val="0"/>
        <w:jc w:val="both"/>
        <w:rPr>
          <w:rFonts w:ascii="Century Gothic" w:eastAsia="Calibri" w:hAnsi="Century Gothic" w:cs="Arial"/>
          <w:i/>
          <w:iCs/>
          <w:sz w:val="22"/>
          <w:szCs w:val="22"/>
          <w:lang w:val="es-CO"/>
        </w:rPr>
      </w:pPr>
    </w:p>
    <w:p w14:paraId="1C539AF8" w14:textId="77777777" w:rsidR="008F0C9E" w:rsidRPr="00A0108E" w:rsidRDefault="008F0C9E" w:rsidP="008F0C9E">
      <w:pPr>
        <w:autoSpaceDE w:val="0"/>
        <w:autoSpaceDN w:val="0"/>
        <w:adjustRightInd w:val="0"/>
        <w:jc w:val="both"/>
        <w:rPr>
          <w:rFonts w:ascii="Century Gothic" w:eastAsia="Calibri" w:hAnsi="Century Gothic" w:cs="Arial"/>
          <w:i/>
          <w:iCs/>
          <w:sz w:val="22"/>
          <w:szCs w:val="22"/>
          <w:lang w:val="es-CO"/>
        </w:rPr>
      </w:pPr>
    </w:p>
    <w:p w14:paraId="0C3F3CDC" w14:textId="49ECCBCF" w:rsidR="008F0C9E" w:rsidRPr="00A0108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i/>
          <w:iCs/>
          <w:sz w:val="22"/>
          <w:szCs w:val="22"/>
          <w:lang w:val="es-CO"/>
        </w:rPr>
        <w:t xml:space="preserve">En caso de haber marcado alguna de las condiciones anteriores o si padece alguna enfermedad aguda o crónica, afección o adicción favor explicar detalladamente:” </w:t>
      </w:r>
    </w:p>
    <w:p w14:paraId="41580F35" w14:textId="77777777" w:rsidR="008F0C9E" w:rsidRPr="00A0108E" w:rsidRDefault="008F0C9E" w:rsidP="008F0C9E">
      <w:pPr>
        <w:autoSpaceDE w:val="0"/>
        <w:autoSpaceDN w:val="0"/>
        <w:adjustRightInd w:val="0"/>
        <w:jc w:val="both"/>
        <w:rPr>
          <w:rFonts w:ascii="Century Gothic" w:eastAsia="Calibri" w:hAnsi="Century Gothic" w:cs="Arial"/>
          <w:sz w:val="22"/>
          <w:szCs w:val="22"/>
          <w:lang w:val="es-CO"/>
        </w:rPr>
      </w:pPr>
    </w:p>
    <w:p w14:paraId="0BABDCBD" w14:textId="77777777" w:rsidR="008F0C9E" w:rsidRPr="00A0108E" w:rsidRDefault="008F0C9E" w:rsidP="008F0C9E">
      <w:pPr>
        <w:autoSpaceDE w:val="0"/>
        <w:autoSpaceDN w:val="0"/>
        <w:adjustRightInd w:val="0"/>
        <w:jc w:val="both"/>
        <w:rPr>
          <w:rFonts w:ascii="Century Gothic" w:eastAsia="Calibri" w:hAnsi="Century Gothic" w:cs="Arial"/>
          <w:sz w:val="22"/>
          <w:szCs w:val="22"/>
          <w:lang w:val="es-CO"/>
        </w:rPr>
      </w:pPr>
    </w:p>
    <w:p w14:paraId="413BA515" w14:textId="6A4C497B" w:rsidR="008F0C9E" w:rsidRPr="008F0C9E" w:rsidRDefault="008F0C9E" w:rsidP="008F0C9E">
      <w:pPr>
        <w:autoSpaceDE w:val="0"/>
        <w:autoSpaceDN w:val="0"/>
        <w:adjustRightInd w:val="0"/>
        <w:jc w:val="both"/>
        <w:rPr>
          <w:rFonts w:ascii="Century Gothic" w:eastAsia="Calibri" w:hAnsi="Century Gothic" w:cs="Arial"/>
          <w:sz w:val="22"/>
          <w:szCs w:val="22"/>
          <w:lang w:val="es-CO"/>
        </w:rPr>
      </w:pPr>
      <w:r w:rsidRPr="008F0C9E">
        <w:rPr>
          <w:rFonts w:ascii="Century Gothic" w:eastAsia="Calibri" w:hAnsi="Century Gothic" w:cs="Arial"/>
          <w:sz w:val="22"/>
          <w:szCs w:val="22"/>
          <w:lang w:val="es-CO"/>
        </w:rPr>
        <w:t xml:space="preserve">A la anterior consulta, la señora LIGIA GONZALEZ CASTAÑEDA (q.e.p.d.), no marcó ninguna de las enfermedades allí relacionadas. </w:t>
      </w:r>
    </w:p>
    <w:p w14:paraId="576AD09B" w14:textId="77777777" w:rsidR="008F0C9E" w:rsidRPr="00A0108E" w:rsidRDefault="008F0C9E" w:rsidP="00E0774A">
      <w:pPr>
        <w:autoSpaceDE w:val="0"/>
        <w:autoSpaceDN w:val="0"/>
        <w:adjustRightInd w:val="0"/>
        <w:jc w:val="both"/>
        <w:rPr>
          <w:rFonts w:ascii="Century Gothic" w:eastAsia="Calibri" w:hAnsi="Century Gothic" w:cs="Arial"/>
          <w:sz w:val="22"/>
          <w:szCs w:val="22"/>
        </w:rPr>
      </w:pPr>
    </w:p>
    <w:p w14:paraId="3760230F" w14:textId="614BE5E1" w:rsidR="008F0C9E" w:rsidRPr="00A0108E" w:rsidRDefault="008F0C9E" w:rsidP="00E0774A">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lastRenderedPageBreak/>
        <w:drawing>
          <wp:inline distT="0" distB="0" distL="0" distR="0" wp14:anchorId="37BEC7D3" wp14:editId="625949CD">
            <wp:extent cx="4724400" cy="3955774"/>
            <wp:effectExtent l="0" t="0" r="0" b="6985"/>
            <wp:docPr id="122538886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388863" name=""/>
                    <pic:cNvPicPr/>
                  </pic:nvPicPr>
                  <pic:blipFill>
                    <a:blip r:embed="rId27"/>
                    <a:stretch>
                      <a:fillRect/>
                    </a:stretch>
                  </pic:blipFill>
                  <pic:spPr>
                    <a:xfrm>
                      <a:off x="0" y="0"/>
                      <a:ext cx="4729141" cy="3959743"/>
                    </a:xfrm>
                    <a:prstGeom prst="rect">
                      <a:avLst/>
                    </a:prstGeom>
                  </pic:spPr>
                </pic:pic>
              </a:graphicData>
            </a:graphic>
          </wp:inline>
        </w:drawing>
      </w:r>
    </w:p>
    <w:p w14:paraId="6839613A" w14:textId="77777777" w:rsidR="008F0C9E" w:rsidRPr="00A0108E" w:rsidRDefault="008F0C9E" w:rsidP="00E0774A">
      <w:pPr>
        <w:autoSpaceDE w:val="0"/>
        <w:autoSpaceDN w:val="0"/>
        <w:adjustRightInd w:val="0"/>
        <w:jc w:val="both"/>
        <w:rPr>
          <w:rFonts w:ascii="Century Gothic" w:eastAsia="Calibri" w:hAnsi="Century Gothic" w:cs="Arial"/>
          <w:sz w:val="22"/>
          <w:szCs w:val="22"/>
        </w:rPr>
      </w:pPr>
    </w:p>
    <w:p w14:paraId="6361A804" w14:textId="13BD0A2F"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Así mismo, se evidencia que no fueron mencionadas la patología que padecía la señora </w:t>
      </w:r>
      <w:r w:rsidR="008F0C9E" w:rsidRPr="00A0108E">
        <w:rPr>
          <w:rFonts w:ascii="Century Gothic" w:eastAsia="Calibri" w:hAnsi="Century Gothic" w:cs="Arial"/>
          <w:sz w:val="22"/>
          <w:szCs w:val="22"/>
        </w:rPr>
        <w:t>LIGIA (q.e.p.d)</w:t>
      </w:r>
      <w:r w:rsidRPr="00A0108E">
        <w:rPr>
          <w:rFonts w:ascii="Century Gothic" w:eastAsia="Calibri" w:hAnsi="Century Gothic" w:cs="Arial"/>
          <w:sz w:val="22"/>
          <w:szCs w:val="22"/>
        </w:rPr>
        <w:t xml:space="preserve"> correspondientes a </w:t>
      </w:r>
      <w:r w:rsidR="008F0C9E" w:rsidRPr="00A0108E">
        <w:rPr>
          <w:rFonts w:ascii="Century Gothic" w:eastAsia="Calibri" w:hAnsi="Century Gothic" w:cs="Arial"/>
          <w:sz w:val="22"/>
          <w:szCs w:val="22"/>
        </w:rPr>
        <w:t>HIPERTENSION Y CANCER</w:t>
      </w:r>
      <w:r w:rsidRPr="00A0108E">
        <w:rPr>
          <w:rFonts w:ascii="Century Gothic" w:eastAsia="Calibri" w:hAnsi="Century Gothic" w:cs="Arial"/>
          <w:sz w:val="22"/>
          <w:szCs w:val="22"/>
        </w:rPr>
        <w:t xml:space="preserve">, lo que nos indica entonces </w:t>
      </w:r>
      <w:proofErr w:type="gramStart"/>
      <w:r w:rsidRPr="00A0108E">
        <w:rPr>
          <w:rFonts w:ascii="Century Gothic" w:eastAsia="Calibri" w:hAnsi="Century Gothic" w:cs="Arial"/>
          <w:sz w:val="22"/>
          <w:szCs w:val="22"/>
        </w:rPr>
        <w:t>que</w:t>
      </w:r>
      <w:proofErr w:type="gramEnd"/>
      <w:r w:rsidRPr="00A0108E">
        <w:rPr>
          <w:rFonts w:ascii="Century Gothic" w:eastAsia="Calibri" w:hAnsi="Century Gothic" w:cs="Arial"/>
          <w:sz w:val="22"/>
          <w:szCs w:val="22"/>
        </w:rPr>
        <w:t xml:space="preserve"> a pesar de contar con uno diagnóstico de su pleno conocimiento, omitió informar a mi representada pese a que se le puso de presente la relación de enfermedades; es decir, no existía riesgo incierto y futuro, que pudiera ser objeto de aseguramiento.</w:t>
      </w:r>
    </w:p>
    <w:p w14:paraId="34777B98"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6CD3D66" w14:textId="12F22649"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sz w:val="22"/>
          <w:szCs w:val="22"/>
        </w:rPr>
        <w:t xml:space="preserve">Entonces tenemos que, pese a que a la señora </w:t>
      </w:r>
      <w:r w:rsidR="002E77C6" w:rsidRPr="00A0108E">
        <w:rPr>
          <w:rFonts w:ascii="Century Gothic" w:eastAsia="Calibri" w:hAnsi="Century Gothic" w:cs="Arial"/>
          <w:sz w:val="22"/>
          <w:szCs w:val="22"/>
        </w:rPr>
        <w:t>LIGIA GONZALEZ (q.e.p.d)</w:t>
      </w:r>
      <w:r w:rsidRPr="00A0108E">
        <w:rPr>
          <w:rFonts w:ascii="Century Gothic" w:eastAsia="Calibri" w:hAnsi="Century Gothic" w:cs="Arial"/>
          <w:sz w:val="22"/>
          <w:szCs w:val="22"/>
        </w:rPr>
        <w:t xml:space="preserve"> en el certificado de solicitud de ingreso a la póliza se le preguntó sobre la existencia o no de diagnósticos expresamente señalados, en español, letra clara y sobre todo legible, y ésta manifestó que se encontraba en óptimas condiciones de salud, pese a que su realidad demostraba lo contrario pues ya padecía una enfermedad </w:t>
      </w:r>
      <w:r w:rsidR="002E77C6" w:rsidRPr="00A0108E">
        <w:rPr>
          <w:rFonts w:ascii="Century Gothic" w:eastAsia="Calibri" w:hAnsi="Century Gothic" w:cs="Arial"/>
          <w:sz w:val="22"/>
          <w:szCs w:val="22"/>
        </w:rPr>
        <w:t>CANCER E HIPERTENSION,</w:t>
      </w:r>
      <w:r w:rsidRPr="00A0108E">
        <w:rPr>
          <w:rFonts w:ascii="Century Gothic" w:eastAsia="Calibri" w:hAnsi="Century Gothic" w:cs="Arial"/>
          <w:sz w:val="22"/>
          <w:szCs w:val="22"/>
        </w:rPr>
        <w:t xml:space="preserve"> motivo por el cual no es viable predicar que existió el amparo de un riesgo incierto y por lo tanto el contrato de seguro </w:t>
      </w:r>
      <w:r w:rsidRPr="00A0108E">
        <w:rPr>
          <w:rFonts w:ascii="Century Gothic" w:eastAsia="Calibri" w:hAnsi="Century Gothic" w:cs="Arial"/>
          <w:b/>
          <w:sz w:val="22"/>
          <w:szCs w:val="22"/>
        </w:rPr>
        <w:t xml:space="preserve">no pudo producir efectos en la vida jurídica, </w:t>
      </w:r>
      <w:r w:rsidRPr="00A0108E">
        <w:rPr>
          <w:rFonts w:ascii="Century Gothic" w:eastAsia="Calibri" w:hAnsi="Century Gothic" w:cs="Arial"/>
          <w:sz w:val="22"/>
          <w:szCs w:val="22"/>
        </w:rPr>
        <w:t xml:space="preserve">tal como lo reseñan los textos normativos antes citados; </w:t>
      </w:r>
      <w:r w:rsidRPr="00A0108E">
        <w:rPr>
          <w:rFonts w:ascii="Century Gothic" w:eastAsia="Calibri" w:hAnsi="Century Gothic" w:cs="Arial"/>
          <w:b/>
          <w:sz w:val="22"/>
          <w:szCs w:val="22"/>
        </w:rPr>
        <w:t>pues nos encontramos ante una ausencia de uno de los elementos esenciales del contrato de seguros.</w:t>
      </w:r>
      <w:bookmarkStart w:id="3" w:name="_Hlk19095176"/>
    </w:p>
    <w:p w14:paraId="6AB96152"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64D77CE0" w14:textId="787DD80E"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Señor delegado téngase en cuenta que </w:t>
      </w:r>
      <w:r w:rsidR="002E1EEE" w:rsidRPr="00A0108E">
        <w:rPr>
          <w:rFonts w:ascii="Century Gothic" w:eastAsia="Calibri" w:hAnsi="Century Gothic" w:cs="Arial"/>
          <w:sz w:val="22"/>
          <w:szCs w:val="22"/>
        </w:rPr>
        <w:t>EL CANCER</w:t>
      </w:r>
      <w:r w:rsidRPr="00A0108E">
        <w:rPr>
          <w:rFonts w:ascii="Century Gothic" w:eastAsia="Calibri" w:hAnsi="Century Gothic" w:cs="Arial"/>
          <w:sz w:val="22"/>
          <w:szCs w:val="22"/>
        </w:rPr>
        <w:t xml:space="preserve"> </w:t>
      </w:r>
      <w:r w:rsidR="00D50EF6" w:rsidRPr="00A0108E">
        <w:rPr>
          <w:rFonts w:ascii="Century Gothic" w:eastAsia="Calibri" w:hAnsi="Century Gothic" w:cs="Arial"/>
          <w:sz w:val="22"/>
          <w:szCs w:val="22"/>
        </w:rPr>
        <w:t>es una </w:t>
      </w:r>
      <w:r w:rsidR="00D50EF6" w:rsidRPr="00A0108E">
        <w:rPr>
          <w:rFonts w:ascii="Century Gothic" w:eastAsia="Calibri" w:hAnsi="Century Gothic" w:cs="Arial"/>
          <w:b/>
          <w:bCs/>
          <w:sz w:val="22"/>
          <w:szCs w:val="22"/>
        </w:rPr>
        <w:t>enfermedad por la que algunas células del cuerpo se multiplican sin control y se diseminan a otras partes del cuerpo</w:t>
      </w:r>
      <w:r w:rsidR="00D50EF6" w:rsidRPr="00A0108E">
        <w:rPr>
          <w:rFonts w:ascii="Century Gothic" w:eastAsia="Calibri" w:hAnsi="Century Gothic" w:cs="Arial"/>
          <w:b/>
          <w:bCs/>
          <w:sz w:val="22"/>
          <w:szCs w:val="22"/>
        </w:rPr>
        <w:t xml:space="preserve"> </w:t>
      </w:r>
      <w:r w:rsidRPr="00A0108E">
        <w:rPr>
          <w:rFonts w:ascii="Century Gothic" w:eastAsia="Calibri" w:hAnsi="Century Gothic" w:cs="Arial"/>
          <w:sz w:val="22"/>
          <w:szCs w:val="22"/>
        </w:rPr>
        <w:t>y compromete de manera importante las funciones normales de la persona.</w:t>
      </w:r>
    </w:p>
    <w:p w14:paraId="39DE8168"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28173911"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4" w:name="_Hlk38980768"/>
      <w:r w:rsidRPr="00A0108E">
        <w:rPr>
          <w:rFonts w:ascii="Century Gothic" w:eastAsia="Calibri" w:hAnsi="Century Gothic" w:cs="Arial"/>
          <w:b/>
          <w:sz w:val="22"/>
          <w:szCs w:val="22"/>
          <w:lang w:val="es-CO"/>
        </w:rPr>
        <w:lastRenderedPageBreak/>
        <w:t>AUSENCIA DE COBERTURA POR EXCLUSIONES EXPRESAS</w:t>
      </w:r>
    </w:p>
    <w:p w14:paraId="59796B14" w14:textId="77777777" w:rsidR="00D50EF6" w:rsidRPr="00A0108E" w:rsidRDefault="00D50EF6" w:rsidP="00D15887">
      <w:pPr>
        <w:autoSpaceDE w:val="0"/>
        <w:autoSpaceDN w:val="0"/>
        <w:adjustRightInd w:val="0"/>
        <w:ind w:left="644"/>
        <w:jc w:val="both"/>
        <w:rPr>
          <w:rFonts w:ascii="Century Gothic" w:eastAsia="Calibri" w:hAnsi="Century Gothic" w:cs="Arial"/>
          <w:b/>
          <w:sz w:val="22"/>
          <w:szCs w:val="22"/>
          <w:lang w:val="es-CO"/>
        </w:rPr>
      </w:pPr>
    </w:p>
    <w:bookmarkEnd w:id="3"/>
    <w:bookmarkEnd w:id="4"/>
    <w:p w14:paraId="1DF50331"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El contrato de seguro es, de acuerdo con la legislación colombiana a través del Código de Comercio, artículo 1036:</w:t>
      </w:r>
    </w:p>
    <w:p w14:paraId="3DC9FB89" w14:textId="77777777" w:rsidR="00D15887" w:rsidRPr="00A0108E" w:rsidRDefault="00D15887" w:rsidP="00E0774A">
      <w:pPr>
        <w:autoSpaceDE w:val="0"/>
        <w:autoSpaceDN w:val="0"/>
        <w:adjustRightInd w:val="0"/>
        <w:jc w:val="both"/>
        <w:rPr>
          <w:rFonts w:ascii="Century Gothic" w:eastAsia="Calibri" w:hAnsi="Century Gothic" w:cs="Arial"/>
          <w:sz w:val="22"/>
          <w:szCs w:val="22"/>
        </w:rPr>
      </w:pPr>
    </w:p>
    <w:p w14:paraId="5B882340" w14:textId="7777777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sz w:val="22"/>
          <w:szCs w:val="22"/>
          <w:lang w:val="es-CO"/>
        </w:rPr>
        <w:t>“</w:t>
      </w:r>
      <w:r w:rsidRPr="00A0108E">
        <w:rPr>
          <w:rFonts w:ascii="Century Gothic" w:eastAsia="Calibri" w:hAnsi="Century Gothic" w:cs="Arial"/>
          <w:i/>
          <w:sz w:val="22"/>
          <w:szCs w:val="22"/>
          <w:lang w:val="es-CO"/>
        </w:rPr>
        <w:t>es un contrato consensual, bilateral, oneroso, aleatorio y de ejecución sucesiva.”</w:t>
      </w:r>
    </w:p>
    <w:p w14:paraId="10BD2DC9"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Podría decirse entonces, que el contrato de seguro no es otra cosa que un negocio jurídico, a través del cual una entidad – asegurador – se obliga a cambio de una prestación pecuniaria denominada prima, </w:t>
      </w:r>
      <w:r w:rsidRPr="00A0108E">
        <w:rPr>
          <w:rFonts w:ascii="Century Gothic" w:eastAsia="Calibri" w:hAnsi="Century Gothic" w:cs="Arial"/>
          <w:b/>
          <w:sz w:val="22"/>
          <w:szCs w:val="22"/>
        </w:rPr>
        <w:t>dentro de unos límites pactados</w:t>
      </w:r>
      <w:r w:rsidRPr="00A0108E">
        <w:rPr>
          <w:rFonts w:ascii="Century Gothic" w:eastAsia="Calibri" w:hAnsi="Century Gothic" w:cs="Arial"/>
          <w:sz w:val="22"/>
          <w:szCs w:val="22"/>
        </w:rPr>
        <w:t xml:space="preserve"> y ante la ocurrencia de un acontecimiento </w:t>
      </w:r>
      <w:r w:rsidRPr="00A0108E">
        <w:rPr>
          <w:rFonts w:ascii="Century Gothic" w:eastAsia="Calibri" w:hAnsi="Century Gothic" w:cs="Arial"/>
          <w:b/>
          <w:sz w:val="22"/>
          <w:szCs w:val="22"/>
        </w:rPr>
        <w:t>incierto</w:t>
      </w:r>
      <w:r w:rsidRPr="00A0108E">
        <w:rPr>
          <w:rFonts w:ascii="Century Gothic" w:eastAsia="Calibri" w:hAnsi="Century Gothic" w:cs="Arial"/>
          <w:sz w:val="22"/>
          <w:szCs w:val="22"/>
        </w:rPr>
        <w:t xml:space="preserve"> cuyo riesgo ha sido objeto de cobertura, a indemnizar al asegurado por los daños ocasionados como consecuencia de la consumación del riesgo amparado.</w:t>
      </w:r>
    </w:p>
    <w:p w14:paraId="01036B20" w14:textId="77777777" w:rsidR="00D15887" w:rsidRPr="00A0108E" w:rsidRDefault="00D15887" w:rsidP="00E0774A">
      <w:pPr>
        <w:autoSpaceDE w:val="0"/>
        <w:autoSpaceDN w:val="0"/>
        <w:adjustRightInd w:val="0"/>
        <w:jc w:val="both"/>
        <w:rPr>
          <w:rFonts w:ascii="Century Gothic" w:eastAsia="Calibri" w:hAnsi="Century Gothic" w:cs="Arial"/>
          <w:i/>
          <w:sz w:val="22"/>
          <w:szCs w:val="22"/>
        </w:rPr>
      </w:pPr>
    </w:p>
    <w:p w14:paraId="44924233"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Al respecto, la Corte en sentencia de casación del 16 de </w:t>
      </w:r>
      <w:proofErr w:type="gramStart"/>
      <w:r w:rsidRPr="00A0108E">
        <w:rPr>
          <w:rFonts w:ascii="Century Gothic" w:eastAsia="Calibri" w:hAnsi="Century Gothic" w:cs="Arial"/>
          <w:sz w:val="22"/>
          <w:szCs w:val="22"/>
        </w:rPr>
        <w:t>Noviembre</w:t>
      </w:r>
      <w:proofErr w:type="gramEnd"/>
      <w:r w:rsidRPr="00A0108E">
        <w:rPr>
          <w:rFonts w:ascii="Century Gothic" w:eastAsia="Calibri" w:hAnsi="Century Gothic" w:cs="Arial"/>
          <w:sz w:val="22"/>
          <w:szCs w:val="22"/>
        </w:rPr>
        <w:t xml:space="preserve"> de 2005 bajo el radicado No. 09539 – 01 especificó que:</w:t>
      </w:r>
    </w:p>
    <w:p w14:paraId="326C40AB" w14:textId="77777777" w:rsidR="00D15887" w:rsidRPr="00A0108E" w:rsidRDefault="00D15887" w:rsidP="00E0774A">
      <w:pPr>
        <w:autoSpaceDE w:val="0"/>
        <w:autoSpaceDN w:val="0"/>
        <w:adjustRightInd w:val="0"/>
        <w:jc w:val="both"/>
        <w:rPr>
          <w:rFonts w:ascii="Century Gothic" w:eastAsia="Calibri" w:hAnsi="Century Gothic" w:cs="Arial"/>
          <w:sz w:val="22"/>
          <w:szCs w:val="22"/>
        </w:rPr>
      </w:pPr>
    </w:p>
    <w:p w14:paraId="3A0271A0" w14:textId="7777777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i/>
          <w:sz w:val="22"/>
          <w:szCs w:val="22"/>
          <w:lang w:val="es-CO"/>
        </w:rPr>
        <w:t>“Según el artículo 3 de la Ley 389 de 1997 el contrato de seguro es hoy en día de carácter consensual; así, modificando el artículo 1036 del C. de Co. Dispuso que “el seguro es un contrato consensual, bilateral, oneroso, aleatorio y de ejecución sucesiva”. Esta reforma fue trascendental porque vino a solucionar numerosos conflictos que se suscitaron cuando se requería la solemnidad de la póliza para su perfeccionamiento (…) Esa misma ley modificó el artículo 1046 del C. de Co. y a partir del carácter consensual de dicho vínculo estableció, sin embargo, un régimen probatorio especial para demostrar su existencia, consistente en que “el contrato de seguro se probará por escrito o por confesión””.</w:t>
      </w:r>
    </w:p>
    <w:p w14:paraId="6EA6A988" w14:textId="77777777" w:rsidR="00D15887" w:rsidRPr="00A0108E" w:rsidRDefault="00D15887" w:rsidP="00E0774A">
      <w:pPr>
        <w:autoSpaceDE w:val="0"/>
        <w:autoSpaceDN w:val="0"/>
        <w:adjustRightInd w:val="0"/>
        <w:jc w:val="both"/>
        <w:rPr>
          <w:rFonts w:ascii="Century Gothic" w:eastAsia="Calibri" w:hAnsi="Century Gothic" w:cs="Arial"/>
          <w:sz w:val="22"/>
          <w:szCs w:val="22"/>
        </w:rPr>
      </w:pPr>
    </w:p>
    <w:p w14:paraId="0ACDCB77" w14:textId="5953606A"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En ese orden de ideas, también es viable afirmar que, en el contrato de seguro, media la voluntad de las partes, una de asumir un riesgo y la otra de trasladar el riesgo. Este negocio jurídico, generalmente se presenta en masa, motivo por el cual es necesario que su desarrollo se presente de manera estandarizada en la ejecución y operación. Frente a la contratación en masa, la Corte Suprema de Justicia, señaló:</w:t>
      </w:r>
    </w:p>
    <w:p w14:paraId="6E65FACC" w14:textId="77777777" w:rsidR="00D15887" w:rsidRPr="00A0108E" w:rsidRDefault="00D15887" w:rsidP="00E0774A">
      <w:pPr>
        <w:autoSpaceDE w:val="0"/>
        <w:autoSpaceDN w:val="0"/>
        <w:adjustRightInd w:val="0"/>
        <w:jc w:val="both"/>
        <w:rPr>
          <w:rFonts w:ascii="Century Gothic" w:eastAsia="Calibri" w:hAnsi="Century Gothic" w:cs="Arial"/>
          <w:sz w:val="22"/>
          <w:szCs w:val="22"/>
        </w:rPr>
      </w:pPr>
    </w:p>
    <w:p w14:paraId="14033A86"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lang w:val="es-CO"/>
        </w:rPr>
      </w:pPr>
      <w:r w:rsidRPr="00A0108E">
        <w:rPr>
          <w:rFonts w:ascii="Century Gothic" w:eastAsia="Calibri" w:hAnsi="Century Gothic" w:cs="Arial"/>
          <w:i/>
          <w:sz w:val="22"/>
          <w:szCs w:val="22"/>
          <w:lang w:val="es-CO"/>
        </w:rPr>
        <w:t xml:space="preserve">“Para que un acto jurídico productivo de obligaciones constituya contrato, es suficiente que dos o más personas concurran a su formación y </w:t>
      </w:r>
      <w:r w:rsidRPr="00A0108E">
        <w:rPr>
          <w:rFonts w:ascii="Century Gothic" w:eastAsia="Calibri" w:hAnsi="Century Gothic" w:cs="Arial"/>
          <w:i/>
          <w:sz w:val="22"/>
          <w:szCs w:val="22"/>
          <w:u w:val="single"/>
          <w:lang w:val="es-CO"/>
        </w:rPr>
        <w:t>poco importa que, al hacerlo, una de ellas se limite a aceptar las condiciones impuestas por la otra; aun así, aquélla ha contribuido a la celebración del contrato, puesto que voluntariamente lo ha aceptado, habiendo podido no hacerlo”</w:t>
      </w:r>
    </w:p>
    <w:p w14:paraId="6BE2D0A8" w14:textId="77777777" w:rsidR="00D15887" w:rsidRPr="00A0108E" w:rsidRDefault="00D15887" w:rsidP="00E0774A">
      <w:pPr>
        <w:autoSpaceDE w:val="0"/>
        <w:autoSpaceDN w:val="0"/>
        <w:adjustRightInd w:val="0"/>
        <w:jc w:val="both"/>
        <w:rPr>
          <w:rFonts w:ascii="Century Gothic" w:eastAsia="Calibri" w:hAnsi="Century Gothic" w:cs="Arial"/>
          <w:sz w:val="22"/>
          <w:szCs w:val="22"/>
        </w:rPr>
      </w:pPr>
    </w:p>
    <w:p w14:paraId="5AE8D330" w14:textId="0AC2BD3F"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Ahora bien, no se puede dejar de lado que el legislador facultó a las aseguradoras para que establecieran cláusulas contractuales, que permiten por ejemplo que aquellas </w:t>
      </w:r>
      <w:r w:rsidRPr="00A0108E">
        <w:rPr>
          <w:rFonts w:ascii="Century Gothic" w:eastAsia="Calibri" w:hAnsi="Century Gothic" w:cs="Arial"/>
          <w:b/>
          <w:sz w:val="22"/>
          <w:szCs w:val="22"/>
        </w:rPr>
        <w:t>delimiten</w:t>
      </w:r>
      <w:r w:rsidRPr="00A0108E">
        <w:rPr>
          <w:rFonts w:ascii="Century Gothic" w:eastAsia="Calibri" w:hAnsi="Century Gothic" w:cs="Arial"/>
          <w:sz w:val="22"/>
          <w:szCs w:val="22"/>
        </w:rPr>
        <w:t xml:space="preserve"> los riesgos que asumen, a través de exclusiones; así el artículo 1056 del Código de Comercio, señala:</w:t>
      </w:r>
    </w:p>
    <w:p w14:paraId="30FAAE3B"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A02A73B" w14:textId="77777777" w:rsidR="00D15887" w:rsidRPr="00A0108E" w:rsidRDefault="00D15887" w:rsidP="00E0774A">
      <w:pPr>
        <w:autoSpaceDE w:val="0"/>
        <w:autoSpaceDN w:val="0"/>
        <w:adjustRightInd w:val="0"/>
        <w:jc w:val="both"/>
        <w:rPr>
          <w:rFonts w:ascii="Century Gothic" w:eastAsia="Calibri" w:hAnsi="Century Gothic" w:cs="Arial"/>
          <w:b/>
          <w:bCs/>
          <w:sz w:val="22"/>
          <w:szCs w:val="22"/>
          <w:lang w:val="es-CO"/>
        </w:rPr>
      </w:pPr>
    </w:p>
    <w:p w14:paraId="07731A97" w14:textId="77777777" w:rsidR="00D15887" w:rsidRPr="00A0108E" w:rsidRDefault="00D15887" w:rsidP="00E0774A">
      <w:pPr>
        <w:autoSpaceDE w:val="0"/>
        <w:autoSpaceDN w:val="0"/>
        <w:adjustRightInd w:val="0"/>
        <w:jc w:val="both"/>
        <w:rPr>
          <w:rFonts w:ascii="Century Gothic" w:eastAsia="Calibri" w:hAnsi="Century Gothic" w:cs="Arial"/>
          <w:b/>
          <w:bCs/>
          <w:sz w:val="22"/>
          <w:szCs w:val="22"/>
          <w:lang w:val="es-CO"/>
        </w:rPr>
      </w:pPr>
    </w:p>
    <w:p w14:paraId="1BFAE673" w14:textId="52D66F2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b/>
          <w:bCs/>
          <w:sz w:val="22"/>
          <w:szCs w:val="22"/>
          <w:lang w:val="es-CO"/>
        </w:rPr>
        <w:lastRenderedPageBreak/>
        <w:t>“</w:t>
      </w:r>
      <w:r w:rsidRPr="00A0108E">
        <w:rPr>
          <w:rFonts w:ascii="Century Gothic" w:eastAsia="Calibri" w:hAnsi="Century Gothic" w:cs="Arial"/>
          <w:b/>
          <w:bCs/>
          <w:i/>
          <w:sz w:val="22"/>
          <w:szCs w:val="22"/>
          <w:lang w:val="es-CO"/>
        </w:rPr>
        <w:t>ASUNCIÓN DE RIESGOS.</w:t>
      </w:r>
      <w:r w:rsidRPr="00A0108E">
        <w:rPr>
          <w:rFonts w:ascii="Century Gothic" w:eastAsia="Calibri" w:hAnsi="Century Gothic" w:cs="Arial"/>
          <w:i/>
          <w:sz w:val="22"/>
          <w:szCs w:val="22"/>
          <w:lang w:val="es-CO"/>
        </w:rPr>
        <w:t> Con las restricciones legales, el asegurador pondrá, a su arbitrio, asumir todos o algunos de los riesgos a que estén expuestos el interés o la cosa asegurados, el patrimonio o la persona del asegurado.”</w:t>
      </w:r>
    </w:p>
    <w:p w14:paraId="29AE1FD5" w14:textId="77777777" w:rsidR="00E1285C" w:rsidRPr="00A0108E" w:rsidRDefault="00E1285C" w:rsidP="00E0774A">
      <w:pPr>
        <w:autoSpaceDE w:val="0"/>
        <w:autoSpaceDN w:val="0"/>
        <w:adjustRightInd w:val="0"/>
        <w:jc w:val="both"/>
        <w:rPr>
          <w:rFonts w:ascii="Century Gothic" w:eastAsia="Calibri" w:hAnsi="Century Gothic" w:cs="Arial"/>
          <w:i/>
          <w:sz w:val="22"/>
          <w:szCs w:val="22"/>
          <w:lang w:val="es-CO"/>
        </w:rPr>
      </w:pPr>
    </w:p>
    <w:p w14:paraId="06B1A3B6" w14:textId="77777777" w:rsidR="00E1285C"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De acuerdo con lo anteriormente mencionado, es viable afirmar que en tanto el contrato de seguro es aleatorio, ha sido deseo de la ley que se deba procurar un </w:t>
      </w:r>
      <w:r w:rsidRPr="00A0108E">
        <w:rPr>
          <w:rFonts w:ascii="Century Gothic" w:eastAsia="Calibri" w:hAnsi="Century Gothic" w:cs="Arial"/>
          <w:b/>
          <w:sz w:val="22"/>
          <w:szCs w:val="22"/>
          <w:u w:val="single"/>
        </w:rPr>
        <w:t>equilibrio entre el riesgo que asume el asegurador y la contraprestación a cargo del tomador – asegurado</w:t>
      </w:r>
      <w:r w:rsidRPr="00A0108E">
        <w:rPr>
          <w:rFonts w:ascii="Century Gothic" w:eastAsia="Calibri" w:hAnsi="Century Gothic" w:cs="Arial"/>
          <w:sz w:val="22"/>
          <w:szCs w:val="22"/>
        </w:rPr>
        <w:t xml:space="preserve">.  </w:t>
      </w:r>
    </w:p>
    <w:p w14:paraId="69CB5BC5" w14:textId="77777777" w:rsidR="00E1285C" w:rsidRPr="00A0108E" w:rsidRDefault="00E1285C" w:rsidP="00E0774A">
      <w:pPr>
        <w:autoSpaceDE w:val="0"/>
        <w:autoSpaceDN w:val="0"/>
        <w:adjustRightInd w:val="0"/>
        <w:jc w:val="both"/>
        <w:rPr>
          <w:rFonts w:ascii="Century Gothic" w:eastAsia="Calibri" w:hAnsi="Century Gothic" w:cs="Arial"/>
          <w:sz w:val="22"/>
          <w:szCs w:val="22"/>
        </w:rPr>
      </w:pPr>
    </w:p>
    <w:p w14:paraId="03679B87" w14:textId="67E225A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Esta es la razón por la cual artículo 1044 del Código de Comercio, establece la facultad del ente asegurador de oponer al beneficiario del contrato de seguro, las excepciones que le hubiera propuesto al asegurado o al tomador.  De igual forma, el artículo 1056 de la ya referida norma, otorga la facultad al asegurador, de asumir todos o solo alguno de los riesgos, o delimitar el riesgo que asume. En ese orden de ideas, si el asegurado o tomador, incurre en algún tipo de exclusión de las previamente pactadas, dicha exclusión del amparo es oponible tanto al tomador, al asegurado e incluso al beneficiario. </w:t>
      </w:r>
    </w:p>
    <w:p w14:paraId="38C6440A"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292CFDBD" w14:textId="35EBE36F"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Para el caso en comento, se tiene que la asegurada fue incluida en una </w:t>
      </w:r>
      <w:r w:rsidRPr="00A0108E">
        <w:rPr>
          <w:rFonts w:ascii="Century Gothic" w:eastAsia="Calibri" w:hAnsi="Century Gothic" w:cs="Arial"/>
          <w:b/>
          <w:sz w:val="22"/>
          <w:szCs w:val="22"/>
        </w:rPr>
        <w:t xml:space="preserve">póliza vida grupo,   </w:t>
      </w:r>
      <w:r w:rsidRPr="00A0108E">
        <w:rPr>
          <w:rFonts w:ascii="Century Gothic" w:eastAsia="Calibri" w:hAnsi="Century Gothic" w:cs="Arial"/>
          <w:sz w:val="22"/>
          <w:szCs w:val="22"/>
        </w:rPr>
        <w:t>que amparaba los riesgos de muerte, invalidez</w:t>
      </w:r>
      <w:r w:rsidR="00E1285C" w:rsidRPr="00A0108E">
        <w:rPr>
          <w:rFonts w:ascii="Century Gothic" w:eastAsia="Calibri" w:hAnsi="Century Gothic" w:cs="Arial"/>
          <w:sz w:val="22"/>
          <w:szCs w:val="22"/>
        </w:rPr>
        <w:t xml:space="preserve">, </w:t>
      </w:r>
      <w:r w:rsidRPr="00A0108E">
        <w:rPr>
          <w:rFonts w:ascii="Century Gothic" w:eastAsia="Calibri" w:hAnsi="Century Gothic" w:cs="Arial"/>
          <w:sz w:val="22"/>
          <w:szCs w:val="22"/>
        </w:rPr>
        <w:t xml:space="preserve">para la inclusión a dicho contrato de seguro, se le solicitó la suscripción de un certificado de ingreso, </w:t>
      </w:r>
      <w:r w:rsidR="00E1285C" w:rsidRPr="00A0108E">
        <w:rPr>
          <w:rFonts w:ascii="Century Gothic" w:eastAsia="Calibri" w:hAnsi="Century Gothic" w:cs="Arial"/>
          <w:sz w:val="22"/>
          <w:szCs w:val="22"/>
        </w:rPr>
        <w:t xml:space="preserve">o </w:t>
      </w:r>
      <w:r w:rsidRPr="00A0108E">
        <w:rPr>
          <w:rFonts w:ascii="Century Gothic" w:eastAsia="Calibri" w:hAnsi="Century Gothic" w:cs="Arial"/>
          <w:sz w:val="22"/>
          <w:szCs w:val="22"/>
        </w:rPr>
        <w:t xml:space="preserve">solicitud de seguro </w:t>
      </w:r>
      <w:r w:rsidR="00E1285C" w:rsidRPr="00A0108E">
        <w:rPr>
          <w:rFonts w:ascii="Century Gothic" w:eastAsia="Calibri" w:hAnsi="Century Gothic" w:cs="Arial"/>
          <w:sz w:val="22"/>
          <w:szCs w:val="22"/>
        </w:rPr>
        <w:t xml:space="preserve">o </w:t>
      </w:r>
      <w:r w:rsidRPr="00A0108E">
        <w:rPr>
          <w:rFonts w:ascii="Century Gothic" w:eastAsia="Calibri" w:hAnsi="Century Gothic" w:cs="Arial"/>
          <w:sz w:val="22"/>
          <w:szCs w:val="22"/>
        </w:rPr>
        <w:t xml:space="preserve">declaración de asegurabilidad, en la que se establecían de forma clara, las condiciones del contrato de seguro, y sobre todo, se le preguntaba al potencial asegurado si previo a la suscripción de dicho documento había sido diagnosticado de alguna de las enfermedades allí señaladas; sin embargo, la </w:t>
      </w:r>
      <w:r w:rsidR="00E1285C" w:rsidRPr="00A0108E">
        <w:rPr>
          <w:rFonts w:ascii="Century Gothic" w:eastAsia="Calibri" w:hAnsi="Century Gothic" w:cs="Arial"/>
          <w:sz w:val="22"/>
          <w:szCs w:val="22"/>
        </w:rPr>
        <w:t>señora LIGIA GONZALEZ (q.e.p.d)</w:t>
      </w:r>
      <w:r w:rsidRPr="00A0108E">
        <w:rPr>
          <w:rFonts w:ascii="Century Gothic" w:eastAsia="Calibri" w:hAnsi="Century Gothic" w:cs="Arial"/>
          <w:sz w:val="22"/>
          <w:szCs w:val="22"/>
        </w:rPr>
        <w:t xml:space="preserve"> suscribió el documento sin realizar salvedad alguna frente a su padecimiento de </w:t>
      </w:r>
      <w:r w:rsidR="00761CCC" w:rsidRPr="00A0108E">
        <w:rPr>
          <w:rFonts w:ascii="Century Gothic" w:eastAsia="Calibri" w:hAnsi="Century Gothic" w:cs="Arial"/>
          <w:b/>
          <w:sz w:val="22"/>
          <w:szCs w:val="22"/>
        </w:rPr>
        <w:t>CANCER E HIPERTENSION</w:t>
      </w:r>
      <w:r w:rsidRPr="00A0108E">
        <w:rPr>
          <w:rFonts w:ascii="Century Gothic" w:eastAsia="Calibri" w:hAnsi="Century Gothic" w:cs="Arial"/>
          <w:b/>
          <w:sz w:val="22"/>
          <w:szCs w:val="22"/>
        </w:rPr>
        <w:t xml:space="preserve">.  </w:t>
      </w:r>
      <w:r w:rsidRPr="00A0108E">
        <w:rPr>
          <w:rFonts w:ascii="Century Gothic" w:eastAsia="Calibri" w:hAnsi="Century Gothic" w:cs="Arial"/>
          <w:sz w:val="22"/>
          <w:szCs w:val="22"/>
        </w:rPr>
        <w:t>incumpliendo así los requisitos de asegurabilidad.</w:t>
      </w:r>
    </w:p>
    <w:p w14:paraId="3E0F07CA"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1AA98D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En el contrato de seguro vida grupo, previamente se habían pactado unas condiciones particulares y unas condiciones generales que debían cumplirse a cabalidad para que el seguro pudiera hacerse efectivo en el momento en que ocurriera el siniestro.</w:t>
      </w:r>
    </w:p>
    <w:p w14:paraId="7A9D11EB" w14:textId="77777777" w:rsidR="007858E8" w:rsidRPr="00A0108E" w:rsidRDefault="007858E8" w:rsidP="00E0774A">
      <w:pPr>
        <w:autoSpaceDE w:val="0"/>
        <w:autoSpaceDN w:val="0"/>
        <w:adjustRightInd w:val="0"/>
        <w:jc w:val="both"/>
        <w:rPr>
          <w:rFonts w:ascii="Century Gothic" w:eastAsia="Calibri" w:hAnsi="Century Gothic" w:cs="Arial"/>
          <w:sz w:val="22"/>
          <w:szCs w:val="22"/>
        </w:rPr>
      </w:pPr>
    </w:p>
    <w:p w14:paraId="735ED917" w14:textId="610A268A" w:rsidR="007858E8" w:rsidRPr="00A0108E" w:rsidRDefault="007858E8" w:rsidP="007858E8">
      <w:pPr>
        <w:autoSpaceDE w:val="0"/>
        <w:autoSpaceDN w:val="0"/>
        <w:adjustRightInd w:val="0"/>
        <w:jc w:val="both"/>
        <w:rPr>
          <w:rFonts w:ascii="Century Gothic" w:eastAsia="Calibri" w:hAnsi="Century Gothic" w:cs="Arial"/>
          <w:sz w:val="22"/>
          <w:szCs w:val="22"/>
        </w:rPr>
      </w:pPr>
      <w:r w:rsidRPr="007858E8">
        <w:rPr>
          <w:rFonts w:ascii="Century Gothic" w:eastAsia="Calibri" w:hAnsi="Century Gothic" w:cs="Arial"/>
          <w:sz w:val="22"/>
          <w:szCs w:val="22"/>
        </w:rPr>
        <w:t>De acuerdo con las documentales que se aportan, es claro que dentro de las condiciones indica que habría lugar a amparo o cobertura siempre que el asegurado cumpliera, entre otras cosas, los requisitos de asegurabilidad</w:t>
      </w:r>
      <w:r w:rsidR="00B30B6C" w:rsidRPr="00A0108E">
        <w:rPr>
          <w:rFonts w:ascii="Century Gothic" w:eastAsia="Calibri" w:hAnsi="Century Gothic" w:cs="Arial"/>
          <w:sz w:val="22"/>
          <w:szCs w:val="22"/>
        </w:rPr>
        <w:t>:</w:t>
      </w:r>
    </w:p>
    <w:p w14:paraId="7A5BB885" w14:textId="5CB16CC1"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lastRenderedPageBreak/>
        <w:drawing>
          <wp:inline distT="0" distB="0" distL="0" distR="0" wp14:anchorId="1DA61523" wp14:editId="07859E35">
            <wp:extent cx="4000500" cy="5038725"/>
            <wp:effectExtent l="0" t="0" r="0" b="9525"/>
            <wp:docPr id="371909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90946" name=""/>
                    <pic:cNvPicPr/>
                  </pic:nvPicPr>
                  <pic:blipFill>
                    <a:blip r:embed="rId28"/>
                    <a:stretch>
                      <a:fillRect/>
                    </a:stretch>
                  </pic:blipFill>
                  <pic:spPr>
                    <a:xfrm>
                      <a:off x="0" y="0"/>
                      <a:ext cx="4000500" cy="5038725"/>
                    </a:xfrm>
                    <a:prstGeom prst="rect">
                      <a:avLst/>
                    </a:prstGeom>
                  </pic:spPr>
                </pic:pic>
              </a:graphicData>
            </a:graphic>
          </wp:inline>
        </w:drawing>
      </w:r>
    </w:p>
    <w:p w14:paraId="69C4B23A" w14:textId="52CDAB88"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373A69D5" wp14:editId="447763B4">
            <wp:extent cx="4105275" cy="3086100"/>
            <wp:effectExtent l="0" t="0" r="9525" b="0"/>
            <wp:docPr id="78415149"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15149" name="Imagen 1" descr="Tabla&#10;&#10;El contenido generado por IA puede ser incorrecto."/>
                    <pic:cNvPicPr/>
                  </pic:nvPicPr>
                  <pic:blipFill>
                    <a:blip r:embed="rId29"/>
                    <a:stretch>
                      <a:fillRect/>
                    </a:stretch>
                  </pic:blipFill>
                  <pic:spPr>
                    <a:xfrm>
                      <a:off x="0" y="0"/>
                      <a:ext cx="4105275" cy="3086100"/>
                    </a:xfrm>
                    <a:prstGeom prst="rect">
                      <a:avLst/>
                    </a:prstGeom>
                  </pic:spPr>
                </pic:pic>
              </a:graphicData>
            </a:graphic>
          </wp:inline>
        </w:drawing>
      </w:r>
    </w:p>
    <w:p w14:paraId="492BB405"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7779A245" w14:textId="6D31E173"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2DA2E520" wp14:editId="52FA0B21">
            <wp:extent cx="3733800" cy="1400175"/>
            <wp:effectExtent l="0" t="0" r="0" b="9525"/>
            <wp:docPr id="526214172"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214172" name="Imagen 1" descr="Texto&#10;&#10;El contenido generado por IA puede ser incorrecto."/>
                    <pic:cNvPicPr/>
                  </pic:nvPicPr>
                  <pic:blipFill>
                    <a:blip r:embed="rId30"/>
                    <a:stretch>
                      <a:fillRect/>
                    </a:stretch>
                  </pic:blipFill>
                  <pic:spPr>
                    <a:xfrm>
                      <a:off x="0" y="0"/>
                      <a:ext cx="3733800" cy="1400175"/>
                    </a:xfrm>
                    <a:prstGeom prst="rect">
                      <a:avLst/>
                    </a:prstGeom>
                  </pic:spPr>
                </pic:pic>
              </a:graphicData>
            </a:graphic>
          </wp:inline>
        </w:drawing>
      </w:r>
    </w:p>
    <w:p w14:paraId="0B172E9B" w14:textId="7E4366F8"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7AD238BE" wp14:editId="72B3E295">
            <wp:extent cx="3867150" cy="4800600"/>
            <wp:effectExtent l="0" t="0" r="0" b="0"/>
            <wp:docPr id="464213794"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213794" name="Imagen 1" descr="Texto, Carta&#10;&#10;El contenido generado por IA puede ser incorrecto."/>
                    <pic:cNvPicPr/>
                  </pic:nvPicPr>
                  <pic:blipFill>
                    <a:blip r:embed="rId31"/>
                    <a:stretch>
                      <a:fillRect/>
                    </a:stretch>
                  </pic:blipFill>
                  <pic:spPr>
                    <a:xfrm>
                      <a:off x="0" y="0"/>
                      <a:ext cx="3867150" cy="4800600"/>
                    </a:xfrm>
                    <a:prstGeom prst="rect">
                      <a:avLst/>
                    </a:prstGeom>
                  </pic:spPr>
                </pic:pic>
              </a:graphicData>
            </a:graphic>
          </wp:inline>
        </w:drawing>
      </w:r>
    </w:p>
    <w:p w14:paraId="2E781BE8"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5739B086"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3CFCA21C"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3AA2E248"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5D067953"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505CBD02"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77C3E9E0"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6850932A" w14:textId="77777777" w:rsidR="00B30B6C" w:rsidRPr="00A0108E" w:rsidRDefault="00B30B6C" w:rsidP="007858E8">
      <w:pPr>
        <w:autoSpaceDE w:val="0"/>
        <w:autoSpaceDN w:val="0"/>
        <w:adjustRightInd w:val="0"/>
        <w:jc w:val="both"/>
        <w:rPr>
          <w:rFonts w:ascii="Century Gothic" w:eastAsia="Calibri" w:hAnsi="Century Gothic" w:cs="Arial"/>
          <w:sz w:val="22"/>
          <w:szCs w:val="22"/>
        </w:rPr>
      </w:pPr>
    </w:p>
    <w:p w14:paraId="5C9D669A" w14:textId="6A3EE20D"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lastRenderedPageBreak/>
        <w:drawing>
          <wp:inline distT="0" distB="0" distL="0" distR="0" wp14:anchorId="0972FE3E" wp14:editId="41DAFDCF">
            <wp:extent cx="4000500" cy="4981575"/>
            <wp:effectExtent l="0" t="0" r="0" b="9525"/>
            <wp:docPr id="1855805174"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805174" name="Imagen 1" descr="Tabla&#10;&#10;El contenido generado por IA puede ser incorrecto."/>
                    <pic:cNvPicPr/>
                  </pic:nvPicPr>
                  <pic:blipFill>
                    <a:blip r:embed="rId32"/>
                    <a:stretch>
                      <a:fillRect/>
                    </a:stretch>
                  </pic:blipFill>
                  <pic:spPr>
                    <a:xfrm>
                      <a:off x="0" y="0"/>
                      <a:ext cx="4000500" cy="4981575"/>
                    </a:xfrm>
                    <a:prstGeom prst="rect">
                      <a:avLst/>
                    </a:prstGeom>
                  </pic:spPr>
                </pic:pic>
              </a:graphicData>
            </a:graphic>
          </wp:inline>
        </w:drawing>
      </w:r>
    </w:p>
    <w:p w14:paraId="2452FC78" w14:textId="6B562693" w:rsidR="00B30B6C" w:rsidRPr="00A0108E" w:rsidRDefault="00B30B6C"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6312D59A" wp14:editId="4CB9BCAC">
            <wp:extent cx="3800475" cy="1133475"/>
            <wp:effectExtent l="0" t="0" r="9525" b="9525"/>
            <wp:docPr id="1909421489" name="Imagen 1" descr="Imagen que contiene interior, tabla, foto, av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421489" name="Imagen 1" descr="Imagen que contiene interior, tabla, foto, ave&#10;&#10;El contenido generado por IA puede ser incorrecto."/>
                    <pic:cNvPicPr/>
                  </pic:nvPicPr>
                  <pic:blipFill>
                    <a:blip r:embed="rId33"/>
                    <a:stretch>
                      <a:fillRect/>
                    </a:stretch>
                  </pic:blipFill>
                  <pic:spPr>
                    <a:xfrm>
                      <a:off x="0" y="0"/>
                      <a:ext cx="3800475" cy="1133475"/>
                    </a:xfrm>
                    <a:prstGeom prst="rect">
                      <a:avLst/>
                    </a:prstGeom>
                  </pic:spPr>
                </pic:pic>
              </a:graphicData>
            </a:graphic>
          </wp:inline>
        </w:drawing>
      </w:r>
    </w:p>
    <w:p w14:paraId="64AD7069" w14:textId="67F134E3" w:rsidR="00875575" w:rsidRPr="00A0108E" w:rsidRDefault="00875575" w:rsidP="007858E8">
      <w:pPr>
        <w:autoSpaceDE w:val="0"/>
        <w:autoSpaceDN w:val="0"/>
        <w:adjustRightInd w:val="0"/>
        <w:jc w:val="both"/>
        <w:rPr>
          <w:rFonts w:ascii="Century Gothic" w:eastAsia="Calibri" w:hAnsi="Century Gothic" w:cs="Arial"/>
          <w:sz w:val="22"/>
          <w:szCs w:val="22"/>
        </w:rPr>
      </w:pPr>
      <w:r w:rsidRPr="00A0108E">
        <w:rPr>
          <w:rFonts w:ascii="Century Gothic" w:hAnsi="Century Gothic"/>
          <w:noProof/>
          <w:sz w:val="22"/>
          <w:szCs w:val="22"/>
        </w:rPr>
        <w:drawing>
          <wp:inline distT="0" distB="0" distL="0" distR="0" wp14:anchorId="2B86E838" wp14:editId="219C6A38">
            <wp:extent cx="3581400" cy="1933575"/>
            <wp:effectExtent l="0" t="0" r="0" b="9525"/>
            <wp:docPr id="156502912"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02912" name="Imagen 1" descr="Texto&#10;&#10;El contenido generado por IA puede ser incorrecto."/>
                    <pic:cNvPicPr/>
                  </pic:nvPicPr>
                  <pic:blipFill>
                    <a:blip r:embed="rId34"/>
                    <a:stretch>
                      <a:fillRect/>
                    </a:stretch>
                  </pic:blipFill>
                  <pic:spPr>
                    <a:xfrm>
                      <a:off x="0" y="0"/>
                      <a:ext cx="3581400" cy="1933575"/>
                    </a:xfrm>
                    <a:prstGeom prst="rect">
                      <a:avLst/>
                    </a:prstGeom>
                  </pic:spPr>
                </pic:pic>
              </a:graphicData>
            </a:graphic>
          </wp:inline>
        </w:drawing>
      </w:r>
    </w:p>
    <w:p w14:paraId="26B279F2" w14:textId="1B0765BC" w:rsidR="00301002" w:rsidRPr="00301002" w:rsidRDefault="00301002" w:rsidP="00301002">
      <w:pPr>
        <w:autoSpaceDE w:val="0"/>
        <w:autoSpaceDN w:val="0"/>
        <w:adjustRightInd w:val="0"/>
        <w:jc w:val="both"/>
        <w:rPr>
          <w:rFonts w:ascii="Century Gothic" w:eastAsia="Calibri" w:hAnsi="Century Gothic" w:cs="Arial"/>
          <w:bCs/>
          <w:sz w:val="22"/>
          <w:szCs w:val="22"/>
        </w:rPr>
      </w:pPr>
      <w:r w:rsidRPr="00301002">
        <w:rPr>
          <w:rFonts w:ascii="Century Gothic" w:eastAsia="Calibri" w:hAnsi="Century Gothic" w:cs="Arial"/>
          <w:bCs/>
          <w:sz w:val="22"/>
          <w:szCs w:val="22"/>
        </w:rPr>
        <w:lastRenderedPageBreak/>
        <w:t xml:space="preserve">En ese orden de ideas, al mediar una exclusión expresa del contrato de seguro, </w:t>
      </w:r>
      <w:r w:rsidRPr="00A0108E">
        <w:rPr>
          <w:rFonts w:ascii="Century Gothic" w:eastAsia="Calibri" w:hAnsi="Century Gothic" w:cs="Arial"/>
          <w:bCs/>
          <w:sz w:val="22"/>
          <w:szCs w:val="22"/>
        </w:rPr>
        <w:t xml:space="preserve">en la póliza, en el slip, </w:t>
      </w:r>
      <w:r w:rsidRPr="00301002">
        <w:rPr>
          <w:rFonts w:ascii="Century Gothic" w:eastAsia="Calibri" w:hAnsi="Century Gothic" w:cs="Arial"/>
          <w:bCs/>
          <w:sz w:val="22"/>
          <w:szCs w:val="22"/>
        </w:rPr>
        <w:t>no existe obligación alguna a cargo de mi representada de amparar la muerte de la madre de la demandante, por lo cual solicito se declare fundada la presente exceptiva.</w:t>
      </w:r>
    </w:p>
    <w:p w14:paraId="68B63C61"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323751FF"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5" w:name="_Hlk19095184"/>
      <w:r w:rsidRPr="00A0108E">
        <w:rPr>
          <w:rFonts w:ascii="Century Gothic" w:eastAsia="Calibri" w:hAnsi="Century Gothic" w:cs="Arial"/>
          <w:b/>
          <w:sz w:val="22"/>
          <w:szCs w:val="22"/>
          <w:lang w:val="es-CO"/>
        </w:rPr>
        <w:t xml:space="preserve">BUENA FE CONTRACTUAL DE LA EQUIDAD SEGUROS VIDA O.C. AL MOMENTO DE EXPEDIR EL SEGURO DE VIDA DEUDOR </w:t>
      </w:r>
    </w:p>
    <w:p w14:paraId="3BC3019D" w14:textId="77777777" w:rsidR="00905575" w:rsidRPr="00A0108E" w:rsidRDefault="00905575" w:rsidP="00886962">
      <w:pPr>
        <w:autoSpaceDE w:val="0"/>
        <w:autoSpaceDN w:val="0"/>
        <w:adjustRightInd w:val="0"/>
        <w:ind w:left="644"/>
        <w:jc w:val="both"/>
        <w:rPr>
          <w:rFonts w:ascii="Century Gothic" w:eastAsia="Calibri" w:hAnsi="Century Gothic" w:cs="Arial"/>
          <w:b/>
          <w:sz w:val="22"/>
          <w:szCs w:val="22"/>
          <w:lang w:val="es-CO"/>
        </w:rPr>
      </w:pPr>
    </w:p>
    <w:bookmarkEnd w:id="5"/>
    <w:p w14:paraId="0F5167AD" w14:textId="5550749F"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El artículo 871 del Código de Comercio, señala como principio general de todos los actos mercantiles, </w:t>
      </w:r>
      <w:r w:rsidRPr="00A0108E">
        <w:rPr>
          <w:rFonts w:ascii="Century Gothic" w:eastAsia="Calibri" w:hAnsi="Century Gothic" w:cs="Arial"/>
          <w:b/>
          <w:sz w:val="22"/>
          <w:szCs w:val="22"/>
        </w:rPr>
        <w:t xml:space="preserve">la buena fé, </w:t>
      </w:r>
      <w:r w:rsidRPr="00A0108E">
        <w:rPr>
          <w:rFonts w:ascii="Century Gothic" w:eastAsia="Calibri" w:hAnsi="Century Gothic" w:cs="Arial"/>
          <w:sz w:val="22"/>
          <w:szCs w:val="22"/>
        </w:rPr>
        <w:t xml:space="preserve">de quienes intervienen en su perfeccionamiento, por lo que los acuerdos de voluntades se rigen, fuera de lo pactado expresamente en ellos, por lo que corresponda a la naturaleza de </w:t>
      </w:r>
      <w:r w:rsidR="00886962" w:rsidRPr="00A0108E">
        <w:rPr>
          <w:rFonts w:ascii="Century Gothic" w:eastAsia="Calibri" w:hAnsi="Century Gothic" w:cs="Arial"/>
          <w:sz w:val="22"/>
          <w:szCs w:val="22"/>
        </w:rPr>
        <w:t>estos</w:t>
      </w:r>
      <w:r w:rsidRPr="00A0108E">
        <w:rPr>
          <w:rFonts w:ascii="Century Gothic" w:eastAsia="Calibri" w:hAnsi="Century Gothic" w:cs="Arial"/>
          <w:sz w:val="22"/>
          <w:szCs w:val="22"/>
        </w:rPr>
        <w:t>.</w:t>
      </w:r>
    </w:p>
    <w:p w14:paraId="410308A0"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C6EC57B"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Ahora bien, aun cuando el artículo 1036 del código de comercio no lo menciona taxativamente, la jurisprudencia y la doctrina ha coincidido en mencionar que el contrato de </w:t>
      </w:r>
      <w:proofErr w:type="gramStart"/>
      <w:r w:rsidRPr="00A0108E">
        <w:rPr>
          <w:rFonts w:ascii="Century Gothic" w:eastAsia="Calibri" w:hAnsi="Century Gothic" w:cs="Arial"/>
          <w:sz w:val="22"/>
          <w:szCs w:val="22"/>
        </w:rPr>
        <w:t>seguro,</w:t>
      </w:r>
      <w:proofErr w:type="gramEnd"/>
      <w:r w:rsidRPr="00A0108E">
        <w:rPr>
          <w:rFonts w:ascii="Century Gothic" w:eastAsia="Calibri" w:hAnsi="Century Gothic" w:cs="Arial"/>
          <w:sz w:val="22"/>
          <w:szCs w:val="22"/>
        </w:rPr>
        <w:t xml:space="preserve"> además es un </w:t>
      </w:r>
      <w:r w:rsidRPr="00A0108E">
        <w:rPr>
          <w:rFonts w:ascii="Century Gothic" w:eastAsia="Calibri" w:hAnsi="Century Gothic" w:cs="Arial"/>
          <w:b/>
          <w:i/>
          <w:sz w:val="22"/>
          <w:szCs w:val="22"/>
          <w:u w:val="single"/>
        </w:rPr>
        <w:t>contrato especial de ubérrima buena fe,</w:t>
      </w:r>
      <w:r w:rsidRPr="00A0108E">
        <w:rPr>
          <w:rFonts w:ascii="Century Gothic" w:eastAsia="Calibri" w:hAnsi="Century Gothic" w:cs="Arial"/>
          <w:sz w:val="22"/>
          <w:szCs w:val="22"/>
        </w:rPr>
        <w:t xml:space="preserve"> por tanto, ambas partes en las afirmaciones relacionadas con el riesgo y las condiciones del contrato se sujetan a cierta lealtad y honestidad desde su celebración hasta la ejecución del mismo. De conformidad con lo dispuesto en el artículo 1058 del C.Co., el tomador o asegurado debe declarar con sinceridad los hechos y circunstancias que determinan el estado del riesgo, puesto que ello constituye la base de la contratación.</w:t>
      </w:r>
    </w:p>
    <w:p w14:paraId="309AD3FB"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EC304EC" w14:textId="77777777" w:rsidR="00E0774A" w:rsidRPr="00A0108E" w:rsidRDefault="00E0774A" w:rsidP="00E0774A">
      <w:pPr>
        <w:autoSpaceDE w:val="0"/>
        <w:autoSpaceDN w:val="0"/>
        <w:adjustRightInd w:val="0"/>
        <w:jc w:val="both"/>
        <w:rPr>
          <w:rFonts w:ascii="Century Gothic" w:eastAsia="Calibri" w:hAnsi="Century Gothic" w:cs="Arial"/>
          <w:b/>
          <w:bCs/>
          <w:sz w:val="22"/>
          <w:szCs w:val="22"/>
        </w:rPr>
      </w:pPr>
      <w:r w:rsidRPr="00A0108E">
        <w:rPr>
          <w:rFonts w:ascii="Century Gothic" w:eastAsia="Calibri" w:hAnsi="Century Gothic" w:cs="Arial"/>
          <w:sz w:val="22"/>
          <w:szCs w:val="22"/>
        </w:rPr>
        <w:t xml:space="preserve">En caso de presentarse </w:t>
      </w:r>
      <w:r w:rsidRPr="00A0108E">
        <w:rPr>
          <w:rFonts w:ascii="Century Gothic" w:eastAsia="Calibri" w:hAnsi="Century Gothic" w:cs="Arial"/>
          <w:b/>
          <w:bCs/>
          <w:sz w:val="22"/>
          <w:szCs w:val="22"/>
        </w:rPr>
        <w:t>reticencias e inexactitudes</w:t>
      </w:r>
      <w:r w:rsidRPr="00A0108E">
        <w:rPr>
          <w:rFonts w:ascii="Century Gothic" w:eastAsia="Calibri" w:hAnsi="Century Gothic" w:cs="Arial"/>
          <w:sz w:val="22"/>
          <w:szCs w:val="22"/>
        </w:rPr>
        <w:t xml:space="preserve"> en la declaración que conocidas por el asegurador lo hubieran retraído de contratar, </w:t>
      </w:r>
      <w:r w:rsidRPr="00A0108E">
        <w:rPr>
          <w:rFonts w:ascii="Century Gothic" w:eastAsia="Calibri" w:hAnsi="Century Gothic" w:cs="Arial"/>
          <w:b/>
          <w:bCs/>
          <w:sz w:val="22"/>
          <w:szCs w:val="22"/>
        </w:rPr>
        <w:t xml:space="preserve">se produce la nulidad relativa del seguro. </w:t>
      </w:r>
    </w:p>
    <w:p w14:paraId="5AA0A92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086FC3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El asegurador también debe cumplir con el principio de buena fe evitando cláusulas que sean lesivas al asegurado, cumpliendo con la prestación asegurada a la ocurrencia del siniestro </w:t>
      </w:r>
      <w:r w:rsidRPr="00A0108E">
        <w:rPr>
          <w:rFonts w:ascii="Century Gothic" w:eastAsia="Calibri" w:hAnsi="Century Gothic" w:cs="Arial"/>
          <w:b/>
          <w:sz w:val="22"/>
          <w:szCs w:val="22"/>
        </w:rPr>
        <w:t>y comprometiéndose a declarar la inexactitud al momento en que la conozca</w:t>
      </w:r>
      <w:r w:rsidRPr="00A0108E">
        <w:rPr>
          <w:rFonts w:ascii="Century Gothic" w:eastAsia="Calibri" w:hAnsi="Century Gothic" w:cs="Arial"/>
          <w:sz w:val="22"/>
          <w:szCs w:val="22"/>
        </w:rPr>
        <w:t xml:space="preserve"> y no esperar a la ocurrencia del siniestro para alegarla como una excepción al pago de la indemnización.</w:t>
      </w:r>
    </w:p>
    <w:p w14:paraId="263C6317"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5B234CE" w14:textId="09478BD8"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De acuerdo con lo que ya se ha mencionado en anteriores exceptivas, el contrato de seguro – póliza vida grupo, por medio de la cual se otorgaron amparos a la señora </w:t>
      </w:r>
      <w:r w:rsidR="00886962" w:rsidRPr="00A0108E">
        <w:rPr>
          <w:rFonts w:ascii="Century Gothic" w:eastAsia="Calibri" w:hAnsi="Century Gothic" w:cs="Arial"/>
          <w:sz w:val="22"/>
          <w:szCs w:val="22"/>
        </w:rPr>
        <w:t>LIGIA GONZALEZ (q.e.p.d)</w:t>
      </w:r>
      <w:r w:rsidRPr="00A0108E">
        <w:rPr>
          <w:rFonts w:ascii="Century Gothic" w:eastAsia="Calibri" w:hAnsi="Century Gothic" w:cs="Arial"/>
          <w:sz w:val="22"/>
          <w:szCs w:val="22"/>
        </w:rPr>
        <w:t>, contaba con unas condiciones previamente</w:t>
      </w:r>
      <w:r w:rsidRPr="00A0108E">
        <w:rPr>
          <w:rFonts w:ascii="Century Gothic" w:eastAsia="Calibri" w:hAnsi="Century Gothic" w:cs="Arial"/>
          <w:b/>
          <w:sz w:val="22"/>
          <w:szCs w:val="22"/>
        </w:rPr>
        <w:t xml:space="preserve"> pactadas y aceptadas entre mi representada y el tomador, </w:t>
      </w:r>
      <w:r w:rsidRPr="00A0108E">
        <w:rPr>
          <w:rFonts w:ascii="Century Gothic" w:eastAsia="Calibri" w:hAnsi="Century Gothic" w:cs="Arial"/>
          <w:sz w:val="22"/>
          <w:szCs w:val="22"/>
        </w:rPr>
        <w:t>por lo que se asumió el riesgo, sin embargo, este riesgo estaba enmarcado dentro de unos límites, que la asegurada no cumplió.</w:t>
      </w:r>
    </w:p>
    <w:p w14:paraId="50A0BFAA"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1E5CE4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Frente a lo anterior, ha mencionado la Corte Suprema de Justicia:</w:t>
      </w:r>
    </w:p>
    <w:p w14:paraId="2827346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w:t>
      </w:r>
    </w:p>
    <w:p w14:paraId="03119575" w14:textId="77777777" w:rsidR="00E0774A" w:rsidRPr="00A0108E" w:rsidRDefault="00E0774A" w:rsidP="00E0774A">
      <w:pPr>
        <w:autoSpaceDE w:val="0"/>
        <w:autoSpaceDN w:val="0"/>
        <w:adjustRightInd w:val="0"/>
        <w:jc w:val="both"/>
        <w:rPr>
          <w:rFonts w:ascii="Century Gothic" w:eastAsia="Calibri" w:hAnsi="Century Gothic" w:cs="Arial"/>
          <w:i/>
          <w:iCs/>
          <w:sz w:val="22"/>
          <w:szCs w:val="22"/>
        </w:rPr>
      </w:pPr>
      <w:r w:rsidRPr="00A0108E">
        <w:rPr>
          <w:rFonts w:ascii="Century Gothic" w:eastAsia="Calibri" w:hAnsi="Century Gothic" w:cs="Arial"/>
          <w:i/>
          <w:iCs/>
          <w:sz w:val="22"/>
          <w:szCs w:val="22"/>
        </w:rPr>
        <w:t xml:space="preserve">“En los casos de contratos de seguros que cubren contingencias y riesgos de salud debe prevalecer el principio de la buena fe de las partes y en consecuencia quién toma el seguro debe declarar con claridad y exactitud, sin incurrir en  actuaciones dolosas, su estado de salud con el objeto de que el consentimiento del asegurador se halle libre de todo vicio, especialmente del error, para que así se conozca </w:t>
      </w:r>
      <w:r w:rsidRPr="00A0108E">
        <w:rPr>
          <w:rFonts w:ascii="Century Gothic" w:eastAsia="Calibri" w:hAnsi="Century Gothic" w:cs="Arial"/>
          <w:i/>
          <w:iCs/>
          <w:sz w:val="22"/>
          <w:szCs w:val="22"/>
        </w:rPr>
        <w:lastRenderedPageBreak/>
        <w:t>exactamente el riesgo que se va a cubrir, en desarrollo de los artículos 1036 y 1058 del Código Civil.</w:t>
      </w:r>
    </w:p>
    <w:p w14:paraId="549F54A9"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F7FC93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i/>
          <w:iCs/>
          <w:sz w:val="22"/>
          <w:szCs w:val="22"/>
        </w:rPr>
        <w:t>Pese a lo anterior, en los casos en los que la compañía aseguradora incurre en error inducido por el asegurado, las normas que rigen los contratos de seguros, y específicamente el artículo 1058 del Código Civil, permiten que tal circunstancia de reticencia o inexactitud del asegurado en la declaración de los hechos o circunstancias necesarias para identificar la cosa asegurada y apreciar la extensión del riesgo, de lugar a declarar la nulidad relativa del contrato de seguro o la modificación de las condiciones por parte de la aseguradora.”</w:t>
      </w:r>
    </w:p>
    <w:p w14:paraId="64570A16" w14:textId="77777777" w:rsidR="00E0774A" w:rsidRPr="00A0108E" w:rsidRDefault="00E0774A" w:rsidP="00E0774A">
      <w:pPr>
        <w:autoSpaceDE w:val="0"/>
        <w:autoSpaceDN w:val="0"/>
        <w:adjustRightInd w:val="0"/>
        <w:jc w:val="both"/>
        <w:rPr>
          <w:rFonts w:ascii="Century Gothic" w:eastAsia="Calibri" w:hAnsi="Century Gothic" w:cs="Arial"/>
          <w:i/>
          <w:iCs/>
          <w:sz w:val="22"/>
          <w:szCs w:val="22"/>
        </w:rPr>
      </w:pPr>
      <w:r w:rsidRPr="00A0108E">
        <w:rPr>
          <w:rFonts w:ascii="Century Gothic" w:eastAsia="Calibri" w:hAnsi="Century Gothic" w:cs="Arial"/>
          <w:i/>
          <w:iCs/>
          <w:sz w:val="22"/>
          <w:szCs w:val="22"/>
        </w:rPr>
        <w:t> </w:t>
      </w:r>
    </w:p>
    <w:p w14:paraId="7A2AD65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En ese orden de ideas, se precisa que en el caso objeto de análisis, se tiene que la póliza denominada Vida Grupo, requería para su celebración indicar todas y cada una de las patologías que le hubiesen sido </w:t>
      </w:r>
      <w:r w:rsidRPr="00A0108E">
        <w:rPr>
          <w:rFonts w:ascii="Century Gothic" w:eastAsia="Calibri" w:hAnsi="Century Gothic" w:cs="Arial"/>
          <w:b/>
          <w:sz w:val="22"/>
          <w:szCs w:val="22"/>
        </w:rPr>
        <w:t>diagnosticadas con anterioridad a la suscripción</w:t>
      </w:r>
      <w:r w:rsidRPr="00A0108E">
        <w:rPr>
          <w:rFonts w:ascii="Century Gothic" w:eastAsia="Calibri" w:hAnsi="Century Gothic" w:cs="Arial"/>
          <w:sz w:val="22"/>
          <w:szCs w:val="22"/>
        </w:rPr>
        <w:t xml:space="preserve"> de la póliza, dicha obligación no se cumplió por parte de la asegurada.</w:t>
      </w:r>
    </w:p>
    <w:p w14:paraId="586EAEF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93AF2E7" w14:textId="3B984D03" w:rsidR="00E0774A" w:rsidRPr="00A0108E" w:rsidRDefault="00E0774A" w:rsidP="00E0774A">
      <w:pPr>
        <w:autoSpaceDE w:val="0"/>
        <w:autoSpaceDN w:val="0"/>
        <w:adjustRightInd w:val="0"/>
        <w:jc w:val="both"/>
        <w:rPr>
          <w:rFonts w:ascii="Century Gothic" w:eastAsia="Calibri" w:hAnsi="Century Gothic" w:cs="Arial"/>
          <w:iCs/>
          <w:sz w:val="22"/>
          <w:szCs w:val="22"/>
        </w:rPr>
      </w:pPr>
      <w:r w:rsidRPr="00A0108E">
        <w:rPr>
          <w:rFonts w:ascii="Century Gothic" w:eastAsia="Calibri" w:hAnsi="Century Gothic" w:cs="Arial"/>
          <w:iCs/>
          <w:sz w:val="22"/>
          <w:szCs w:val="22"/>
        </w:rPr>
        <w:t xml:space="preserve">A su vez, la Corte Constitucional ha sido clara en especificar que el tomador tiene una carga precontractual, que exige que exponga unos hechos y circunstancias ajustados a su condición real, con el fin </w:t>
      </w:r>
      <w:r w:rsidRPr="00A0108E">
        <w:rPr>
          <w:rFonts w:ascii="Century Gothic" w:eastAsia="Calibri" w:hAnsi="Century Gothic" w:cs="Arial"/>
          <w:b/>
          <w:iCs/>
          <w:sz w:val="22"/>
          <w:szCs w:val="22"/>
          <w:u w:val="single"/>
        </w:rPr>
        <w:t>de lograr el equilibrio en el contrato de seguro</w:t>
      </w:r>
      <w:r w:rsidRPr="00A0108E">
        <w:rPr>
          <w:rFonts w:ascii="Century Gothic" w:eastAsia="Calibri" w:hAnsi="Century Gothic" w:cs="Arial"/>
          <w:iCs/>
          <w:sz w:val="22"/>
          <w:szCs w:val="22"/>
        </w:rPr>
        <w:t>.</w:t>
      </w:r>
      <w:r w:rsidRPr="00A0108E">
        <w:rPr>
          <w:rFonts w:ascii="Century Gothic" w:eastAsia="Calibri" w:hAnsi="Century Gothic" w:cs="Arial"/>
          <w:iCs/>
          <w:sz w:val="22"/>
          <w:szCs w:val="22"/>
          <w:vertAlign w:val="superscript"/>
        </w:rPr>
        <w:t xml:space="preserve"> </w:t>
      </w:r>
      <w:r w:rsidRPr="00A0108E">
        <w:rPr>
          <w:rFonts w:ascii="Century Gothic" w:eastAsia="Calibri" w:hAnsi="Century Gothic" w:cs="Arial"/>
          <w:iCs/>
          <w:sz w:val="22"/>
          <w:szCs w:val="22"/>
          <w:vertAlign w:val="superscript"/>
        </w:rPr>
        <w:footnoteReference w:id="3"/>
      </w:r>
      <w:r w:rsidRPr="00A0108E">
        <w:rPr>
          <w:rFonts w:ascii="Century Gothic" w:eastAsia="Calibri" w:hAnsi="Century Gothic" w:cs="Arial"/>
          <w:iCs/>
          <w:sz w:val="22"/>
          <w:szCs w:val="22"/>
          <w:vertAlign w:val="superscript"/>
        </w:rPr>
        <w:t xml:space="preserve"> </w:t>
      </w:r>
      <w:r w:rsidRPr="00A0108E">
        <w:rPr>
          <w:rFonts w:ascii="Century Gothic" w:eastAsia="Calibri" w:hAnsi="Century Gothic" w:cs="Arial"/>
          <w:sz w:val="22"/>
          <w:szCs w:val="22"/>
        </w:rPr>
        <w:t xml:space="preserve">La falta de honestidad del tomador en este caso de la asegurada sobre los aspectos que son de su </w:t>
      </w:r>
      <w:r w:rsidRPr="00A0108E">
        <w:rPr>
          <w:rFonts w:ascii="Century Gothic" w:eastAsia="Calibri" w:hAnsi="Century Gothic" w:cs="Arial"/>
          <w:b/>
          <w:sz w:val="22"/>
          <w:szCs w:val="22"/>
        </w:rPr>
        <w:t xml:space="preserve">pleno conocimiento </w:t>
      </w:r>
      <w:r w:rsidR="00553FFB" w:rsidRPr="00A0108E">
        <w:rPr>
          <w:rFonts w:ascii="Century Gothic" w:eastAsia="Calibri" w:hAnsi="Century Gothic" w:cs="Arial"/>
          <w:b/>
          <w:sz w:val="22"/>
          <w:szCs w:val="22"/>
        </w:rPr>
        <w:t>riñe</w:t>
      </w:r>
      <w:r w:rsidRPr="00A0108E">
        <w:rPr>
          <w:rFonts w:ascii="Century Gothic" w:eastAsia="Calibri" w:hAnsi="Century Gothic" w:cs="Arial"/>
          <w:b/>
          <w:sz w:val="22"/>
          <w:szCs w:val="22"/>
        </w:rPr>
        <w:t xml:space="preserve"> con la buena fe exigida</w:t>
      </w:r>
      <w:r w:rsidRPr="00A0108E">
        <w:rPr>
          <w:rFonts w:ascii="Century Gothic" w:eastAsia="Calibri" w:hAnsi="Century Gothic" w:cs="Arial"/>
          <w:sz w:val="22"/>
          <w:szCs w:val="22"/>
        </w:rPr>
        <w:t xml:space="preserve"> y genera como consecuencia inexorable la nulidad relativa del contrato.</w:t>
      </w:r>
      <w:r w:rsidRPr="00A0108E">
        <w:rPr>
          <w:rFonts w:ascii="Century Gothic" w:eastAsia="Calibri" w:hAnsi="Century Gothic" w:cs="Arial"/>
          <w:sz w:val="22"/>
          <w:szCs w:val="22"/>
          <w:vertAlign w:val="superscript"/>
        </w:rPr>
        <w:footnoteReference w:id="4"/>
      </w:r>
    </w:p>
    <w:p w14:paraId="55855219" w14:textId="77777777" w:rsidR="00E0774A" w:rsidRPr="00A0108E" w:rsidRDefault="00E0774A" w:rsidP="00E0774A">
      <w:pPr>
        <w:autoSpaceDE w:val="0"/>
        <w:autoSpaceDN w:val="0"/>
        <w:adjustRightInd w:val="0"/>
        <w:jc w:val="both"/>
        <w:rPr>
          <w:rFonts w:ascii="Century Gothic" w:eastAsia="Calibri" w:hAnsi="Century Gothic" w:cs="Arial"/>
          <w:iCs/>
          <w:sz w:val="22"/>
          <w:szCs w:val="22"/>
        </w:rPr>
      </w:pPr>
    </w:p>
    <w:p w14:paraId="76AB5C2D" w14:textId="77777777" w:rsidR="00E0774A" w:rsidRPr="00A0108E" w:rsidRDefault="00E0774A" w:rsidP="00E0774A">
      <w:pPr>
        <w:autoSpaceDE w:val="0"/>
        <w:autoSpaceDN w:val="0"/>
        <w:adjustRightInd w:val="0"/>
        <w:jc w:val="both"/>
        <w:rPr>
          <w:rFonts w:ascii="Century Gothic" w:eastAsia="Calibri" w:hAnsi="Century Gothic" w:cs="Arial"/>
          <w:iCs/>
          <w:sz w:val="22"/>
          <w:szCs w:val="22"/>
        </w:rPr>
      </w:pPr>
      <w:r w:rsidRPr="00A0108E">
        <w:rPr>
          <w:rFonts w:ascii="Century Gothic" w:eastAsia="Calibri" w:hAnsi="Century Gothic" w:cs="Arial"/>
          <w:iCs/>
          <w:sz w:val="22"/>
          <w:szCs w:val="22"/>
        </w:rPr>
        <w:t>Con todo, es claro que en el presente caso es predicable o da lugar a la prosperidad de la presente exceptiva, pues demostrado que mi representada obró con sujeción al principio de la buena fe.</w:t>
      </w:r>
    </w:p>
    <w:p w14:paraId="7FDF66B5" w14:textId="77777777" w:rsidR="00366C8B" w:rsidRPr="00A0108E" w:rsidRDefault="00366C8B" w:rsidP="00E0774A">
      <w:pPr>
        <w:autoSpaceDE w:val="0"/>
        <w:autoSpaceDN w:val="0"/>
        <w:adjustRightInd w:val="0"/>
        <w:jc w:val="both"/>
        <w:rPr>
          <w:rFonts w:ascii="Century Gothic" w:eastAsia="Calibri" w:hAnsi="Century Gothic" w:cs="Arial"/>
          <w:iCs/>
          <w:sz w:val="22"/>
          <w:szCs w:val="22"/>
        </w:rPr>
      </w:pPr>
    </w:p>
    <w:p w14:paraId="26FC150C" w14:textId="77777777" w:rsidR="00E0774A" w:rsidRPr="00A0108E" w:rsidRDefault="00E0774A" w:rsidP="00E0774A">
      <w:pPr>
        <w:autoSpaceDE w:val="0"/>
        <w:autoSpaceDN w:val="0"/>
        <w:adjustRightInd w:val="0"/>
        <w:jc w:val="both"/>
        <w:rPr>
          <w:rFonts w:ascii="Century Gothic" w:eastAsia="Calibri" w:hAnsi="Century Gothic" w:cs="Arial"/>
          <w:iCs/>
          <w:sz w:val="22"/>
          <w:szCs w:val="22"/>
        </w:rPr>
      </w:pPr>
    </w:p>
    <w:p w14:paraId="2A3EBB85" w14:textId="2E0EE19D" w:rsidR="004B7885" w:rsidRPr="00A0108E" w:rsidRDefault="004B7885" w:rsidP="004B7885">
      <w:pPr>
        <w:pStyle w:val="Prrafodelista"/>
        <w:numPr>
          <w:ilvl w:val="0"/>
          <w:numId w:val="29"/>
        </w:numPr>
        <w:autoSpaceDE w:val="0"/>
        <w:autoSpaceDN w:val="0"/>
        <w:adjustRightInd w:val="0"/>
        <w:rPr>
          <w:rFonts w:ascii="Century Gothic" w:eastAsia="Calibri" w:hAnsi="Century Gothic" w:cs="Arial"/>
          <w:b/>
          <w:sz w:val="22"/>
          <w:szCs w:val="22"/>
        </w:rPr>
      </w:pPr>
      <w:r w:rsidRPr="00A0108E">
        <w:rPr>
          <w:rFonts w:ascii="Century Gothic" w:eastAsia="Calibri" w:hAnsi="Century Gothic" w:cs="Arial"/>
          <w:b/>
          <w:sz w:val="22"/>
          <w:szCs w:val="22"/>
        </w:rPr>
        <w:t xml:space="preserve">OMISION DE INFORMACION POR PARTE DE </w:t>
      </w:r>
      <w:r w:rsidRPr="00A0108E">
        <w:rPr>
          <w:rFonts w:ascii="Century Gothic" w:eastAsia="Calibri" w:hAnsi="Century Gothic" w:cs="Arial"/>
          <w:b/>
          <w:sz w:val="22"/>
          <w:szCs w:val="22"/>
        </w:rPr>
        <w:t>LIGIA GONZALEZ</w:t>
      </w:r>
      <w:r w:rsidRPr="00A0108E">
        <w:rPr>
          <w:rFonts w:ascii="Century Gothic" w:eastAsia="Calibri" w:hAnsi="Century Gothic" w:cs="Arial"/>
          <w:b/>
          <w:sz w:val="22"/>
          <w:szCs w:val="22"/>
        </w:rPr>
        <w:t xml:space="preserve"> (Q.E.P.D) AL MOMENTO DE DILIGENCIAR LA DECLARACION DE ASEGURABILIDAD QUE </w:t>
      </w:r>
      <w:r w:rsidRPr="00A0108E">
        <w:rPr>
          <w:rFonts w:ascii="Century Gothic" w:eastAsia="Calibri" w:hAnsi="Century Gothic" w:cs="Arial"/>
          <w:b/>
          <w:sz w:val="22"/>
          <w:szCs w:val="22"/>
        </w:rPr>
        <w:t xml:space="preserve">PARCIALMENTE </w:t>
      </w:r>
      <w:r w:rsidRPr="00A0108E">
        <w:rPr>
          <w:rFonts w:ascii="Century Gothic" w:eastAsia="Calibri" w:hAnsi="Century Gothic" w:cs="Arial"/>
          <w:b/>
          <w:sz w:val="22"/>
          <w:szCs w:val="22"/>
        </w:rPr>
        <w:t>SI REALIZO EN DECL</w:t>
      </w:r>
      <w:r w:rsidRPr="00A0108E">
        <w:rPr>
          <w:rFonts w:ascii="Century Gothic" w:eastAsia="Calibri" w:hAnsi="Century Gothic" w:cs="Arial"/>
          <w:b/>
          <w:sz w:val="22"/>
          <w:szCs w:val="22"/>
        </w:rPr>
        <w:t>A</w:t>
      </w:r>
      <w:r w:rsidRPr="00A0108E">
        <w:rPr>
          <w:rFonts w:ascii="Century Gothic" w:eastAsia="Calibri" w:hAnsi="Century Gothic" w:cs="Arial"/>
          <w:b/>
          <w:sz w:val="22"/>
          <w:szCs w:val="22"/>
        </w:rPr>
        <w:t xml:space="preserve">RACION DE ASEGURABILIDAD DE FECHA </w:t>
      </w:r>
      <w:r w:rsidRPr="00A0108E">
        <w:rPr>
          <w:rFonts w:ascii="Century Gothic" w:eastAsia="Calibri" w:hAnsi="Century Gothic" w:cs="Arial"/>
          <w:b/>
          <w:sz w:val="22"/>
          <w:szCs w:val="22"/>
        </w:rPr>
        <w:t>9 DE SEPTIEMBRE DE 2017.</w:t>
      </w:r>
    </w:p>
    <w:p w14:paraId="659F60D8" w14:textId="77777777" w:rsidR="004B7885" w:rsidRPr="00A0108E" w:rsidRDefault="004B7885" w:rsidP="004B7885">
      <w:pPr>
        <w:pStyle w:val="Prrafodelista"/>
        <w:autoSpaceDE w:val="0"/>
        <w:autoSpaceDN w:val="0"/>
        <w:adjustRightInd w:val="0"/>
        <w:ind w:left="644"/>
        <w:jc w:val="both"/>
        <w:rPr>
          <w:rFonts w:ascii="Century Gothic" w:eastAsia="Calibri" w:hAnsi="Century Gothic" w:cs="Arial"/>
          <w:bCs/>
          <w:sz w:val="22"/>
          <w:szCs w:val="22"/>
        </w:rPr>
      </w:pPr>
    </w:p>
    <w:p w14:paraId="43ACAFD0" w14:textId="67BE8002" w:rsidR="004B7885" w:rsidRPr="00A0108E" w:rsidRDefault="004B7885" w:rsidP="004B7885">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lang w:val="es-CO"/>
        </w:rPr>
        <w:t>E</w:t>
      </w:r>
      <w:r w:rsidRPr="00A0108E">
        <w:rPr>
          <w:rFonts w:ascii="Century Gothic" w:eastAsia="Calibri" w:hAnsi="Century Gothic" w:cs="Arial"/>
          <w:bCs/>
          <w:sz w:val="22"/>
          <w:szCs w:val="22"/>
        </w:rPr>
        <w:t xml:space="preserve">n concordancia con la anterior excepción propuesta y debido a la solicitud de préstamo de la señora </w:t>
      </w:r>
      <w:r w:rsidR="00F6653B" w:rsidRPr="00A0108E">
        <w:rPr>
          <w:rFonts w:ascii="Century Gothic" w:eastAsia="Calibri" w:hAnsi="Century Gothic" w:cs="Arial"/>
          <w:bCs/>
          <w:sz w:val="22"/>
          <w:szCs w:val="22"/>
        </w:rPr>
        <w:t>LIGIA GONZALEZ</w:t>
      </w:r>
      <w:r w:rsidRPr="00A0108E">
        <w:rPr>
          <w:rFonts w:ascii="Century Gothic" w:eastAsia="Calibri" w:hAnsi="Century Gothic" w:cs="Arial"/>
          <w:bCs/>
          <w:sz w:val="22"/>
          <w:szCs w:val="22"/>
        </w:rPr>
        <w:t xml:space="preserve"> (Q.E.P.D) a </w:t>
      </w:r>
      <w:r w:rsidR="00F6653B" w:rsidRPr="00A0108E">
        <w:rPr>
          <w:rFonts w:ascii="Century Gothic" w:eastAsia="Calibri" w:hAnsi="Century Gothic" w:cs="Arial"/>
          <w:bCs/>
          <w:sz w:val="22"/>
          <w:szCs w:val="22"/>
        </w:rPr>
        <w:t>BANCOOMEVA</w:t>
      </w:r>
      <w:r w:rsidRPr="00A0108E">
        <w:rPr>
          <w:rFonts w:ascii="Century Gothic" w:eastAsia="Calibri" w:hAnsi="Century Gothic" w:cs="Arial"/>
          <w:bCs/>
          <w:sz w:val="22"/>
          <w:szCs w:val="22"/>
        </w:rPr>
        <w:t xml:space="preserve"> de fecha </w:t>
      </w:r>
      <w:r w:rsidR="00F6653B" w:rsidRPr="00A0108E">
        <w:rPr>
          <w:rFonts w:ascii="Century Gothic" w:eastAsia="Calibri" w:hAnsi="Century Gothic" w:cs="Arial"/>
          <w:bCs/>
          <w:sz w:val="22"/>
          <w:szCs w:val="22"/>
        </w:rPr>
        <w:t xml:space="preserve">9 de septiembre de 2017 ante BANCOOMEVA, en esta declaración </w:t>
      </w:r>
      <w:r w:rsidR="0068535C" w:rsidRPr="00A0108E">
        <w:rPr>
          <w:rFonts w:ascii="Century Gothic" w:eastAsia="Calibri" w:hAnsi="Century Gothic" w:cs="Arial"/>
          <w:bCs/>
          <w:sz w:val="22"/>
          <w:szCs w:val="22"/>
        </w:rPr>
        <w:t xml:space="preserve">ella </w:t>
      </w:r>
      <w:r w:rsidR="00F6653B" w:rsidRPr="00A0108E">
        <w:rPr>
          <w:rFonts w:ascii="Century Gothic" w:eastAsia="Calibri" w:hAnsi="Century Gothic" w:cs="Arial"/>
          <w:bCs/>
          <w:sz w:val="22"/>
          <w:szCs w:val="22"/>
        </w:rPr>
        <w:t xml:space="preserve">al menos informo la HIPERTENSION, enfermedad que no informo en las declaraciones de fechas 4 octubre de 2022 y </w:t>
      </w:r>
      <w:r w:rsidR="001E37A3" w:rsidRPr="00A0108E">
        <w:rPr>
          <w:rFonts w:ascii="Century Gothic" w:eastAsia="Calibri" w:hAnsi="Century Gothic" w:cs="Arial"/>
          <w:bCs/>
          <w:sz w:val="22"/>
          <w:szCs w:val="22"/>
        </w:rPr>
        <w:t>1 julio de 2022.</w:t>
      </w:r>
    </w:p>
    <w:p w14:paraId="130E115B"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6661F5AB"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323EAF40"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10487079"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5E2B11BA"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6D617C89" w14:textId="0980171A" w:rsidR="00366C8B" w:rsidRPr="00A0108E" w:rsidRDefault="00366C8B" w:rsidP="004B7885">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DECLARACION DEL 9 SEPTIEMBRE DE 2017:</w:t>
      </w:r>
    </w:p>
    <w:p w14:paraId="35D435A9" w14:textId="3EAD6E73" w:rsidR="00366C8B" w:rsidRPr="00A0108E" w:rsidRDefault="00366C8B" w:rsidP="004B7885">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lastRenderedPageBreak/>
        <w:drawing>
          <wp:inline distT="0" distB="0" distL="0" distR="0" wp14:anchorId="1E730B2B" wp14:editId="3E803ED9">
            <wp:extent cx="3705225" cy="5467350"/>
            <wp:effectExtent l="0" t="0" r="9525" b="0"/>
            <wp:docPr id="19041238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123843" name=""/>
                    <pic:cNvPicPr/>
                  </pic:nvPicPr>
                  <pic:blipFill>
                    <a:blip r:embed="rId35"/>
                    <a:stretch>
                      <a:fillRect/>
                    </a:stretch>
                  </pic:blipFill>
                  <pic:spPr>
                    <a:xfrm>
                      <a:off x="0" y="0"/>
                      <a:ext cx="3705225" cy="5467350"/>
                    </a:xfrm>
                    <a:prstGeom prst="rect">
                      <a:avLst/>
                    </a:prstGeom>
                  </pic:spPr>
                </pic:pic>
              </a:graphicData>
            </a:graphic>
          </wp:inline>
        </w:drawing>
      </w:r>
    </w:p>
    <w:p w14:paraId="1768A015"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4A5F6632"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6276F463" w14:textId="0FBE1266" w:rsidR="00366C8B" w:rsidRPr="00A0108E" w:rsidRDefault="00366C8B" w:rsidP="004B7885">
      <w:pPr>
        <w:autoSpaceDE w:val="0"/>
        <w:autoSpaceDN w:val="0"/>
        <w:adjustRightInd w:val="0"/>
        <w:jc w:val="both"/>
        <w:rPr>
          <w:rFonts w:ascii="Century Gothic" w:eastAsia="Calibri" w:hAnsi="Century Gothic" w:cs="Arial"/>
          <w:bCs/>
          <w:sz w:val="22"/>
          <w:szCs w:val="22"/>
        </w:rPr>
      </w:pPr>
      <w:r w:rsidRPr="00A0108E">
        <w:rPr>
          <w:rFonts w:ascii="Century Gothic" w:hAnsi="Century Gothic"/>
          <w:noProof/>
          <w:sz w:val="22"/>
          <w:szCs w:val="22"/>
        </w:rPr>
        <w:lastRenderedPageBreak/>
        <w:drawing>
          <wp:inline distT="0" distB="0" distL="0" distR="0" wp14:anchorId="09D47C92" wp14:editId="2C5A4814">
            <wp:extent cx="3829050" cy="4981575"/>
            <wp:effectExtent l="0" t="0" r="0" b="9525"/>
            <wp:docPr id="165115112"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15112" name="Imagen 1" descr="Texto&#10;&#10;El contenido generado por IA puede ser incorrecto."/>
                    <pic:cNvPicPr/>
                  </pic:nvPicPr>
                  <pic:blipFill>
                    <a:blip r:embed="rId36"/>
                    <a:stretch>
                      <a:fillRect/>
                    </a:stretch>
                  </pic:blipFill>
                  <pic:spPr>
                    <a:xfrm>
                      <a:off x="0" y="0"/>
                      <a:ext cx="3829050" cy="4981575"/>
                    </a:xfrm>
                    <a:prstGeom prst="rect">
                      <a:avLst/>
                    </a:prstGeom>
                  </pic:spPr>
                </pic:pic>
              </a:graphicData>
            </a:graphic>
          </wp:inline>
        </w:drawing>
      </w:r>
    </w:p>
    <w:p w14:paraId="58ACC59F" w14:textId="77777777" w:rsidR="00366C8B" w:rsidRPr="00A0108E" w:rsidRDefault="00366C8B" w:rsidP="004B7885">
      <w:pPr>
        <w:autoSpaceDE w:val="0"/>
        <w:autoSpaceDN w:val="0"/>
        <w:adjustRightInd w:val="0"/>
        <w:jc w:val="both"/>
        <w:rPr>
          <w:rFonts w:ascii="Century Gothic" w:eastAsia="Calibri" w:hAnsi="Century Gothic" w:cs="Arial"/>
          <w:bCs/>
          <w:sz w:val="22"/>
          <w:szCs w:val="22"/>
        </w:rPr>
      </w:pPr>
    </w:p>
    <w:p w14:paraId="52E197E0" w14:textId="77777777" w:rsidR="004B7885" w:rsidRPr="004B7885" w:rsidRDefault="004B7885" w:rsidP="004B7885">
      <w:pPr>
        <w:pStyle w:val="Prrafodelista"/>
        <w:autoSpaceDE w:val="0"/>
        <w:autoSpaceDN w:val="0"/>
        <w:adjustRightInd w:val="0"/>
        <w:ind w:left="644"/>
        <w:jc w:val="both"/>
        <w:rPr>
          <w:rFonts w:ascii="Century Gothic" w:eastAsia="Calibri" w:hAnsi="Century Gothic" w:cs="Arial"/>
          <w:bCs/>
          <w:sz w:val="22"/>
          <w:szCs w:val="22"/>
          <w:lang w:val="es-ES_tradnl"/>
        </w:rPr>
      </w:pPr>
    </w:p>
    <w:p w14:paraId="06F1CB6D" w14:textId="299C9349" w:rsidR="00DC1B2E" w:rsidRPr="00A0108E" w:rsidRDefault="0068535C" w:rsidP="004B7885">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En la</w:t>
      </w:r>
      <w:r w:rsidR="004B7885" w:rsidRPr="00A0108E">
        <w:rPr>
          <w:rFonts w:ascii="Century Gothic" w:eastAsia="Calibri" w:hAnsi="Century Gothic" w:cs="Arial"/>
          <w:bCs/>
          <w:sz w:val="22"/>
          <w:szCs w:val="22"/>
        </w:rPr>
        <w:t xml:space="preserve"> declaración de asegurabilidad la señora </w:t>
      </w:r>
      <w:r w:rsidR="00DC1B2E" w:rsidRPr="00A0108E">
        <w:rPr>
          <w:rFonts w:ascii="Century Gothic" w:eastAsia="Calibri" w:hAnsi="Century Gothic" w:cs="Arial"/>
          <w:bCs/>
          <w:sz w:val="22"/>
          <w:szCs w:val="22"/>
        </w:rPr>
        <w:t>LIGIA GONZALEZ</w:t>
      </w:r>
      <w:r w:rsidR="004B7885" w:rsidRPr="00A0108E">
        <w:rPr>
          <w:rFonts w:ascii="Century Gothic" w:eastAsia="Calibri" w:hAnsi="Century Gothic" w:cs="Arial"/>
          <w:bCs/>
          <w:sz w:val="22"/>
          <w:szCs w:val="22"/>
        </w:rPr>
        <w:t xml:space="preserve"> (Q.E.P.D), </w:t>
      </w:r>
      <w:r w:rsidR="00DC1B2E" w:rsidRPr="00A0108E">
        <w:rPr>
          <w:rFonts w:ascii="Century Gothic" w:eastAsia="Calibri" w:hAnsi="Century Gothic" w:cs="Arial"/>
          <w:bCs/>
          <w:sz w:val="22"/>
          <w:szCs w:val="22"/>
        </w:rPr>
        <w:t xml:space="preserve">de fecha 4 octubre de 2022 que dio origen al </w:t>
      </w:r>
      <w:r w:rsidRPr="00A0108E">
        <w:rPr>
          <w:rFonts w:ascii="Century Gothic" w:eastAsia="Calibri" w:hAnsi="Century Gothic" w:cs="Arial"/>
          <w:bCs/>
          <w:sz w:val="22"/>
          <w:szCs w:val="22"/>
        </w:rPr>
        <w:t>préstamo</w:t>
      </w:r>
      <w:r w:rsidR="00DC1B2E" w:rsidRPr="00A0108E">
        <w:rPr>
          <w:rFonts w:ascii="Century Gothic" w:eastAsia="Calibri" w:hAnsi="Century Gothic" w:cs="Arial"/>
          <w:bCs/>
          <w:sz w:val="22"/>
          <w:szCs w:val="22"/>
        </w:rPr>
        <w:t xml:space="preserve"> en la suma de $315.856.971, </w:t>
      </w:r>
      <w:r w:rsidR="001A34DB" w:rsidRPr="00A0108E">
        <w:rPr>
          <w:rFonts w:ascii="Century Gothic" w:eastAsia="Calibri" w:hAnsi="Century Gothic" w:cs="Arial"/>
          <w:bCs/>
          <w:sz w:val="22"/>
          <w:szCs w:val="22"/>
        </w:rPr>
        <w:t xml:space="preserve">que es el origen de este litigio, ella </w:t>
      </w:r>
      <w:r w:rsidR="00DC1B2E" w:rsidRPr="00A0108E">
        <w:rPr>
          <w:rFonts w:ascii="Century Gothic" w:eastAsia="Calibri" w:hAnsi="Century Gothic" w:cs="Arial"/>
          <w:bCs/>
          <w:sz w:val="22"/>
          <w:szCs w:val="22"/>
        </w:rPr>
        <w:t xml:space="preserve">no declaro de manera sincera sus enfermedades, en cambio en la </w:t>
      </w:r>
      <w:r w:rsidR="00426037" w:rsidRPr="00A0108E">
        <w:rPr>
          <w:rFonts w:ascii="Century Gothic" w:eastAsia="Calibri" w:hAnsi="Century Gothic" w:cs="Arial"/>
          <w:bCs/>
          <w:sz w:val="22"/>
          <w:szCs w:val="22"/>
        </w:rPr>
        <w:t>declaración</w:t>
      </w:r>
      <w:r w:rsidR="00DC1B2E" w:rsidRPr="00A0108E">
        <w:rPr>
          <w:rFonts w:ascii="Century Gothic" w:eastAsia="Calibri" w:hAnsi="Century Gothic" w:cs="Arial"/>
          <w:bCs/>
          <w:sz w:val="22"/>
          <w:szCs w:val="22"/>
        </w:rPr>
        <w:t xml:space="preserve"> de fecha </w:t>
      </w:r>
      <w:r w:rsidR="00426037" w:rsidRPr="00A0108E">
        <w:rPr>
          <w:rFonts w:ascii="Century Gothic" w:eastAsia="Calibri" w:hAnsi="Century Gothic" w:cs="Arial"/>
          <w:bCs/>
          <w:sz w:val="22"/>
          <w:szCs w:val="22"/>
        </w:rPr>
        <w:t>9 de septiembre de 2017, por lo meno</w:t>
      </w:r>
      <w:r w:rsidR="00366C8B" w:rsidRPr="00A0108E">
        <w:rPr>
          <w:rFonts w:ascii="Century Gothic" w:eastAsia="Calibri" w:hAnsi="Century Gothic" w:cs="Arial"/>
          <w:bCs/>
          <w:sz w:val="22"/>
          <w:szCs w:val="22"/>
        </w:rPr>
        <w:t>s</w:t>
      </w:r>
      <w:r w:rsidR="00426037" w:rsidRPr="00A0108E">
        <w:rPr>
          <w:rFonts w:ascii="Century Gothic" w:eastAsia="Calibri" w:hAnsi="Century Gothic" w:cs="Arial"/>
          <w:bCs/>
          <w:sz w:val="22"/>
          <w:szCs w:val="22"/>
        </w:rPr>
        <w:t xml:space="preserve"> </w:t>
      </w:r>
      <w:r w:rsidR="00366C8B" w:rsidRPr="00A0108E">
        <w:rPr>
          <w:rFonts w:ascii="Century Gothic" w:eastAsia="Calibri" w:hAnsi="Century Gothic" w:cs="Arial"/>
          <w:bCs/>
          <w:sz w:val="22"/>
          <w:szCs w:val="22"/>
        </w:rPr>
        <w:t>informo</w:t>
      </w:r>
      <w:r w:rsidR="00426037" w:rsidRPr="00A0108E">
        <w:rPr>
          <w:rFonts w:ascii="Century Gothic" w:eastAsia="Calibri" w:hAnsi="Century Gothic" w:cs="Arial"/>
          <w:bCs/>
          <w:sz w:val="22"/>
          <w:szCs w:val="22"/>
        </w:rPr>
        <w:t xml:space="preserve"> la HIPERTENSION, aunque tampoco informo el </w:t>
      </w:r>
      <w:r w:rsidR="00366C8B" w:rsidRPr="00A0108E">
        <w:rPr>
          <w:rFonts w:ascii="Century Gothic" w:eastAsia="Calibri" w:hAnsi="Century Gothic" w:cs="Arial"/>
          <w:bCs/>
          <w:sz w:val="22"/>
          <w:szCs w:val="22"/>
        </w:rPr>
        <w:t>cáncer</w:t>
      </w:r>
      <w:r w:rsidR="00426037" w:rsidRPr="00A0108E">
        <w:rPr>
          <w:rFonts w:ascii="Century Gothic" w:eastAsia="Calibri" w:hAnsi="Century Gothic" w:cs="Arial"/>
          <w:bCs/>
          <w:sz w:val="22"/>
          <w:szCs w:val="22"/>
        </w:rPr>
        <w:t>.</w:t>
      </w:r>
    </w:p>
    <w:p w14:paraId="30C73CB1" w14:textId="77777777" w:rsidR="004B7885" w:rsidRPr="00A0108E" w:rsidRDefault="004B7885" w:rsidP="00366C8B">
      <w:pPr>
        <w:autoSpaceDE w:val="0"/>
        <w:autoSpaceDN w:val="0"/>
        <w:adjustRightInd w:val="0"/>
        <w:jc w:val="both"/>
        <w:rPr>
          <w:rFonts w:ascii="Century Gothic" w:eastAsia="Calibri" w:hAnsi="Century Gothic" w:cs="Arial"/>
          <w:bCs/>
          <w:sz w:val="22"/>
          <w:szCs w:val="22"/>
        </w:rPr>
      </w:pPr>
    </w:p>
    <w:p w14:paraId="66702F82" w14:textId="0D76CFE5" w:rsidR="004B7885" w:rsidRPr="00A0108E" w:rsidRDefault="004B7885" w:rsidP="004B7885">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Entonces señor delegado es claro que para el diligenciamiento de las </w:t>
      </w:r>
      <w:r w:rsidR="00EE2271" w:rsidRPr="00A0108E">
        <w:rPr>
          <w:rFonts w:ascii="Century Gothic" w:eastAsia="Calibri" w:hAnsi="Century Gothic" w:cs="Arial"/>
          <w:bCs/>
          <w:sz w:val="22"/>
          <w:szCs w:val="22"/>
        </w:rPr>
        <w:t>posteriores</w:t>
      </w:r>
      <w:r w:rsidRPr="00A0108E">
        <w:rPr>
          <w:rFonts w:ascii="Century Gothic" w:eastAsia="Calibri" w:hAnsi="Century Gothic" w:cs="Arial"/>
          <w:bCs/>
          <w:sz w:val="22"/>
          <w:szCs w:val="22"/>
        </w:rPr>
        <w:t xml:space="preserve"> declaraciones la señora </w:t>
      </w:r>
      <w:r w:rsidR="00EE2271" w:rsidRPr="00A0108E">
        <w:rPr>
          <w:rFonts w:ascii="Century Gothic" w:eastAsia="Calibri" w:hAnsi="Century Gothic" w:cs="Arial"/>
          <w:bCs/>
          <w:sz w:val="22"/>
          <w:szCs w:val="22"/>
        </w:rPr>
        <w:t>LIGIA GONZALEZ</w:t>
      </w:r>
      <w:r w:rsidRPr="00A0108E">
        <w:rPr>
          <w:rFonts w:ascii="Century Gothic" w:eastAsia="Calibri" w:hAnsi="Century Gothic" w:cs="Arial"/>
          <w:bCs/>
          <w:sz w:val="22"/>
          <w:szCs w:val="22"/>
        </w:rPr>
        <w:t xml:space="preserve"> (Q.E.P.D) INCUMPLIO CON LA CARGA CONTRACTUAL, INCUMPLIO CON EL R</w:t>
      </w:r>
      <w:r w:rsidR="00EE2271" w:rsidRPr="00A0108E">
        <w:rPr>
          <w:rFonts w:ascii="Century Gothic" w:eastAsia="Calibri" w:hAnsi="Century Gothic" w:cs="Arial"/>
          <w:bCs/>
          <w:sz w:val="22"/>
          <w:szCs w:val="22"/>
        </w:rPr>
        <w:t>E</w:t>
      </w:r>
      <w:r w:rsidRPr="00A0108E">
        <w:rPr>
          <w:rFonts w:ascii="Century Gothic" w:eastAsia="Calibri" w:hAnsi="Century Gothic" w:cs="Arial"/>
          <w:bCs/>
          <w:sz w:val="22"/>
          <w:szCs w:val="22"/>
        </w:rPr>
        <w:t>QUISITO DE ASEGURABILIDAD POR NO HABER INDICADA TODAS Y CADA UNA DE SUS PATOLOGIAS que le correspondía a ella al ingreso de la póliza pues solo era ella la que de sobremanera las conocía y prefirió guardar silencio de la información.</w:t>
      </w:r>
      <w:r w:rsidR="00EE2271" w:rsidRPr="00A0108E">
        <w:rPr>
          <w:rFonts w:ascii="Century Gothic" w:eastAsia="Calibri" w:hAnsi="Century Gothic" w:cs="Arial"/>
          <w:bCs/>
          <w:sz w:val="22"/>
          <w:szCs w:val="22"/>
        </w:rPr>
        <w:t xml:space="preserve"> </w:t>
      </w:r>
    </w:p>
    <w:p w14:paraId="2FC03A03" w14:textId="10A4DA21" w:rsidR="00E0774A" w:rsidRPr="00A0108E" w:rsidRDefault="00E0774A" w:rsidP="004B7885">
      <w:pPr>
        <w:pStyle w:val="Prrafodelista"/>
        <w:autoSpaceDE w:val="0"/>
        <w:autoSpaceDN w:val="0"/>
        <w:adjustRightInd w:val="0"/>
        <w:ind w:left="644"/>
        <w:jc w:val="both"/>
        <w:rPr>
          <w:rFonts w:ascii="Century Gothic" w:eastAsia="Calibri" w:hAnsi="Century Gothic" w:cs="Arial"/>
          <w:b/>
          <w:sz w:val="22"/>
          <w:szCs w:val="22"/>
        </w:rPr>
      </w:pPr>
    </w:p>
    <w:p w14:paraId="090D7079" w14:textId="77777777" w:rsidR="004B7885" w:rsidRPr="00A0108E" w:rsidRDefault="004B7885" w:rsidP="004B7885">
      <w:pPr>
        <w:pStyle w:val="Prrafodelista"/>
        <w:autoSpaceDE w:val="0"/>
        <w:autoSpaceDN w:val="0"/>
        <w:adjustRightInd w:val="0"/>
        <w:ind w:left="644"/>
        <w:jc w:val="both"/>
        <w:rPr>
          <w:rFonts w:ascii="Century Gothic" w:eastAsia="Calibri" w:hAnsi="Century Gothic" w:cs="Arial"/>
          <w:b/>
          <w:sz w:val="22"/>
          <w:szCs w:val="22"/>
        </w:rPr>
      </w:pPr>
    </w:p>
    <w:p w14:paraId="22426CF2" w14:textId="77777777" w:rsidR="004B7885" w:rsidRPr="00A0108E" w:rsidRDefault="004B7885" w:rsidP="004B7885">
      <w:pPr>
        <w:pStyle w:val="Prrafodelista"/>
        <w:autoSpaceDE w:val="0"/>
        <w:autoSpaceDN w:val="0"/>
        <w:adjustRightInd w:val="0"/>
        <w:ind w:left="644"/>
        <w:jc w:val="both"/>
        <w:rPr>
          <w:rFonts w:ascii="Century Gothic" w:eastAsia="Calibri" w:hAnsi="Century Gothic" w:cs="Arial"/>
          <w:b/>
          <w:sz w:val="22"/>
          <w:szCs w:val="22"/>
        </w:rPr>
      </w:pPr>
    </w:p>
    <w:p w14:paraId="7C7E57F5"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16014E2A"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6" w:name="_Hlk19095192"/>
      <w:r w:rsidRPr="00A0108E">
        <w:rPr>
          <w:rFonts w:ascii="Century Gothic" w:eastAsia="Calibri" w:hAnsi="Century Gothic" w:cs="Arial"/>
          <w:b/>
          <w:sz w:val="22"/>
          <w:szCs w:val="22"/>
          <w:lang w:val="es-CO"/>
        </w:rPr>
        <w:lastRenderedPageBreak/>
        <w:t xml:space="preserve">NULIDAD RELATIVA DEL CONTRATO DE SEGURO POR RETICENCIA DE LA INFORMACIÓN Y/O INEXACTITUD DEL ESTADO DEL RIESGO DEL ASEGURADO. </w:t>
      </w:r>
    </w:p>
    <w:p w14:paraId="4C91EFE9" w14:textId="77777777" w:rsidR="008E4701" w:rsidRPr="00A0108E" w:rsidRDefault="008E4701" w:rsidP="008E4701">
      <w:pPr>
        <w:autoSpaceDE w:val="0"/>
        <w:autoSpaceDN w:val="0"/>
        <w:adjustRightInd w:val="0"/>
        <w:ind w:left="644"/>
        <w:jc w:val="both"/>
        <w:rPr>
          <w:rFonts w:ascii="Century Gothic" w:eastAsia="Calibri" w:hAnsi="Century Gothic" w:cs="Arial"/>
          <w:b/>
          <w:sz w:val="22"/>
          <w:szCs w:val="22"/>
          <w:lang w:val="es-CO"/>
        </w:rPr>
      </w:pPr>
    </w:p>
    <w:bookmarkEnd w:id="6"/>
    <w:p w14:paraId="4B2053FC"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lang w:val="es-ES"/>
        </w:rPr>
        <w:t xml:space="preserve">El </w:t>
      </w:r>
      <w:r w:rsidRPr="00A0108E">
        <w:rPr>
          <w:rFonts w:ascii="Century Gothic" w:eastAsia="Calibri" w:hAnsi="Century Gothic" w:cs="Arial"/>
          <w:bCs/>
          <w:sz w:val="22"/>
          <w:szCs w:val="22"/>
        </w:rPr>
        <w:t>artíc</w:t>
      </w:r>
      <w:r w:rsidRPr="00A0108E">
        <w:rPr>
          <w:rFonts w:ascii="Century Gothic" w:eastAsia="Calibri" w:hAnsi="Century Gothic" w:cs="Arial"/>
          <w:sz w:val="22"/>
          <w:szCs w:val="22"/>
        </w:rPr>
        <w:t xml:space="preserve">ulo 1036 del Código de Comercio, establece que el contrato de seguro es considerado de carácter consensual, lo que sugiere </w:t>
      </w:r>
      <w:proofErr w:type="gramStart"/>
      <w:r w:rsidRPr="00A0108E">
        <w:rPr>
          <w:rFonts w:ascii="Century Gothic" w:eastAsia="Calibri" w:hAnsi="Century Gothic" w:cs="Arial"/>
          <w:sz w:val="22"/>
          <w:szCs w:val="22"/>
        </w:rPr>
        <w:t>sin lugar a dudas</w:t>
      </w:r>
      <w:proofErr w:type="gramEnd"/>
      <w:r w:rsidRPr="00A0108E">
        <w:rPr>
          <w:rFonts w:ascii="Century Gothic" w:eastAsia="Calibri" w:hAnsi="Century Gothic" w:cs="Arial"/>
          <w:sz w:val="22"/>
          <w:szCs w:val="22"/>
        </w:rPr>
        <w:t xml:space="preserve"> que para su perfeccionamiento se requiere únicamente el acuerdo de voluntades de las partes. Por su parte, el artículo 871 del ya referido código, determina como principio general de todos los contratos, la buena fe, de quienes intervienen en el perfeccionamiento </w:t>
      </w:r>
      <w:proofErr w:type="gramStart"/>
      <w:r w:rsidRPr="00A0108E">
        <w:rPr>
          <w:rFonts w:ascii="Century Gothic" w:eastAsia="Calibri" w:hAnsi="Century Gothic" w:cs="Arial"/>
          <w:sz w:val="22"/>
          <w:szCs w:val="22"/>
        </w:rPr>
        <w:t>del mismo</w:t>
      </w:r>
      <w:proofErr w:type="gramEnd"/>
      <w:r w:rsidRPr="00A0108E">
        <w:rPr>
          <w:rFonts w:ascii="Century Gothic" w:eastAsia="Calibri" w:hAnsi="Century Gothic" w:cs="Arial"/>
          <w:sz w:val="22"/>
          <w:szCs w:val="22"/>
        </w:rPr>
        <w:t>.</w:t>
      </w:r>
    </w:p>
    <w:p w14:paraId="3242C343"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649BD9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La obligación de atender al principio de buena fe se debe manifestar en todos los contratos como ya se dijo, sin embargo, adquiere mayor importancia en el contrato de seguro, esto, teniendo en cuenta el artículo 1058 del Código de Comercio, el cual reza:</w:t>
      </w:r>
    </w:p>
    <w:p w14:paraId="15FAA13F"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B08B67E" w14:textId="7777777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i/>
          <w:sz w:val="22"/>
          <w:szCs w:val="22"/>
          <w:lang w:val="es-CO"/>
        </w:rPr>
        <w:t>“El tomador está obligado a declarar sinceramente los hechos o circunstancias que determinan el estado del riesgo, según el cuestionario que le sea propuesto por el asegurador. La reticencia o la inexactitud sobre hechos o circunstancias que, conocidos por el asegurador, lo hubieren retraído de celebrar el contrato, o inducido a estipular condiciones más onerosas, producen la nulidad relativa del seguro (…) Si la declaración no se hace con sujeción a un cuestionario determinado, la reticencia o la inexactitud producen igual efecto si el tomador ha encubierto por culpa, hechos o circunstancias que impliquen agravación objetiva del estado del riesgo (…) Si la inexactitud o la reticencia provienen de error inculpable del tomador, el contrato no será nulo, pero el asegurador sólo estará obligado, en caso de siniestro, a pagar un porcentaje de la prestación asegurada equivalente al que la tarifa o la prima estipulada en el contrato represente respecto de la tarifa o la prima adecuada al verdadero estado del riesgo, excepto lo previsto en el artículo 1160 (…) Las sanciones consagradas en este artículo no se aplican si el asegurador, antes de celebrarse el contrato, ha conocido o debido conocer los hechos o circunstancias sobre que versan los vicios de la declaración, o si, ya celebrado el contrato, se allana a subsanarlos o los acepta expresa o tácitamente.”</w:t>
      </w:r>
    </w:p>
    <w:p w14:paraId="4F5BC588" w14:textId="77777777" w:rsidR="008E4701" w:rsidRPr="00A0108E" w:rsidRDefault="008E4701" w:rsidP="00E0774A">
      <w:pPr>
        <w:autoSpaceDE w:val="0"/>
        <w:autoSpaceDN w:val="0"/>
        <w:adjustRightInd w:val="0"/>
        <w:jc w:val="both"/>
        <w:rPr>
          <w:rFonts w:ascii="Century Gothic" w:eastAsia="Calibri" w:hAnsi="Century Gothic" w:cs="Arial"/>
          <w:sz w:val="22"/>
          <w:szCs w:val="22"/>
        </w:rPr>
      </w:pPr>
    </w:p>
    <w:p w14:paraId="284DD9FD" w14:textId="34983CA8"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De acuerdo con ello, es claro que existe una consagración legal que recae sobre el tomador para el caso en concreto la asegurada del contrato de seguro, quien debe </w:t>
      </w:r>
      <w:r w:rsidRPr="00A0108E">
        <w:rPr>
          <w:rFonts w:ascii="Century Gothic" w:eastAsia="Calibri" w:hAnsi="Century Gothic" w:cs="Arial"/>
          <w:b/>
          <w:sz w:val="22"/>
          <w:szCs w:val="22"/>
        </w:rPr>
        <w:t>manifestar sin mayores reservas, falsedades u ocultamientos</w:t>
      </w:r>
      <w:r w:rsidRPr="00A0108E">
        <w:rPr>
          <w:rFonts w:ascii="Century Gothic" w:eastAsia="Calibri" w:hAnsi="Century Gothic" w:cs="Arial"/>
          <w:sz w:val="22"/>
          <w:szCs w:val="22"/>
        </w:rPr>
        <w:t>, las condiciones reales y actuales para el momento de la suscripción del seguro y en lo sucesivo de este, la posible ocurrencia del riesgo que se está asegurando. Es decir, aquel debe manifestar el estado real del asegurado o tomador, con el fin de que la entidad aseguradora determine condiciones más onerosas en la celebración del contrato, o se abstenga de la celebración de este.</w:t>
      </w:r>
    </w:p>
    <w:p w14:paraId="4DB08D0F"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0920639A" w14:textId="7207206C"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Como corolario de lo anterior, “es claro que la falta de honestidad del tomador sobre aspectos de </w:t>
      </w:r>
      <w:r w:rsidRPr="00A0108E">
        <w:rPr>
          <w:rFonts w:ascii="Century Gothic" w:eastAsia="Calibri" w:hAnsi="Century Gothic" w:cs="Arial"/>
          <w:b/>
          <w:sz w:val="22"/>
          <w:szCs w:val="22"/>
        </w:rPr>
        <w:t xml:space="preserve">su pleno conocimiento </w:t>
      </w:r>
      <w:r w:rsidRPr="00A0108E">
        <w:rPr>
          <w:rFonts w:ascii="Century Gothic" w:eastAsia="Calibri" w:hAnsi="Century Gothic" w:cs="Arial"/>
          <w:sz w:val="22"/>
          <w:szCs w:val="22"/>
        </w:rPr>
        <w:t xml:space="preserve">y </w:t>
      </w:r>
      <w:proofErr w:type="gramStart"/>
      <w:r w:rsidRPr="00A0108E">
        <w:rPr>
          <w:rFonts w:ascii="Century Gothic" w:eastAsia="Calibri" w:hAnsi="Century Gothic" w:cs="Arial"/>
          <w:sz w:val="22"/>
          <w:szCs w:val="22"/>
        </w:rPr>
        <w:t>que</w:t>
      </w:r>
      <w:proofErr w:type="gramEnd"/>
      <w:r w:rsidRPr="00A0108E">
        <w:rPr>
          <w:rFonts w:ascii="Century Gothic" w:eastAsia="Calibri" w:hAnsi="Century Gothic" w:cs="Arial"/>
          <w:sz w:val="22"/>
          <w:szCs w:val="22"/>
        </w:rPr>
        <w:t xml:space="preserve"> de saberlas la aseguradora, incidirían </w:t>
      </w:r>
      <w:r w:rsidR="008E4701" w:rsidRPr="00A0108E">
        <w:rPr>
          <w:rFonts w:ascii="Century Gothic" w:eastAsia="Calibri" w:hAnsi="Century Gothic" w:cs="Arial"/>
          <w:sz w:val="22"/>
          <w:szCs w:val="22"/>
        </w:rPr>
        <w:t>en relación</w:t>
      </w:r>
      <w:r w:rsidRPr="00A0108E">
        <w:rPr>
          <w:rFonts w:ascii="Century Gothic" w:eastAsia="Calibri" w:hAnsi="Century Gothic" w:cs="Arial"/>
          <w:sz w:val="22"/>
          <w:szCs w:val="22"/>
        </w:rPr>
        <w:t xml:space="preserve">, ya para abstenerse de concretarla, delimitar las exclusiones </w:t>
      </w:r>
      <w:r w:rsidRPr="00A0108E">
        <w:rPr>
          <w:rFonts w:ascii="Century Gothic" w:eastAsia="Calibri" w:hAnsi="Century Gothic" w:cs="Arial"/>
          <w:sz w:val="22"/>
          <w:szCs w:val="22"/>
        </w:rPr>
        <w:lastRenderedPageBreak/>
        <w:t>o incrementar el valor de la póliza, riñen con la buena fe exigida”</w:t>
      </w:r>
      <w:r w:rsidRPr="00A0108E">
        <w:rPr>
          <w:rFonts w:ascii="Century Gothic" w:eastAsia="Calibri" w:hAnsi="Century Gothic" w:cs="Arial"/>
          <w:sz w:val="22"/>
          <w:szCs w:val="22"/>
          <w:vertAlign w:val="superscript"/>
        </w:rPr>
        <w:footnoteReference w:id="5"/>
      </w:r>
      <w:r w:rsidRPr="00A0108E">
        <w:rPr>
          <w:rFonts w:ascii="Century Gothic" w:eastAsia="Calibri" w:hAnsi="Century Gothic" w:cs="Arial"/>
          <w:sz w:val="22"/>
          <w:szCs w:val="22"/>
          <w:vertAlign w:val="superscript"/>
        </w:rPr>
        <w:t xml:space="preserve"> </w:t>
      </w:r>
      <w:r w:rsidRPr="00A0108E">
        <w:rPr>
          <w:rFonts w:ascii="Century Gothic" w:eastAsia="Calibri" w:hAnsi="Century Gothic" w:cs="Arial"/>
          <w:sz w:val="22"/>
          <w:szCs w:val="22"/>
        </w:rPr>
        <w:t xml:space="preserve">y acarrea las sanciones de ley. </w:t>
      </w:r>
    </w:p>
    <w:p w14:paraId="3A99B4A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5B557B8"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Al respecto, la Sala en SC el 1 </w:t>
      </w:r>
      <w:proofErr w:type="gramStart"/>
      <w:r w:rsidRPr="00A0108E">
        <w:rPr>
          <w:rFonts w:ascii="Century Gothic" w:eastAsia="Calibri" w:hAnsi="Century Gothic" w:cs="Arial"/>
          <w:sz w:val="22"/>
          <w:szCs w:val="22"/>
        </w:rPr>
        <w:t>Junio</w:t>
      </w:r>
      <w:proofErr w:type="gramEnd"/>
      <w:r w:rsidRPr="00A0108E">
        <w:rPr>
          <w:rFonts w:ascii="Century Gothic" w:eastAsia="Calibri" w:hAnsi="Century Gothic" w:cs="Arial"/>
          <w:sz w:val="22"/>
          <w:szCs w:val="22"/>
        </w:rPr>
        <w:t xml:space="preserve"> de 2007, radicado 2004 – 00179 – 01, precisó que:</w:t>
      </w:r>
    </w:p>
    <w:p w14:paraId="08F305E3"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E359959" w14:textId="7777777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i/>
          <w:sz w:val="22"/>
          <w:szCs w:val="22"/>
          <w:lang w:val="es-CO"/>
        </w:rPr>
        <w:t xml:space="preserve"> “Del referido texto legal [artículo 1058 del Código de Comercio] se puede deducir lo siguiente: (…) 4.1. Que la obligación del tomador de pronunciarse sinceramente frente al cuestionario que le formula el asegurador con el fin de establecer el estado del riesgo, no tiene por fuente misma dicho contrato sino que </w:t>
      </w:r>
      <w:r w:rsidRPr="00A0108E">
        <w:rPr>
          <w:rFonts w:ascii="Century Gothic" w:eastAsia="Calibri" w:hAnsi="Century Gothic" w:cs="Arial"/>
          <w:b/>
          <w:i/>
          <w:sz w:val="22"/>
          <w:szCs w:val="22"/>
          <w:lang w:val="es-CO"/>
        </w:rPr>
        <w:t>opera en la fase previa a su celebración ya que su objetivo es el de garantizar la expresión inmaculada de la voluntad del primero de consentir en dicho vínculo,</w:t>
      </w:r>
      <w:r w:rsidRPr="00A0108E">
        <w:rPr>
          <w:rFonts w:ascii="Century Gothic" w:eastAsia="Calibri" w:hAnsi="Century Gothic" w:cs="Arial"/>
          <w:i/>
          <w:sz w:val="22"/>
          <w:szCs w:val="22"/>
          <w:lang w:val="es-CO"/>
        </w:rPr>
        <w:t xml:space="preserve"> de abstenerse de hacerlo, o de contraerlo pero bajo condiciones más onerosas (…) 4.2. </w:t>
      </w:r>
      <w:r w:rsidRPr="00A0108E">
        <w:rPr>
          <w:rFonts w:ascii="Century Gothic" w:eastAsia="Calibri" w:hAnsi="Century Gothic" w:cs="Arial"/>
          <w:b/>
          <w:i/>
          <w:sz w:val="22"/>
          <w:szCs w:val="22"/>
          <w:lang w:val="es-CO"/>
        </w:rPr>
        <w:t>No importan, por tanto, los motivos que hayan movido al adquirente para comportarse sin fidelidad a la verdad,</w:t>
      </w:r>
      <w:r w:rsidRPr="00A0108E">
        <w:rPr>
          <w:rFonts w:ascii="Century Gothic" w:eastAsia="Calibri" w:hAnsi="Century Gothic" w:cs="Arial"/>
          <w:i/>
          <w:sz w:val="22"/>
          <w:szCs w:val="22"/>
          <w:lang w:val="es-CO"/>
        </w:rPr>
        <w:t xml:space="preserve"> incurriendo con ello en grave deslealtad que a su vez propicia el </w:t>
      </w:r>
      <w:r w:rsidRPr="00A0108E">
        <w:rPr>
          <w:rFonts w:ascii="Century Gothic" w:eastAsia="Calibri" w:hAnsi="Century Gothic" w:cs="Arial"/>
          <w:b/>
          <w:i/>
          <w:sz w:val="22"/>
          <w:szCs w:val="22"/>
          <w:lang w:val="es-CO"/>
        </w:rPr>
        <w:t>desequilibrio económico</w:t>
      </w:r>
      <w:r w:rsidRPr="00A0108E">
        <w:rPr>
          <w:rFonts w:ascii="Century Gothic" w:eastAsia="Calibri" w:hAnsi="Century Gothic" w:cs="Arial"/>
          <w:i/>
          <w:sz w:val="22"/>
          <w:szCs w:val="22"/>
          <w:lang w:val="es-CO"/>
        </w:rPr>
        <w:t xml:space="preserve"> en relación con la prestación que se pretende de la aseguradora, cuando se le ha inquirido para que dé informaciones objetivas y de suficiente entidad que le permitan a ésta medir el verdadero estado del riesgo; sea cual haya sido la razón de su proceder, con intención o con culpa; lo cierto es que la consecuencia de su actuar afecta la formación del contrato de seguro, por lo que la ley impone la posibilidad de invalidarlo desde su misma raíz (…) 4.3. </w:t>
      </w:r>
      <w:r w:rsidRPr="00A0108E">
        <w:rPr>
          <w:rFonts w:ascii="Century Gothic" w:eastAsia="Calibri" w:hAnsi="Century Gothic" w:cs="Arial"/>
          <w:b/>
          <w:i/>
          <w:sz w:val="22"/>
          <w:szCs w:val="22"/>
          <w:lang w:val="es-CO"/>
        </w:rPr>
        <w:t>Es palmario que el legislador quiso arropar la falta de sinceridad del contratante y su obrar</w:t>
      </w:r>
      <w:r w:rsidRPr="00A0108E">
        <w:rPr>
          <w:rFonts w:ascii="Century Gothic" w:eastAsia="Calibri" w:hAnsi="Century Gothic" w:cs="Arial"/>
          <w:i/>
          <w:sz w:val="22"/>
          <w:szCs w:val="22"/>
          <w:lang w:val="es-CO"/>
        </w:rPr>
        <w:t xml:space="preserve"> </w:t>
      </w:r>
      <w:r w:rsidRPr="00A0108E">
        <w:rPr>
          <w:rFonts w:ascii="Century Gothic" w:eastAsia="Calibri" w:hAnsi="Century Gothic" w:cs="Arial"/>
          <w:b/>
          <w:i/>
          <w:sz w:val="22"/>
          <w:szCs w:val="22"/>
          <w:lang w:val="es-CO"/>
        </w:rPr>
        <w:t>contrario a la buena fe, bajo la sanción de la nulidad relativa,</w:t>
      </w:r>
      <w:r w:rsidRPr="00A0108E">
        <w:rPr>
          <w:rFonts w:ascii="Century Gothic" w:eastAsia="Calibri" w:hAnsi="Century Gothic" w:cs="Arial"/>
          <w:i/>
          <w:sz w:val="22"/>
          <w:szCs w:val="22"/>
          <w:lang w:val="es-CO"/>
        </w:rPr>
        <w:t xml:space="preserve"> con lo cual, en ejercicio de una actividad que le es propia y para la cual se halla facultado, construyó un régimen particular que inclusive alcanza a superar en sus efectos el ordenamiento común de los vicios del consentimiento, frente al que, tal como fue instituido en el citado artículo 1058, no puede el intérprete hacer distingos, observándose que el vicio se genera independientemente de que el siniestro finalmente no se produzca como consecuencia de los hechos significativos, negados u ocultados por quien tomó el seguro.”</w:t>
      </w:r>
    </w:p>
    <w:p w14:paraId="73AD7039" w14:textId="77777777" w:rsidR="008E4701" w:rsidRPr="00A0108E" w:rsidRDefault="008E4701" w:rsidP="00E0774A">
      <w:pPr>
        <w:autoSpaceDE w:val="0"/>
        <w:autoSpaceDN w:val="0"/>
        <w:adjustRightInd w:val="0"/>
        <w:jc w:val="both"/>
        <w:rPr>
          <w:rFonts w:ascii="Century Gothic" w:eastAsia="Calibri" w:hAnsi="Century Gothic" w:cs="Arial"/>
          <w:sz w:val="22"/>
          <w:szCs w:val="22"/>
        </w:rPr>
      </w:pPr>
    </w:p>
    <w:p w14:paraId="1948DAE7" w14:textId="1673CDDE"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El artículo 1158 del Código de Comercio, por su parte, expone que:</w:t>
      </w:r>
    </w:p>
    <w:p w14:paraId="1B02953B"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D23AC95" w14:textId="77777777" w:rsidR="00E0774A" w:rsidRPr="00A0108E" w:rsidRDefault="00E0774A" w:rsidP="00E0774A">
      <w:p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i/>
          <w:sz w:val="22"/>
          <w:szCs w:val="22"/>
          <w:lang w:val="es-CO"/>
        </w:rPr>
        <w:t>“aunque el asegurador prescinda del examen médico, el asegurado no podrá considerarse exento de las obligaciones a que se refiere el artículo 1058 ni de las sanciones a que su infracción dé lugar”.</w:t>
      </w:r>
    </w:p>
    <w:p w14:paraId="111A0877" w14:textId="77777777" w:rsidR="008E4701" w:rsidRPr="00A0108E" w:rsidRDefault="008E4701" w:rsidP="00E0774A">
      <w:pPr>
        <w:autoSpaceDE w:val="0"/>
        <w:autoSpaceDN w:val="0"/>
        <w:adjustRightInd w:val="0"/>
        <w:jc w:val="both"/>
        <w:rPr>
          <w:rFonts w:ascii="Century Gothic" w:eastAsia="Calibri" w:hAnsi="Century Gothic" w:cs="Arial"/>
          <w:sz w:val="22"/>
          <w:szCs w:val="22"/>
        </w:rPr>
      </w:pPr>
    </w:p>
    <w:p w14:paraId="6CA0BA26" w14:textId="5FB72BD9"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sz w:val="22"/>
          <w:szCs w:val="22"/>
        </w:rPr>
        <w:t xml:space="preserve">En ese orden de ideas, ilógico sería asumir que, dada la actividad aseguradora y la capacidad de </w:t>
      </w:r>
      <w:proofErr w:type="gramStart"/>
      <w:r w:rsidRPr="00A0108E">
        <w:rPr>
          <w:rFonts w:ascii="Century Gothic" w:eastAsia="Calibri" w:hAnsi="Century Gothic" w:cs="Arial"/>
          <w:sz w:val="22"/>
          <w:szCs w:val="22"/>
        </w:rPr>
        <w:t>la misma</w:t>
      </w:r>
      <w:proofErr w:type="gramEnd"/>
      <w:r w:rsidRPr="00A0108E">
        <w:rPr>
          <w:rFonts w:ascii="Century Gothic" w:eastAsia="Calibri" w:hAnsi="Century Gothic" w:cs="Arial"/>
          <w:sz w:val="22"/>
          <w:szCs w:val="22"/>
        </w:rPr>
        <w:t xml:space="preserve">, se le deba exigir el agotamiento previo de todos los medios a su alcance para constatar el estado real del riesgo que está asumiendo, pues se reitera </w:t>
      </w:r>
      <w:r w:rsidRPr="00A0108E">
        <w:rPr>
          <w:rFonts w:ascii="Century Gothic" w:eastAsia="Calibri" w:hAnsi="Century Gothic" w:cs="Arial"/>
          <w:b/>
          <w:sz w:val="22"/>
          <w:szCs w:val="22"/>
        </w:rPr>
        <w:t>es en cabeza del tomador que está la obligación de declarar sinceramente el estado de su riesgo</w:t>
      </w:r>
      <w:r w:rsidRPr="00A0108E">
        <w:rPr>
          <w:rFonts w:ascii="Century Gothic" w:eastAsia="Calibri" w:hAnsi="Century Gothic" w:cs="Arial"/>
          <w:sz w:val="22"/>
          <w:szCs w:val="22"/>
        </w:rPr>
        <w:t xml:space="preserve">, además, </w:t>
      </w:r>
      <w:r w:rsidRPr="00A0108E">
        <w:rPr>
          <w:rFonts w:ascii="Century Gothic" w:eastAsia="Calibri" w:hAnsi="Century Gothic" w:cs="Arial"/>
          <w:b/>
          <w:sz w:val="22"/>
          <w:szCs w:val="22"/>
        </w:rPr>
        <w:t xml:space="preserve">porque solo él conoce en realidad sus propias condiciones y dolencias. </w:t>
      </w:r>
    </w:p>
    <w:p w14:paraId="6D1244D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0E7711F" w14:textId="1A74452E" w:rsidR="00E0774A" w:rsidRPr="00A0108E" w:rsidRDefault="00E0774A" w:rsidP="00E0774A">
      <w:pPr>
        <w:autoSpaceDE w:val="0"/>
        <w:autoSpaceDN w:val="0"/>
        <w:adjustRightInd w:val="0"/>
        <w:jc w:val="both"/>
        <w:rPr>
          <w:rFonts w:ascii="Century Gothic" w:eastAsia="Calibri" w:hAnsi="Century Gothic" w:cs="Arial"/>
          <w:i/>
          <w:sz w:val="22"/>
          <w:szCs w:val="22"/>
        </w:rPr>
      </w:pPr>
      <w:r w:rsidRPr="00A0108E">
        <w:rPr>
          <w:rFonts w:ascii="Century Gothic" w:eastAsia="Calibri" w:hAnsi="Century Gothic" w:cs="Arial"/>
          <w:sz w:val="22"/>
          <w:szCs w:val="22"/>
        </w:rPr>
        <w:lastRenderedPageBreak/>
        <w:t xml:space="preserve">La Corte Suprema de </w:t>
      </w:r>
      <w:r w:rsidR="008E4701" w:rsidRPr="00A0108E">
        <w:rPr>
          <w:rFonts w:ascii="Century Gothic" w:eastAsia="Calibri" w:hAnsi="Century Gothic" w:cs="Arial"/>
          <w:sz w:val="22"/>
          <w:szCs w:val="22"/>
        </w:rPr>
        <w:t>Justicia, en</w:t>
      </w:r>
      <w:r w:rsidRPr="00A0108E">
        <w:rPr>
          <w:rFonts w:ascii="Century Gothic" w:eastAsia="Calibri" w:hAnsi="Century Gothic" w:cs="Arial"/>
          <w:sz w:val="22"/>
          <w:szCs w:val="22"/>
        </w:rPr>
        <w:t xml:space="preserve"> SC 6 jul. 2007, rad. 1999-00359-01, al diferenciar dos fases en lo que toca al estado del riesgo, señaló que la primera corresponde a la:</w:t>
      </w:r>
    </w:p>
    <w:p w14:paraId="79EBB90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63274598" w14:textId="77777777" w:rsidR="00E0774A" w:rsidRPr="00A0108E" w:rsidRDefault="00E0774A" w:rsidP="00E0774A">
      <w:pPr>
        <w:autoSpaceDE w:val="0"/>
        <w:autoSpaceDN w:val="0"/>
        <w:adjustRightInd w:val="0"/>
        <w:jc w:val="both"/>
        <w:rPr>
          <w:rFonts w:ascii="Century Gothic" w:eastAsia="Calibri" w:hAnsi="Century Gothic" w:cs="Arial"/>
          <w:b/>
          <w:i/>
          <w:sz w:val="22"/>
          <w:szCs w:val="22"/>
          <w:lang w:val="es-CO"/>
        </w:rPr>
      </w:pPr>
      <w:r w:rsidRPr="00A0108E">
        <w:rPr>
          <w:rFonts w:ascii="Century Gothic" w:eastAsia="Calibri" w:hAnsi="Century Gothic" w:cs="Arial"/>
          <w:i/>
          <w:sz w:val="22"/>
          <w:szCs w:val="22"/>
          <w:lang w:val="es-CO"/>
        </w:rPr>
        <w:t xml:space="preserve">“(…) formación del contrato, durante la cual el tomador tiene “la obligación” -preferiblemente carga, según concepto precisado en sentencia de 30 de septiembre de 2004, exp. 7142- de declarar sinceramente la situación en que se encuentra el riesgo que se pretende amparar (art. 1058 C. de Co.), </w:t>
      </w:r>
      <w:r w:rsidRPr="00A0108E">
        <w:rPr>
          <w:rFonts w:ascii="Century Gothic" w:eastAsia="Calibri" w:hAnsi="Century Gothic" w:cs="Arial"/>
          <w:b/>
          <w:i/>
          <w:sz w:val="22"/>
          <w:szCs w:val="22"/>
          <w:lang w:val="es-CO"/>
        </w:rPr>
        <w:t>pues sólo una declaración franca, límpida y completa, le permite al asegurador expresar su asentimiento y, lo que también es medular, cuantificar la prima o precio del seguro</w:t>
      </w:r>
      <w:r w:rsidRPr="00A0108E">
        <w:rPr>
          <w:rFonts w:ascii="Century Gothic" w:eastAsia="Calibri" w:hAnsi="Century Gothic" w:cs="Arial"/>
          <w:i/>
          <w:sz w:val="22"/>
          <w:szCs w:val="22"/>
          <w:lang w:val="es-CO"/>
        </w:rPr>
        <w:t xml:space="preserve">; por eso su infracción, en línea de principio, provoca la nulidad relativa del contrato, en un todo de acuerdo con lo explicitado por la propia ley y la reiterada jurisprudencia de esta Sala (…) En torno a esta última, ha puntualizado la Corte que la carga de información que tiene el tomador -in potentia- en relación con el estado del riesgo, no se agota en un solo momento, </w:t>
      </w:r>
      <w:r w:rsidRPr="00A0108E">
        <w:rPr>
          <w:rFonts w:ascii="Century Gothic" w:eastAsia="Calibri" w:hAnsi="Century Gothic" w:cs="Arial"/>
          <w:b/>
          <w:i/>
          <w:sz w:val="22"/>
          <w:szCs w:val="22"/>
          <w:u w:val="single"/>
          <w:lang w:val="es-CO"/>
        </w:rPr>
        <w:t>pues “esta carga informativa es considerada como una prototípica ‘carga de duración’”</w:t>
      </w:r>
      <w:r w:rsidRPr="00A0108E">
        <w:rPr>
          <w:rFonts w:ascii="Century Gothic" w:eastAsia="Calibri" w:hAnsi="Century Gothic" w:cs="Arial"/>
          <w:i/>
          <w:sz w:val="22"/>
          <w:szCs w:val="22"/>
          <w:lang w:val="es-CO"/>
        </w:rPr>
        <w:t xml:space="preserve">, </w:t>
      </w:r>
      <w:r w:rsidRPr="00A0108E">
        <w:rPr>
          <w:rFonts w:ascii="Century Gothic" w:eastAsia="Calibri" w:hAnsi="Century Gothic" w:cs="Arial"/>
          <w:b/>
          <w:sz w:val="22"/>
          <w:szCs w:val="22"/>
          <w:u w:val="single"/>
          <w:lang w:val="es-CO"/>
        </w:rPr>
        <w:t>motivo por el cual, “los hechos o circunstancias -relevantes- sobrevinientes a la declaración del estado del riesgo,..., deben ser comunicados sin demora o dilación.”</w:t>
      </w:r>
      <w:r w:rsidRPr="00A0108E">
        <w:rPr>
          <w:rFonts w:ascii="Century Gothic" w:eastAsia="Calibri" w:hAnsi="Century Gothic" w:cs="Arial"/>
          <w:i/>
          <w:sz w:val="22"/>
          <w:szCs w:val="22"/>
          <w:lang w:val="es-CO"/>
        </w:rPr>
        <w:t xml:space="preserve"> Ese “deber de información a su cargo -agregó la Sala-... en rigor comprende, a su turno, el deber de </w:t>
      </w:r>
      <w:r w:rsidRPr="00A0108E">
        <w:rPr>
          <w:rFonts w:ascii="Century Gothic" w:eastAsia="Calibri" w:hAnsi="Century Gothic" w:cs="Arial"/>
          <w:b/>
          <w:i/>
          <w:sz w:val="22"/>
          <w:szCs w:val="22"/>
          <w:u w:val="single"/>
          <w:lang w:val="es-CO"/>
        </w:rPr>
        <w:t>aclaración -o actualización-</w:t>
      </w:r>
      <w:r w:rsidRPr="00A0108E">
        <w:rPr>
          <w:rFonts w:ascii="Century Gothic" w:eastAsia="Calibri" w:hAnsi="Century Gothic" w:cs="Arial"/>
          <w:i/>
          <w:sz w:val="22"/>
          <w:szCs w:val="22"/>
          <w:lang w:val="es-CO"/>
        </w:rPr>
        <w:t xml:space="preserve"> de la misma, pues de muy poco sirve informar durante la floración del período precontractual, preludio del contrato, unos hechos que en breve cambian o se alteran radicalmente, sin que éste se haya aún agotado, lo que se traduce en que su divulgación se tornaría oportuna y conducente, lo que corrobora la pertinencia del prenotado deber jurídico -o carga-.” (cas. civ. de 2 de agosto de 2001; exp.: 6146).”</w:t>
      </w:r>
      <w:r w:rsidRPr="00A0108E">
        <w:rPr>
          <w:rFonts w:ascii="Century Gothic" w:eastAsia="Calibri" w:hAnsi="Century Gothic" w:cs="Arial"/>
          <w:b/>
          <w:i/>
          <w:sz w:val="22"/>
          <w:szCs w:val="22"/>
          <w:lang w:val="es-CO"/>
        </w:rPr>
        <w:t xml:space="preserve"> (Negrillas fuera de texto)</w:t>
      </w:r>
    </w:p>
    <w:p w14:paraId="7195C141" w14:textId="77777777" w:rsidR="008E4701" w:rsidRPr="00A0108E" w:rsidRDefault="008E4701" w:rsidP="00E0774A">
      <w:pPr>
        <w:autoSpaceDE w:val="0"/>
        <w:autoSpaceDN w:val="0"/>
        <w:adjustRightInd w:val="0"/>
        <w:jc w:val="both"/>
        <w:rPr>
          <w:rFonts w:ascii="Century Gothic" w:eastAsia="Calibri" w:hAnsi="Century Gothic" w:cs="Arial"/>
          <w:b/>
          <w:i/>
          <w:sz w:val="22"/>
          <w:szCs w:val="22"/>
          <w:lang w:val="es-CO"/>
        </w:rPr>
      </w:pPr>
    </w:p>
    <w:p w14:paraId="74A5CDA1" w14:textId="4294A6C7" w:rsidR="00E0774A"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sz w:val="22"/>
          <w:szCs w:val="22"/>
        </w:rPr>
        <w:t xml:space="preserve">En ese orden de ideas, y contrario a lo manifestado o pretendido por la actora,  la señora </w:t>
      </w:r>
      <w:r w:rsidR="008E4701" w:rsidRPr="00A0108E">
        <w:rPr>
          <w:rFonts w:ascii="Century Gothic" w:eastAsia="Calibri" w:hAnsi="Century Gothic" w:cs="Arial"/>
          <w:b/>
          <w:sz w:val="22"/>
          <w:szCs w:val="22"/>
        </w:rPr>
        <w:t>LIGIA GONZALEZ (q.e.p.)</w:t>
      </w:r>
      <w:r w:rsidRPr="00A0108E">
        <w:rPr>
          <w:rFonts w:ascii="Century Gothic" w:eastAsia="Calibri" w:hAnsi="Century Gothic" w:cs="Arial"/>
          <w:b/>
          <w:sz w:val="22"/>
          <w:szCs w:val="22"/>
        </w:rPr>
        <w:t xml:space="preserve">, </w:t>
      </w:r>
      <w:r w:rsidRPr="00A0108E">
        <w:rPr>
          <w:rFonts w:ascii="Century Gothic" w:eastAsia="Calibri" w:hAnsi="Century Gothic" w:cs="Arial"/>
          <w:bCs/>
          <w:sz w:val="22"/>
          <w:szCs w:val="22"/>
        </w:rPr>
        <w:t xml:space="preserve">aún a sabiendas de que mi representada daba por sentado que su salud era óptima </w:t>
      </w:r>
      <w:r w:rsidRPr="00A0108E">
        <w:rPr>
          <w:rFonts w:ascii="Century Gothic" w:eastAsia="Calibri" w:hAnsi="Century Gothic" w:cs="Arial"/>
          <w:sz w:val="22"/>
          <w:szCs w:val="22"/>
        </w:rPr>
        <w:t xml:space="preserve">y que no se le había detectado algún padecimiento, prefirió callar sobre sus </w:t>
      </w:r>
      <w:r w:rsidRPr="00A0108E">
        <w:rPr>
          <w:rFonts w:ascii="Century Gothic" w:eastAsia="Calibri" w:hAnsi="Century Gothic" w:cs="Arial"/>
          <w:b/>
          <w:sz w:val="22"/>
          <w:szCs w:val="22"/>
        </w:rPr>
        <w:t>dolencias de alto riesgo, sin siquiera realizar las gestiones pertinentes para poner en conocimiento de mi representada su estado de salud</w:t>
      </w:r>
      <w:r w:rsidRPr="00A0108E">
        <w:rPr>
          <w:rFonts w:ascii="Century Gothic" w:eastAsia="Calibri" w:hAnsi="Century Gothic" w:cs="Arial"/>
          <w:sz w:val="22"/>
          <w:szCs w:val="22"/>
        </w:rPr>
        <w:t>;</w:t>
      </w:r>
      <w:r w:rsidRPr="00A0108E">
        <w:rPr>
          <w:rFonts w:ascii="Century Gothic" w:eastAsia="Calibri" w:hAnsi="Century Gothic" w:cs="Arial"/>
          <w:b/>
          <w:sz w:val="22"/>
          <w:szCs w:val="22"/>
          <w:u w:val="single"/>
        </w:rPr>
        <w:t xml:space="preserve"> lo que a la luz de la normatividad vigente, constituye claramente una reticencia; motivo por el cual LA EQUIDAD SEGUROS VIDA  O.C., no está obligada al pago de la indemnización solicitada.</w:t>
      </w:r>
    </w:p>
    <w:p w14:paraId="17CE8B88"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69CBA590"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Ha mencionado la Corte Suprema de Justicia, que:</w:t>
      </w:r>
    </w:p>
    <w:p w14:paraId="449B7841" w14:textId="77777777" w:rsidR="00E0774A" w:rsidRPr="00A0108E" w:rsidRDefault="00E0774A" w:rsidP="00E0774A">
      <w:pPr>
        <w:autoSpaceDE w:val="0"/>
        <w:autoSpaceDN w:val="0"/>
        <w:adjustRightInd w:val="0"/>
        <w:jc w:val="both"/>
        <w:rPr>
          <w:rFonts w:ascii="Century Gothic" w:eastAsia="Calibri" w:hAnsi="Century Gothic" w:cs="Arial"/>
          <w:i/>
          <w:sz w:val="22"/>
          <w:szCs w:val="22"/>
        </w:rPr>
      </w:pPr>
    </w:p>
    <w:p w14:paraId="1B612185" w14:textId="77777777" w:rsidR="00E0774A" w:rsidRPr="00A0108E" w:rsidRDefault="00E0774A" w:rsidP="00E0774A">
      <w:pPr>
        <w:autoSpaceDE w:val="0"/>
        <w:autoSpaceDN w:val="0"/>
        <w:adjustRightInd w:val="0"/>
        <w:jc w:val="both"/>
        <w:rPr>
          <w:rFonts w:ascii="Century Gothic" w:eastAsia="Calibri" w:hAnsi="Century Gothic" w:cs="Arial"/>
          <w:i/>
          <w:sz w:val="22"/>
          <w:szCs w:val="22"/>
          <w:vertAlign w:val="superscript"/>
        </w:rPr>
      </w:pPr>
      <w:r w:rsidRPr="00A0108E">
        <w:rPr>
          <w:rFonts w:ascii="Century Gothic" w:eastAsia="Calibri" w:hAnsi="Century Gothic" w:cs="Arial"/>
          <w:i/>
          <w:sz w:val="22"/>
          <w:szCs w:val="22"/>
        </w:rPr>
        <w:t>“La excepción de nulidad por reticencia prospera si se demuestra que «</w:t>
      </w:r>
      <w:r w:rsidRPr="00A0108E">
        <w:rPr>
          <w:rFonts w:ascii="Century Gothic" w:eastAsia="Calibri" w:hAnsi="Century Gothic" w:cs="Arial"/>
          <w:i/>
          <w:iCs/>
          <w:sz w:val="22"/>
          <w:szCs w:val="22"/>
        </w:rPr>
        <w:t>el asegurador de haber conocido la realidad sobre el estado del riesgo asegurado se hubiera sustraído de la celebración del contrato, o lo hubiera hecho en unas condiciones más onerosas</w:t>
      </w:r>
      <w:r w:rsidRPr="00A0108E">
        <w:rPr>
          <w:rFonts w:ascii="Century Gothic" w:eastAsia="Calibri" w:hAnsi="Century Gothic" w:cs="Arial"/>
          <w:i/>
          <w:sz w:val="22"/>
          <w:szCs w:val="22"/>
        </w:rPr>
        <w:t>»</w:t>
      </w:r>
      <w:r w:rsidRPr="00A0108E">
        <w:rPr>
          <w:rFonts w:ascii="Century Gothic" w:eastAsia="Calibri" w:hAnsi="Century Gothic" w:cs="Arial"/>
          <w:i/>
          <w:sz w:val="22"/>
          <w:szCs w:val="22"/>
          <w:vertAlign w:val="superscript"/>
        </w:rPr>
        <w:footnoteReference w:id="6"/>
      </w:r>
    </w:p>
    <w:p w14:paraId="784F9ED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18E834A"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A su vez, ha reiterado que:</w:t>
      </w:r>
    </w:p>
    <w:p w14:paraId="734F8339"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4C6A1DA3"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lastRenderedPageBreak/>
        <w:t xml:space="preserve">“No es suficiente, para los anteriores fines, con diligenciar el cuestionario que se formule, puesto que la </w:t>
      </w:r>
      <w:r w:rsidRPr="00A0108E">
        <w:rPr>
          <w:rFonts w:ascii="Century Gothic" w:eastAsia="Calibri" w:hAnsi="Century Gothic" w:cs="Arial"/>
          <w:b/>
          <w:sz w:val="22"/>
          <w:szCs w:val="22"/>
        </w:rPr>
        <w:t>«</w:t>
      </w:r>
      <w:r w:rsidRPr="00A0108E">
        <w:rPr>
          <w:rFonts w:ascii="Century Gothic" w:eastAsia="Calibri" w:hAnsi="Century Gothic" w:cs="Arial"/>
          <w:b/>
          <w:i/>
          <w:iCs/>
          <w:sz w:val="22"/>
          <w:szCs w:val="22"/>
        </w:rPr>
        <w:t>carga informativa, como manifestación concreta del principio a la buena fe contractual, se extiende durante todo el periodo precontractual, en el que la entidad aseguradora debe decidir si asegura o no el riesgo objeto del seguro</w:t>
      </w:r>
      <w:r w:rsidRPr="00A0108E">
        <w:rPr>
          <w:rFonts w:ascii="Century Gothic" w:eastAsia="Calibri" w:hAnsi="Century Gothic" w:cs="Arial"/>
          <w:b/>
          <w:sz w:val="22"/>
          <w:szCs w:val="22"/>
        </w:rPr>
        <w:t>»</w:t>
      </w:r>
      <w:r w:rsidRPr="00A0108E">
        <w:rPr>
          <w:rFonts w:ascii="Century Gothic" w:eastAsia="Calibri" w:hAnsi="Century Gothic" w:cs="Arial"/>
          <w:sz w:val="22"/>
          <w:szCs w:val="22"/>
        </w:rPr>
        <w:t>”</w:t>
      </w:r>
    </w:p>
    <w:p w14:paraId="4481020A" w14:textId="77777777" w:rsidR="00D90103" w:rsidRPr="00A0108E" w:rsidRDefault="00D90103" w:rsidP="00E0774A">
      <w:pPr>
        <w:autoSpaceDE w:val="0"/>
        <w:autoSpaceDN w:val="0"/>
        <w:adjustRightInd w:val="0"/>
        <w:jc w:val="both"/>
        <w:rPr>
          <w:rFonts w:ascii="Century Gothic" w:eastAsia="Calibri" w:hAnsi="Century Gothic" w:cs="Arial"/>
          <w:sz w:val="22"/>
          <w:szCs w:val="22"/>
        </w:rPr>
      </w:pPr>
    </w:p>
    <w:p w14:paraId="1DFFE0D7" w14:textId="7F56EAF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Y la falta de rúbrica en la declaración no quiere decir que se acoja el riesgo sin ella, aceptando «</w:t>
      </w:r>
      <w:r w:rsidRPr="00A0108E">
        <w:rPr>
          <w:rFonts w:ascii="Century Gothic" w:eastAsia="Calibri" w:hAnsi="Century Gothic" w:cs="Arial"/>
          <w:i/>
          <w:iCs/>
          <w:sz w:val="22"/>
          <w:szCs w:val="22"/>
        </w:rPr>
        <w:t>al "asegurado" sin ninguna restricción en cuanto a problemas en su salud</w:t>
      </w:r>
      <w:r w:rsidRPr="00A0108E">
        <w:rPr>
          <w:rFonts w:ascii="Century Gothic" w:eastAsia="Calibri" w:hAnsi="Century Gothic" w:cs="Arial"/>
          <w:sz w:val="22"/>
          <w:szCs w:val="22"/>
        </w:rPr>
        <w:t>», ya que en virtud del principio de la buena fe contractual el «</w:t>
      </w:r>
      <w:r w:rsidRPr="00A0108E">
        <w:rPr>
          <w:rFonts w:ascii="Century Gothic" w:eastAsia="Calibri" w:hAnsi="Century Gothic" w:cs="Arial"/>
          <w:i/>
          <w:iCs/>
          <w:sz w:val="22"/>
          <w:szCs w:val="22"/>
        </w:rPr>
        <w:t>candidato a tomador</w:t>
      </w:r>
      <w:r w:rsidRPr="00A0108E">
        <w:rPr>
          <w:rFonts w:ascii="Century Gothic" w:eastAsia="Calibri" w:hAnsi="Century Gothic" w:cs="Arial"/>
          <w:sz w:val="22"/>
          <w:szCs w:val="22"/>
        </w:rPr>
        <w:t>» asume las consecuencias «</w:t>
      </w:r>
      <w:r w:rsidRPr="00A0108E">
        <w:rPr>
          <w:rFonts w:ascii="Century Gothic" w:eastAsia="Calibri" w:hAnsi="Century Gothic" w:cs="Arial"/>
          <w:i/>
          <w:iCs/>
          <w:sz w:val="22"/>
          <w:szCs w:val="22"/>
        </w:rPr>
        <w:t>adversas frente a las inexactitudes o reticencias en que haya incurrido al momento de hacer su declaración, aun cuando se haya sujetado a un cuestionario respecto del cual ha faltado su firma</w:t>
      </w:r>
      <w:r w:rsidRPr="00A0108E">
        <w:rPr>
          <w:rFonts w:ascii="Century Gothic" w:eastAsia="Calibri" w:hAnsi="Century Gothic" w:cs="Arial"/>
          <w:sz w:val="22"/>
          <w:szCs w:val="22"/>
        </w:rPr>
        <w:t>».</w:t>
      </w:r>
      <w:r w:rsidRPr="00A0108E">
        <w:rPr>
          <w:rFonts w:ascii="Century Gothic" w:eastAsia="Calibri" w:hAnsi="Century Gothic" w:cs="Arial"/>
          <w:sz w:val="22"/>
          <w:szCs w:val="22"/>
          <w:vertAlign w:val="superscript"/>
        </w:rPr>
        <w:footnoteReference w:id="7"/>
      </w:r>
    </w:p>
    <w:p w14:paraId="7C615DC9"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E57E560"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Esta flagrante omisión, acarrea </w:t>
      </w:r>
      <w:r w:rsidRPr="00A0108E">
        <w:rPr>
          <w:rFonts w:ascii="Century Gothic" w:eastAsia="Calibri" w:hAnsi="Century Gothic" w:cs="Arial"/>
          <w:b/>
          <w:sz w:val="22"/>
          <w:szCs w:val="22"/>
        </w:rPr>
        <w:t xml:space="preserve">inexistencia </w:t>
      </w:r>
      <w:r w:rsidRPr="00A0108E">
        <w:rPr>
          <w:rFonts w:ascii="Century Gothic" w:eastAsia="Calibri" w:hAnsi="Century Gothic" w:cs="Arial"/>
          <w:sz w:val="22"/>
          <w:szCs w:val="22"/>
        </w:rPr>
        <w:t xml:space="preserve">del riesgo, comoquiera que por esta circunstancia se produce la </w:t>
      </w:r>
      <w:r w:rsidRPr="00A0108E">
        <w:rPr>
          <w:rFonts w:ascii="Century Gothic" w:eastAsia="Calibri" w:hAnsi="Century Gothic" w:cs="Arial"/>
          <w:b/>
          <w:sz w:val="22"/>
          <w:szCs w:val="22"/>
        </w:rPr>
        <w:t xml:space="preserve">nulidad </w:t>
      </w:r>
      <w:r w:rsidRPr="00A0108E">
        <w:rPr>
          <w:rFonts w:ascii="Century Gothic" w:eastAsia="Calibri" w:hAnsi="Century Gothic" w:cs="Arial"/>
          <w:sz w:val="22"/>
          <w:szCs w:val="22"/>
        </w:rPr>
        <w:t>del contrato por ausencia de uno de los elementos del contrato de seguro; el riesgo asegurable, según lo establecido en los artículos 1045 y 1054 del código de comercio y así lo puso de manifiesto LA EQUIDAD SEGUROS VIDA O.C., al momento de responderle la reclamación por este concepto.</w:t>
      </w:r>
    </w:p>
    <w:p w14:paraId="4D07695E"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30621EA8" w14:textId="29A5B56F" w:rsidR="00E0774A" w:rsidRPr="00A0108E" w:rsidRDefault="00E0774A" w:rsidP="00E0774A">
      <w:pPr>
        <w:autoSpaceDE w:val="0"/>
        <w:autoSpaceDN w:val="0"/>
        <w:adjustRightInd w:val="0"/>
        <w:jc w:val="both"/>
        <w:rPr>
          <w:rFonts w:ascii="Century Gothic" w:eastAsia="Calibri" w:hAnsi="Century Gothic" w:cs="Arial"/>
          <w:sz w:val="22"/>
          <w:szCs w:val="22"/>
          <w:vertAlign w:val="superscript"/>
        </w:rPr>
      </w:pPr>
      <w:r w:rsidRPr="00A0108E">
        <w:rPr>
          <w:rFonts w:ascii="Century Gothic" w:eastAsia="Calibri" w:hAnsi="Century Gothic" w:cs="Arial"/>
          <w:sz w:val="22"/>
          <w:szCs w:val="22"/>
        </w:rPr>
        <w:t xml:space="preserve">Esa es la razón para que </w:t>
      </w:r>
      <w:r w:rsidR="00384306" w:rsidRPr="00A0108E">
        <w:rPr>
          <w:rFonts w:ascii="Century Gothic" w:eastAsia="Calibri" w:hAnsi="Century Gothic" w:cs="Arial"/>
          <w:b/>
          <w:bCs/>
          <w:sz w:val="22"/>
          <w:szCs w:val="22"/>
        </w:rPr>
        <w:t>LA NULIDAD RELATIVA DEL CONTRATO SE PRODUZCA CUANDO EL TOMADOR MIENTE, INDEPENDIENTEMENTE DE QUE EL SINIESTRO NO ACONTEZCA COMO CONSECUENCIA DE LOS HECHOS SIGNIFICATIVOS</w:t>
      </w:r>
      <w:r w:rsidRPr="00A0108E">
        <w:rPr>
          <w:rFonts w:ascii="Century Gothic" w:eastAsia="Calibri" w:hAnsi="Century Gothic" w:cs="Arial"/>
          <w:sz w:val="22"/>
          <w:szCs w:val="22"/>
        </w:rPr>
        <w:t xml:space="preserve">, negados u ocultados por quien tomó el seguro y de las razones que lo motivaron a comportarse sin fidelidad a la verdad; es decir, la falta de honestidad del tomador sobre los aspectos que son de su </w:t>
      </w:r>
      <w:r w:rsidRPr="00A0108E">
        <w:rPr>
          <w:rFonts w:ascii="Century Gothic" w:eastAsia="Calibri" w:hAnsi="Century Gothic" w:cs="Arial"/>
          <w:b/>
          <w:sz w:val="22"/>
          <w:szCs w:val="22"/>
        </w:rPr>
        <w:t xml:space="preserve">pleno conocimiento </w:t>
      </w:r>
      <w:r w:rsidRPr="00A0108E">
        <w:rPr>
          <w:rFonts w:ascii="Century Gothic" w:eastAsia="Calibri" w:hAnsi="Century Gothic" w:cs="Arial"/>
          <w:sz w:val="22"/>
          <w:szCs w:val="22"/>
        </w:rPr>
        <w:t>riñen con la buena fe exigida y genera como consecuencia inexorable la nulidad relativa del contrato.</w:t>
      </w:r>
      <w:r w:rsidRPr="00A0108E">
        <w:rPr>
          <w:rFonts w:ascii="Century Gothic" w:eastAsia="Calibri" w:hAnsi="Century Gothic" w:cs="Arial"/>
          <w:sz w:val="22"/>
          <w:szCs w:val="22"/>
          <w:vertAlign w:val="superscript"/>
        </w:rPr>
        <w:footnoteReference w:id="8"/>
      </w:r>
      <w:r w:rsidRPr="00A0108E">
        <w:rPr>
          <w:rFonts w:ascii="Century Gothic" w:eastAsia="Calibri" w:hAnsi="Century Gothic" w:cs="Arial"/>
          <w:sz w:val="22"/>
          <w:szCs w:val="22"/>
          <w:vertAlign w:val="superscript"/>
        </w:rPr>
        <w:t xml:space="preserve"> </w:t>
      </w:r>
    </w:p>
    <w:p w14:paraId="3F3ECEE6" w14:textId="77777777" w:rsidR="00E0774A" w:rsidRPr="00A0108E" w:rsidRDefault="00E0774A" w:rsidP="00E0774A">
      <w:pPr>
        <w:autoSpaceDE w:val="0"/>
        <w:autoSpaceDN w:val="0"/>
        <w:adjustRightInd w:val="0"/>
        <w:jc w:val="both"/>
        <w:rPr>
          <w:rFonts w:ascii="Century Gothic" w:eastAsia="Calibri" w:hAnsi="Century Gothic" w:cs="Arial"/>
          <w:sz w:val="22"/>
          <w:szCs w:val="22"/>
          <w:vertAlign w:val="superscript"/>
        </w:rPr>
      </w:pPr>
    </w:p>
    <w:p w14:paraId="67942C69" w14:textId="535C7453"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Así pues, la excepción propuesta es viable teniendo en cuenta que mi representada de haber conocido la realidad del estado del riesgo de la señora </w:t>
      </w:r>
      <w:r w:rsidR="00384306" w:rsidRPr="00A0108E">
        <w:rPr>
          <w:rFonts w:ascii="Century Gothic" w:eastAsia="Calibri" w:hAnsi="Century Gothic" w:cs="Arial"/>
          <w:sz w:val="22"/>
          <w:szCs w:val="22"/>
        </w:rPr>
        <w:t>LIGIA GONZALEZ (q.e.p.d)</w:t>
      </w:r>
      <w:r w:rsidRPr="00A0108E">
        <w:rPr>
          <w:rFonts w:ascii="Century Gothic" w:eastAsia="Calibri" w:hAnsi="Century Gothic" w:cs="Arial"/>
          <w:sz w:val="22"/>
          <w:szCs w:val="22"/>
        </w:rPr>
        <w:t xml:space="preserve"> se hubiera sustraído de la celebración del contrato, </w:t>
      </w:r>
      <w:r w:rsidRPr="00A0108E">
        <w:rPr>
          <w:rFonts w:ascii="Century Gothic" w:eastAsia="Calibri" w:hAnsi="Century Gothic" w:cs="Arial"/>
          <w:b/>
          <w:sz w:val="22"/>
          <w:szCs w:val="22"/>
        </w:rPr>
        <w:t>o la hubiera hecho en unas condiciones más onerosas</w:t>
      </w:r>
      <w:r w:rsidR="00384306" w:rsidRPr="00A0108E">
        <w:rPr>
          <w:rFonts w:ascii="Century Gothic" w:eastAsia="Calibri" w:hAnsi="Century Gothic" w:cs="Arial"/>
          <w:sz w:val="22"/>
          <w:szCs w:val="22"/>
        </w:rPr>
        <w:t xml:space="preserve"> o tal como se estableció en las condiciones de la póliza se le hubiera realizados los siguientes y posiblemente se había enviado a que le hicieran exámenes médicos:</w:t>
      </w:r>
    </w:p>
    <w:p w14:paraId="0FA700D8" w14:textId="77777777" w:rsidR="00FD090F" w:rsidRPr="00FD090F" w:rsidRDefault="00FD090F" w:rsidP="00FD090F">
      <w:pPr>
        <w:autoSpaceDE w:val="0"/>
        <w:autoSpaceDN w:val="0"/>
        <w:adjustRightInd w:val="0"/>
        <w:jc w:val="both"/>
        <w:rPr>
          <w:rFonts w:ascii="Century Gothic" w:eastAsia="Calibri" w:hAnsi="Century Gothic" w:cs="Arial"/>
          <w:color w:val="002060"/>
          <w:sz w:val="22"/>
          <w:szCs w:val="22"/>
          <w:lang w:val="es-CO"/>
        </w:rPr>
      </w:pPr>
    </w:p>
    <w:p w14:paraId="3A78B6B3" w14:textId="5D3D6D30" w:rsidR="00E0774A" w:rsidRPr="00A0108E" w:rsidRDefault="00FD090F" w:rsidP="00E0774A">
      <w:pPr>
        <w:autoSpaceDE w:val="0"/>
        <w:autoSpaceDN w:val="0"/>
        <w:adjustRightInd w:val="0"/>
        <w:jc w:val="both"/>
        <w:rPr>
          <w:rFonts w:ascii="Century Gothic" w:eastAsia="Calibri" w:hAnsi="Century Gothic" w:cs="Arial"/>
          <w:color w:val="002060"/>
          <w:sz w:val="22"/>
          <w:szCs w:val="22"/>
          <w:lang w:val="es-CO"/>
        </w:rPr>
      </w:pPr>
      <w:r w:rsidRPr="00FD090F">
        <w:rPr>
          <w:rFonts w:ascii="Century Gothic" w:eastAsia="Calibri" w:hAnsi="Century Gothic" w:cs="Arial"/>
          <w:b/>
          <w:bCs/>
          <w:color w:val="002060"/>
          <w:sz w:val="22"/>
          <w:szCs w:val="22"/>
          <w:lang w:val="es-CO"/>
        </w:rPr>
        <w:t xml:space="preserve">5. REQUISITOS DE ASEGURABILIDAD </w:t>
      </w:r>
    </w:p>
    <w:p w14:paraId="1DA2436D" w14:textId="7501774C" w:rsidR="00FD090F" w:rsidRPr="00A0108E" w:rsidRDefault="00326325" w:rsidP="00FD090F">
      <w:pPr>
        <w:pStyle w:val="Default"/>
        <w:jc w:val="both"/>
        <w:rPr>
          <w:color w:val="auto"/>
          <w:sz w:val="22"/>
          <w:szCs w:val="22"/>
        </w:rPr>
      </w:pPr>
      <w:r w:rsidRPr="00326325">
        <w:rPr>
          <w:rFonts w:eastAsia="Calibri" w:cs="Arial"/>
          <w:b/>
          <w:bCs/>
          <w:color w:val="auto"/>
          <w:sz w:val="22"/>
          <w:szCs w:val="22"/>
        </w:rPr>
        <w:t xml:space="preserve">1: </w:t>
      </w:r>
      <w:r w:rsidRPr="00326325">
        <w:rPr>
          <w:rFonts w:eastAsia="Calibri" w:cs="Arial"/>
          <w:color w:val="auto"/>
          <w:sz w:val="22"/>
          <w:szCs w:val="22"/>
        </w:rPr>
        <w:t xml:space="preserve">Declaración de Asegurabilidad: Si en la declaración el asegurado reconoce que tiene una buena condición en su salud y responde negativamente a las preguntas será asegurado de manera automática; </w:t>
      </w:r>
      <w:r w:rsidRPr="00326325">
        <w:rPr>
          <w:rFonts w:eastAsia="Calibri" w:cs="Arial"/>
          <w:b/>
          <w:bCs/>
          <w:color w:val="auto"/>
          <w:sz w:val="22"/>
          <w:szCs w:val="22"/>
        </w:rPr>
        <w:t>si responde afirmativamente a alguna de las preguntas, Equidad se reserva el derecho de solicitar exámenes</w:t>
      </w:r>
      <w:r w:rsidRPr="00326325">
        <w:rPr>
          <w:rFonts w:eastAsia="Calibri" w:cs="Arial"/>
          <w:color w:val="auto"/>
          <w:sz w:val="22"/>
          <w:szCs w:val="22"/>
        </w:rPr>
        <w:t xml:space="preserve">. </w:t>
      </w:r>
      <w:r w:rsidR="00FD090F" w:rsidRPr="00A0108E">
        <w:rPr>
          <w:color w:val="auto"/>
          <w:sz w:val="22"/>
          <w:szCs w:val="22"/>
        </w:rPr>
        <w:t xml:space="preserve">En caso de siniestro Equidad puede rechazarlo por </w:t>
      </w:r>
      <w:proofErr w:type="gramStart"/>
      <w:r w:rsidR="00FD090F" w:rsidRPr="00A0108E">
        <w:rPr>
          <w:color w:val="auto"/>
          <w:sz w:val="22"/>
          <w:szCs w:val="22"/>
        </w:rPr>
        <w:t>pre existencia</w:t>
      </w:r>
      <w:proofErr w:type="gramEnd"/>
      <w:r w:rsidR="00FD090F" w:rsidRPr="00A0108E">
        <w:rPr>
          <w:color w:val="auto"/>
          <w:sz w:val="22"/>
          <w:szCs w:val="22"/>
        </w:rPr>
        <w:t xml:space="preserve"> si esta no fue declarada y era conocida por el asegurado. </w:t>
      </w:r>
    </w:p>
    <w:p w14:paraId="0B725B0D" w14:textId="0BD696E7" w:rsidR="00326325" w:rsidRPr="00A0108E" w:rsidRDefault="00326325" w:rsidP="00326325">
      <w:pPr>
        <w:autoSpaceDE w:val="0"/>
        <w:autoSpaceDN w:val="0"/>
        <w:adjustRightInd w:val="0"/>
        <w:jc w:val="both"/>
        <w:rPr>
          <w:rFonts w:ascii="Century Gothic" w:eastAsia="Calibri" w:hAnsi="Century Gothic" w:cs="Arial"/>
          <w:sz w:val="22"/>
          <w:szCs w:val="22"/>
          <w:lang w:val="es-CO"/>
        </w:rPr>
      </w:pPr>
    </w:p>
    <w:p w14:paraId="4DEAB227" w14:textId="77777777" w:rsidR="00FD090F" w:rsidRPr="00326325" w:rsidRDefault="00FD090F" w:rsidP="00326325">
      <w:pPr>
        <w:autoSpaceDE w:val="0"/>
        <w:autoSpaceDN w:val="0"/>
        <w:adjustRightInd w:val="0"/>
        <w:jc w:val="both"/>
        <w:rPr>
          <w:rFonts w:ascii="Century Gothic" w:eastAsia="Calibri" w:hAnsi="Century Gothic" w:cs="Arial"/>
          <w:sz w:val="22"/>
          <w:szCs w:val="22"/>
          <w:lang w:val="es-CO"/>
        </w:rPr>
      </w:pPr>
    </w:p>
    <w:p w14:paraId="3D1BC8FB" w14:textId="77777777" w:rsidR="00326325" w:rsidRPr="00326325" w:rsidRDefault="00326325" w:rsidP="00326325">
      <w:pPr>
        <w:autoSpaceDE w:val="0"/>
        <w:autoSpaceDN w:val="0"/>
        <w:adjustRightInd w:val="0"/>
        <w:jc w:val="both"/>
        <w:rPr>
          <w:rFonts w:ascii="Century Gothic" w:eastAsia="Calibri" w:hAnsi="Century Gothic" w:cs="Arial"/>
          <w:sz w:val="22"/>
          <w:szCs w:val="22"/>
          <w:lang w:val="es-CO"/>
        </w:rPr>
      </w:pPr>
      <w:r w:rsidRPr="00326325">
        <w:rPr>
          <w:rFonts w:ascii="Century Gothic" w:eastAsia="Calibri" w:hAnsi="Century Gothic" w:cs="Arial"/>
          <w:b/>
          <w:bCs/>
          <w:sz w:val="22"/>
          <w:szCs w:val="22"/>
          <w:lang w:val="es-CO"/>
        </w:rPr>
        <w:lastRenderedPageBreak/>
        <w:t xml:space="preserve">2: Examen médico y examen parcial de orina. </w:t>
      </w:r>
    </w:p>
    <w:p w14:paraId="4405C2D9" w14:textId="6DFA150E" w:rsidR="00E0774A" w:rsidRPr="00A0108E" w:rsidRDefault="00326325" w:rsidP="00326325">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3: Examen médico, Perfil lipídico, Electrocardiograma, Parcial de orina, Creatinina, Cuadro hemático, Glicemia, VIH y electrocardiograma de esfuerzo.</w:t>
      </w:r>
    </w:p>
    <w:p w14:paraId="10975119" w14:textId="77777777" w:rsidR="00326325" w:rsidRPr="00A0108E" w:rsidRDefault="00326325" w:rsidP="00326325">
      <w:pPr>
        <w:autoSpaceDE w:val="0"/>
        <w:autoSpaceDN w:val="0"/>
        <w:adjustRightInd w:val="0"/>
        <w:jc w:val="both"/>
        <w:rPr>
          <w:rFonts w:ascii="Century Gothic" w:eastAsia="Calibri" w:hAnsi="Century Gothic" w:cs="Arial"/>
          <w:b/>
          <w:bCs/>
          <w:color w:val="002060"/>
          <w:sz w:val="22"/>
          <w:szCs w:val="22"/>
          <w:lang w:val="es-CO"/>
        </w:rPr>
      </w:pPr>
    </w:p>
    <w:p w14:paraId="2F30C0B7" w14:textId="5CC1C45F" w:rsidR="00326325" w:rsidRPr="00326325" w:rsidRDefault="00326325" w:rsidP="00326325">
      <w:pPr>
        <w:autoSpaceDE w:val="0"/>
        <w:autoSpaceDN w:val="0"/>
        <w:adjustRightInd w:val="0"/>
        <w:jc w:val="both"/>
        <w:rPr>
          <w:rFonts w:ascii="Century Gothic" w:eastAsia="Calibri" w:hAnsi="Century Gothic" w:cs="Arial"/>
          <w:b/>
          <w:bCs/>
          <w:color w:val="002060"/>
          <w:sz w:val="22"/>
          <w:szCs w:val="22"/>
          <w:lang w:val="es-CO"/>
        </w:rPr>
      </w:pPr>
      <w:r w:rsidRPr="00326325">
        <w:rPr>
          <w:rFonts w:ascii="Century Gothic" w:eastAsia="Calibri" w:hAnsi="Century Gothic" w:cs="Arial"/>
          <w:b/>
          <w:bCs/>
          <w:color w:val="002060"/>
          <w:sz w:val="22"/>
          <w:szCs w:val="22"/>
          <w:lang w:val="es-CO"/>
        </w:rPr>
        <w:t xml:space="preserve">5.1. REQUISITOS DE ASEGURABILIDAD ADICIONALES </w:t>
      </w:r>
    </w:p>
    <w:p w14:paraId="7C5E06C4" w14:textId="77777777" w:rsidR="00326325" w:rsidRPr="00326325" w:rsidRDefault="00326325" w:rsidP="00326325">
      <w:pPr>
        <w:autoSpaceDE w:val="0"/>
        <w:autoSpaceDN w:val="0"/>
        <w:adjustRightInd w:val="0"/>
        <w:jc w:val="both"/>
        <w:rPr>
          <w:rFonts w:ascii="Century Gothic" w:eastAsia="Calibri" w:hAnsi="Century Gothic" w:cs="Arial"/>
          <w:b/>
          <w:bCs/>
          <w:sz w:val="22"/>
          <w:szCs w:val="22"/>
          <w:lang w:val="es-CO"/>
        </w:rPr>
      </w:pPr>
      <w:r w:rsidRPr="00326325">
        <w:rPr>
          <w:rFonts w:ascii="Century Gothic" w:eastAsia="Calibri" w:hAnsi="Century Gothic" w:cs="Arial"/>
          <w:b/>
          <w:bCs/>
          <w:sz w:val="22"/>
          <w:szCs w:val="22"/>
          <w:lang w:val="es-CO"/>
        </w:rPr>
        <w:t xml:space="preserve">Para Valores Asegurados desde $130’000.001= hasta $400’000.000= y cualquier edad, que declare afirmativamente alguna de las siguientes patologías, se requieren los siguientes exámenes: </w:t>
      </w:r>
    </w:p>
    <w:p w14:paraId="3E3688AF" w14:textId="77777777" w:rsidR="00326325" w:rsidRPr="00326325" w:rsidRDefault="00326325" w:rsidP="00326325">
      <w:pPr>
        <w:autoSpaceDE w:val="0"/>
        <w:autoSpaceDN w:val="0"/>
        <w:adjustRightInd w:val="0"/>
        <w:jc w:val="both"/>
        <w:rPr>
          <w:rFonts w:ascii="Century Gothic" w:eastAsia="Calibri" w:hAnsi="Century Gothic" w:cs="Arial"/>
          <w:b/>
          <w:bCs/>
          <w:sz w:val="22"/>
          <w:szCs w:val="22"/>
          <w:lang w:val="es-CO"/>
        </w:rPr>
      </w:pPr>
      <w:r w:rsidRPr="00326325">
        <w:rPr>
          <w:rFonts w:ascii="Century Gothic" w:eastAsia="Calibri" w:hAnsi="Century Gothic" w:cs="Arial"/>
          <w:b/>
          <w:bCs/>
          <w:sz w:val="22"/>
          <w:szCs w:val="22"/>
          <w:lang w:val="es-CO"/>
        </w:rPr>
        <w:t xml:space="preserve">5.1.1. Contesta Sí en Afecciones Cardiovasculares: Se solicita examen médico, EKG, glicemia, perfil lipídico, parcial de orina. </w:t>
      </w:r>
    </w:p>
    <w:p w14:paraId="4D26889A" w14:textId="77777777" w:rsidR="00326325" w:rsidRPr="00326325" w:rsidRDefault="00326325" w:rsidP="00326325">
      <w:pPr>
        <w:autoSpaceDE w:val="0"/>
        <w:autoSpaceDN w:val="0"/>
        <w:adjustRightInd w:val="0"/>
        <w:jc w:val="both"/>
        <w:rPr>
          <w:rFonts w:ascii="Century Gothic" w:eastAsia="Calibri" w:hAnsi="Century Gothic" w:cs="Arial"/>
          <w:b/>
          <w:bCs/>
          <w:color w:val="FF0000"/>
          <w:sz w:val="22"/>
          <w:szCs w:val="22"/>
          <w:lang w:val="es-CO"/>
        </w:rPr>
      </w:pPr>
      <w:r w:rsidRPr="00326325">
        <w:rPr>
          <w:rFonts w:ascii="Century Gothic" w:eastAsia="Calibri" w:hAnsi="Century Gothic" w:cs="Arial"/>
          <w:b/>
          <w:bCs/>
          <w:color w:val="FF0000"/>
          <w:sz w:val="22"/>
          <w:szCs w:val="22"/>
          <w:lang w:val="es-CO"/>
        </w:rPr>
        <w:t xml:space="preserve">5.1.2. Contesta Sí en Hipertensión Arterial: Se solicita examen médico, química sanguínea, EKG. </w:t>
      </w:r>
    </w:p>
    <w:p w14:paraId="5A534C6B" w14:textId="77777777" w:rsidR="00326325" w:rsidRPr="00326325" w:rsidRDefault="00326325" w:rsidP="00326325">
      <w:p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5.1.3. Contesta Sí en Afecciones Cerebro vasculares: Se solicita examen médico, EKG, glicemia, perfil lipídico, parcial de orina. </w:t>
      </w:r>
    </w:p>
    <w:p w14:paraId="48A781DB" w14:textId="77777777" w:rsidR="00326325" w:rsidRPr="00326325" w:rsidRDefault="00326325" w:rsidP="00326325">
      <w:pPr>
        <w:autoSpaceDE w:val="0"/>
        <w:autoSpaceDN w:val="0"/>
        <w:adjustRightInd w:val="0"/>
        <w:jc w:val="both"/>
        <w:rPr>
          <w:rFonts w:ascii="Century Gothic" w:eastAsia="Calibri" w:hAnsi="Century Gothic" w:cs="Arial"/>
          <w:b/>
          <w:bCs/>
          <w:color w:val="FF0000"/>
          <w:sz w:val="22"/>
          <w:szCs w:val="22"/>
          <w:lang w:val="es-CO"/>
        </w:rPr>
      </w:pPr>
      <w:r w:rsidRPr="00326325">
        <w:rPr>
          <w:rFonts w:ascii="Century Gothic" w:eastAsia="Calibri" w:hAnsi="Century Gothic" w:cs="Arial"/>
          <w:b/>
          <w:bCs/>
          <w:color w:val="FF0000"/>
          <w:sz w:val="22"/>
          <w:szCs w:val="22"/>
          <w:lang w:val="es-CO"/>
        </w:rPr>
        <w:t xml:space="preserve">5.1.4. Contesta Sí en Cáncer: Se solicita examen médico, EKG, glicemia, perfil lipídico, parcial de orina. Historia clínica, evolución y pronóstico diligenciado por médico tratante. </w:t>
      </w:r>
    </w:p>
    <w:p w14:paraId="5D2D985B" w14:textId="77777777" w:rsidR="00326325" w:rsidRPr="00326325" w:rsidRDefault="00326325" w:rsidP="00326325">
      <w:p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5.1.5. Contesta Sí en Diabetes: Se solicita examen médico, química sanguínea, EKG. </w:t>
      </w:r>
    </w:p>
    <w:p w14:paraId="393AC72E" w14:textId="77777777" w:rsidR="00326325" w:rsidRPr="00326325" w:rsidRDefault="00326325" w:rsidP="00326325">
      <w:p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5.1.6. Contesta Sí en VIH / S.I.D.A: Se solicita examen médico, EKG, glicemia, perfil lipídico, parcial de orina, VIH, serología </w:t>
      </w:r>
    </w:p>
    <w:p w14:paraId="1EF80DAC" w14:textId="77777777" w:rsidR="00326325" w:rsidRPr="00326325" w:rsidRDefault="00326325" w:rsidP="00326325">
      <w:p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5.1.7. Contesta Sí en Afecciones Renales: Se solicita examen médico, EKG, Glicemia, Perfil Lipídico, parcial de orina, BUN y Creatinina. </w:t>
      </w:r>
    </w:p>
    <w:p w14:paraId="2D3150C8" w14:textId="77777777" w:rsidR="00326325" w:rsidRPr="00326325" w:rsidRDefault="00326325" w:rsidP="00326325">
      <w:p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5.1.8. Índice de masa corporal: </w:t>
      </w:r>
    </w:p>
    <w:p w14:paraId="57F4E591" w14:textId="77777777" w:rsidR="00326325" w:rsidRPr="00A0108E" w:rsidRDefault="00326325" w:rsidP="00326325">
      <w:pPr>
        <w:numPr>
          <w:ilvl w:val="0"/>
          <w:numId w:val="42"/>
        </w:num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 Si el índice de masa corporal está entre 25 a 30, no se solicitan exámenes complementarios. </w:t>
      </w:r>
    </w:p>
    <w:p w14:paraId="57D8BBAE" w14:textId="77777777" w:rsidR="00326325" w:rsidRPr="00326325" w:rsidRDefault="00326325" w:rsidP="00326325">
      <w:pPr>
        <w:numPr>
          <w:ilvl w:val="0"/>
          <w:numId w:val="42"/>
        </w:num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El índice de masa corporal se calcula de la siguiente forma: </w:t>
      </w:r>
    </w:p>
    <w:p w14:paraId="30A4EF62" w14:textId="77777777" w:rsidR="00326325" w:rsidRPr="00326325" w:rsidRDefault="00326325" w:rsidP="00326325">
      <w:pPr>
        <w:numPr>
          <w:ilvl w:val="0"/>
          <w:numId w:val="42"/>
        </w:numPr>
        <w:autoSpaceDE w:val="0"/>
        <w:autoSpaceDN w:val="0"/>
        <w:adjustRightInd w:val="0"/>
        <w:jc w:val="both"/>
        <w:rPr>
          <w:rFonts w:ascii="Century Gothic" w:eastAsia="Calibri" w:hAnsi="Century Gothic" w:cs="Arial"/>
          <w:b/>
          <w:bCs/>
          <w:color w:val="000000" w:themeColor="text1"/>
          <w:sz w:val="22"/>
          <w:szCs w:val="22"/>
          <w:lang w:val="es-CO"/>
        </w:rPr>
      </w:pPr>
      <w:r w:rsidRPr="00326325">
        <w:rPr>
          <w:rFonts w:ascii="Century Gothic" w:eastAsia="Calibri" w:hAnsi="Century Gothic" w:cs="Arial"/>
          <w:b/>
          <w:bCs/>
          <w:color w:val="000000" w:themeColor="text1"/>
          <w:sz w:val="22"/>
          <w:szCs w:val="22"/>
          <w:lang w:val="es-CO"/>
        </w:rPr>
        <w:t xml:space="preserve">FORMULA INDICE DE MASA CORPORAL: IMC = PESO / TALLA 2 </w:t>
      </w:r>
    </w:p>
    <w:p w14:paraId="0E6999B3" w14:textId="42804F07" w:rsidR="00326325" w:rsidRPr="00326325" w:rsidRDefault="00326325" w:rsidP="00326325">
      <w:pPr>
        <w:numPr>
          <w:ilvl w:val="0"/>
          <w:numId w:val="42"/>
        </w:numPr>
        <w:autoSpaceDE w:val="0"/>
        <w:autoSpaceDN w:val="0"/>
        <w:adjustRightInd w:val="0"/>
        <w:jc w:val="both"/>
        <w:rPr>
          <w:rFonts w:ascii="Century Gothic" w:eastAsia="Calibri" w:hAnsi="Century Gothic" w:cs="Arial"/>
          <w:b/>
          <w:bCs/>
          <w:color w:val="000000" w:themeColor="text1"/>
          <w:sz w:val="22"/>
          <w:szCs w:val="22"/>
          <w:lang w:val="es-CO"/>
        </w:rPr>
      </w:pPr>
      <w:r w:rsidRPr="00A0108E">
        <w:rPr>
          <w:rFonts w:ascii="Century Gothic" w:eastAsia="Calibri" w:hAnsi="Century Gothic" w:cs="Arial"/>
          <w:b/>
          <w:bCs/>
          <w:color w:val="000000" w:themeColor="text1"/>
          <w:sz w:val="22"/>
          <w:szCs w:val="22"/>
          <w:lang w:val="es-CO"/>
        </w:rPr>
        <w:t>Ejemplo: 80 kilos, Estatura 1.65 Entonces IMC = 80 / (1.65) 2 = 29.3</w:t>
      </w:r>
    </w:p>
    <w:p w14:paraId="2A865972" w14:textId="77777777" w:rsidR="00326325" w:rsidRPr="00A0108E" w:rsidRDefault="00326325" w:rsidP="00326325">
      <w:pPr>
        <w:autoSpaceDE w:val="0"/>
        <w:autoSpaceDN w:val="0"/>
        <w:adjustRightInd w:val="0"/>
        <w:jc w:val="both"/>
        <w:rPr>
          <w:rFonts w:ascii="Century Gothic" w:eastAsia="Calibri" w:hAnsi="Century Gothic" w:cs="Arial"/>
          <w:b/>
          <w:bCs/>
          <w:color w:val="000000" w:themeColor="text1"/>
          <w:sz w:val="22"/>
          <w:szCs w:val="22"/>
        </w:rPr>
      </w:pPr>
    </w:p>
    <w:p w14:paraId="2C10E629" w14:textId="75A44294" w:rsidR="00E0774A" w:rsidRPr="00A0108E" w:rsidRDefault="00FD090F" w:rsidP="00E0774A">
      <w:pPr>
        <w:autoSpaceDE w:val="0"/>
        <w:autoSpaceDN w:val="0"/>
        <w:adjustRightInd w:val="0"/>
        <w:jc w:val="both"/>
        <w:rPr>
          <w:rFonts w:ascii="Century Gothic" w:eastAsia="Calibri" w:hAnsi="Century Gothic" w:cs="Arial"/>
          <w:b/>
          <w:bCs/>
          <w:color w:val="000000" w:themeColor="text1"/>
          <w:sz w:val="22"/>
          <w:szCs w:val="22"/>
          <w:lang w:val="es-CO"/>
        </w:rPr>
      </w:pPr>
      <w:r w:rsidRPr="00A0108E">
        <w:rPr>
          <w:rFonts w:ascii="Century Gothic" w:eastAsia="Calibri" w:hAnsi="Century Gothic" w:cs="Arial"/>
          <w:b/>
          <w:bCs/>
          <w:color w:val="000000" w:themeColor="text1"/>
          <w:sz w:val="22"/>
          <w:szCs w:val="22"/>
          <w:lang w:val="es-CO"/>
        </w:rPr>
        <w:t>*Para cualquier otra enfermedad diferente a las detalladas anteriormente, se requiere estudio y aprobación previa de la aseguradora.</w:t>
      </w:r>
    </w:p>
    <w:p w14:paraId="64F2F272" w14:textId="4C549123" w:rsidR="00FD090F" w:rsidRPr="00A0108E" w:rsidRDefault="00FD090F" w:rsidP="00E0774A">
      <w:pPr>
        <w:autoSpaceDE w:val="0"/>
        <w:autoSpaceDN w:val="0"/>
        <w:adjustRightInd w:val="0"/>
        <w:jc w:val="both"/>
        <w:rPr>
          <w:rFonts w:ascii="Century Gothic" w:eastAsia="Calibri" w:hAnsi="Century Gothic" w:cs="Arial"/>
          <w:b/>
          <w:bCs/>
          <w:color w:val="002060"/>
          <w:sz w:val="22"/>
          <w:szCs w:val="22"/>
        </w:rPr>
      </w:pPr>
      <w:r w:rsidRPr="00A0108E">
        <w:rPr>
          <w:rFonts w:ascii="Century Gothic" w:hAnsi="Century Gothic"/>
          <w:noProof/>
          <w:sz w:val="22"/>
          <w:szCs w:val="22"/>
        </w:rPr>
        <w:lastRenderedPageBreak/>
        <w:drawing>
          <wp:inline distT="0" distB="0" distL="0" distR="0" wp14:anchorId="6350CFF8" wp14:editId="2E473848">
            <wp:extent cx="4210050" cy="5029200"/>
            <wp:effectExtent l="0" t="0" r="0" b="0"/>
            <wp:docPr id="18197175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717564" name=""/>
                    <pic:cNvPicPr/>
                  </pic:nvPicPr>
                  <pic:blipFill>
                    <a:blip r:embed="rId37"/>
                    <a:stretch>
                      <a:fillRect/>
                    </a:stretch>
                  </pic:blipFill>
                  <pic:spPr>
                    <a:xfrm>
                      <a:off x="0" y="0"/>
                      <a:ext cx="4210050" cy="5029200"/>
                    </a:xfrm>
                    <a:prstGeom prst="rect">
                      <a:avLst/>
                    </a:prstGeom>
                  </pic:spPr>
                </pic:pic>
              </a:graphicData>
            </a:graphic>
          </wp:inline>
        </w:drawing>
      </w:r>
    </w:p>
    <w:p w14:paraId="11F2778B" w14:textId="0E40B252" w:rsidR="00FD090F" w:rsidRPr="00A0108E" w:rsidRDefault="00FD090F" w:rsidP="00E0774A">
      <w:pPr>
        <w:autoSpaceDE w:val="0"/>
        <w:autoSpaceDN w:val="0"/>
        <w:adjustRightInd w:val="0"/>
        <w:jc w:val="both"/>
        <w:rPr>
          <w:rFonts w:ascii="Century Gothic" w:eastAsia="Calibri" w:hAnsi="Century Gothic" w:cs="Arial"/>
          <w:color w:val="000000" w:themeColor="text1"/>
          <w:sz w:val="22"/>
          <w:szCs w:val="22"/>
        </w:rPr>
      </w:pPr>
      <w:r w:rsidRPr="00A0108E">
        <w:rPr>
          <w:rFonts w:ascii="Century Gothic" w:eastAsia="Calibri" w:hAnsi="Century Gothic" w:cs="Arial"/>
          <w:color w:val="000000" w:themeColor="text1"/>
          <w:sz w:val="22"/>
          <w:szCs w:val="22"/>
        </w:rPr>
        <w:t>De acuerdo a las condiciones anteriores es claro que si la señora LIGIA GONZALEZ (q.</w:t>
      </w:r>
      <w:proofErr w:type="gramStart"/>
      <w:r w:rsidRPr="00A0108E">
        <w:rPr>
          <w:rFonts w:ascii="Century Gothic" w:eastAsia="Calibri" w:hAnsi="Century Gothic" w:cs="Arial"/>
          <w:color w:val="000000" w:themeColor="text1"/>
          <w:sz w:val="22"/>
          <w:szCs w:val="22"/>
        </w:rPr>
        <w:t>ep.d</w:t>
      </w:r>
      <w:proofErr w:type="gramEnd"/>
      <w:r w:rsidRPr="00A0108E">
        <w:rPr>
          <w:rFonts w:ascii="Century Gothic" w:eastAsia="Calibri" w:hAnsi="Century Gothic" w:cs="Arial"/>
          <w:color w:val="000000" w:themeColor="text1"/>
          <w:sz w:val="22"/>
          <w:szCs w:val="22"/>
        </w:rPr>
        <w:t xml:space="preserve">) hubiera </w:t>
      </w:r>
      <w:r w:rsidR="00A56585" w:rsidRPr="00A0108E">
        <w:rPr>
          <w:rFonts w:ascii="Century Gothic" w:eastAsia="Calibri" w:hAnsi="Century Gothic" w:cs="Arial"/>
          <w:color w:val="000000" w:themeColor="text1"/>
          <w:sz w:val="22"/>
          <w:szCs w:val="22"/>
        </w:rPr>
        <w:t>informa</w:t>
      </w:r>
      <w:r w:rsidRPr="00A0108E">
        <w:rPr>
          <w:rFonts w:ascii="Century Gothic" w:eastAsia="Calibri" w:hAnsi="Century Gothic" w:cs="Arial"/>
          <w:color w:val="000000" w:themeColor="text1"/>
          <w:sz w:val="22"/>
          <w:szCs w:val="22"/>
        </w:rPr>
        <w:t>do que padecía de CANCER en la declaración de asegurabilidad mi representada LA EQUIDAD SEGUROS DE VIDA O.C, le hubiera enviado hacer exámenes, tales como los estipulados en las condiciones particulares de la póliza vida grupo AA007625, y en el SLIP:</w:t>
      </w:r>
    </w:p>
    <w:p w14:paraId="653E35B6" w14:textId="77777777" w:rsidR="00FD090F" w:rsidRPr="00326325" w:rsidRDefault="00FD090F" w:rsidP="00FD090F">
      <w:pPr>
        <w:autoSpaceDE w:val="0"/>
        <w:autoSpaceDN w:val="0"/>
        <w:adjustRightInd w:val="0"/>
        <w:jc w:val="both"/>
        <w:rPr>
          <w:rFonts w:ascii="Century Gothic" w:eastAsia="Calibri" w:hAnsi="Century Gothic" w:cs="Arial"/>
          <w:b/>
          <w:bCs/>
          <w:color w:val="FF0000"/>
          <w:sz w:val="22"/>
          <w:szCs w:val="22"/>
          <w:lang w:val="es-CO"/>
        </w:rPr>
      </w:pPr>
      <w:r w:rsidRPr="00326325">
        <w:rPr>
          <w:rFonts w:ascii="Century Gothic" w:eastAsia="Calibri" w:hAnsi="Century Gothic" w:cs="Arial"/>
          <w:b/>
          <w:bCs/>
          <w:color w:val="FF0000"/>
          <w:sz w:val="22"/>
          <w:szCs w:val="22"/>
          <w:lang w:val="es-CO"/>
        </w:rPr>
        <w:t xml:space="preserve">5.1.2. Contesta Sí en Hipertensión Arterial: Se solicita examen médico, química sanguínea, EKG. </w:t>
      </w:r>
    </w:p>
    <w:p w14:paraId="7AFD5F4E" w14:textId="77777777" w:rsidR="00FD090F" w:rsidRPr="00A0108E" w:rsidRDefault="00FD090F" w:rsidP="00E0774A">
      <w:pPr>
        <w:autoSpaceDE w:val="0"/>
        <w:autoSpaceDN w:val="0"/>
        <w:adjustRightInd w:val="0"/>
        <w:jc w:val="both"/>
        <w:rPr>
          <w:rFonts w:ascii="Century Gothic" w:eastAsia="Calibri" w:hAnsi="Century Gothic" w:cs="Arial"/>
          <w:color w:val="000000" w:themeColor="text1"/>
          <w:sz w:val="22"/>
          <w:szCs w:val="22"/>
        </w:rPr>
      </w:pPr>
    </w:p>
    <w:p w14:paraId="0E6757D3" w14:textId="77777777" w:rsidR="00FD090F" w:rsidRPr="00326325" w:rsidRDefault="00FD090F" w:rsidP="00FD090F">
      <w:pPr>
        <w:autoSpaceDE w:val="0"/>
        <w:autoSpaceDN w:val="0"/>
        <w:adjustRightInd w:val="0"/>
        <w:jc w:val="both"/>
        <w:rPr>
          <w:rFonts w:ascii="Century Gothic" w:eastAsia="Calibri" w:hAnsi="Century Gothic" w:cs="Arial"/>
          <w:b/>
          <w:bCs/>
          <w:color w:val="FF0000"/>
          <w:sz w:val="22"/>
          <w:szCs w:val="22"/>
          <w:lang w:val="es-CO"/>
        </w:rPr>
      </w:pPr>
      <w:r w:rsidRPr="00326325">
        <w:rPr>
          <w:rFonts w:ascii="Century Gothic" w:eastAsia="Calibri" w:hAnsi="Century Gothic" w:cs="Arial"/>
          <w:b/>
          <w:bCs/>
          <w:color w:val="FF0000"/>
          <w:sz w:val="22"/>
          <w:szCs w:val="22"/>
          <w:lang w:val="es-CO"/>
        </w:rPr>
        <w:t xml:space="preserve">5.1.4. Contesta Sí en Cáncer: Se solicita examen médico, EKG, glicemia, perfil lipídico, parcial de orina. Historia clínica, evolución y pronóstico diligenciado por médico tratante. </w:t>
      </w:r>
    </w:p>
    <w:p w14:paraId="517EF41A" w14:textId="77777777" w:rsidR="00FD090F" w:rsidRPr="00A0108E" w:rsidRDefault="00FD090F" w:rsidP="00E0774A">
      <w:pPr>
        <w:autoSpaceDE w:val="0"/>
        <w:autoSpaceDN w:val="0"/>
        <w:adjustRightInd w:val="0"/>
        <w:jc w:val="both"/>
        <w:rPr>
          <w:rFonts w:ascii="Century Gothic" w:eastAsia="Calibri" w:hAnsi="Century Gothic" w:cs="Arial"/>
          <w:b/>
          <w:bCs/>
          <w:color w:val="002060"/>
          <w:sz w:val="22"/>
          <w:szCs w:val="22"/>
        </w:rPr>
      </w:pPr>
    </w:p>
    <w:p w14:paraId="1B21DE16" w14:textId="77777777" w:rsidR="00EE0965" w:rsidRPr="00A0108E" w:rsidRDefault="00C16EFD"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Pero como ella omitió dicha información, mi representada LA EQUIDAD SEGUROS DE VIDA O.C. le dio el ingreso a la póliza </w:t>
      </w:r>
      <w:r w:rsidR="00282640" w:rsidRPr="00A0108E">
        <w:rPr>
          <w:rFonts w:ascii="Century Gothic" w:eastAsia="Calibri" w:hAnsi="Century Gothic" w:cs="Arial"/>
          <w:sz w:val="22"/>
          <w:szCs w:val="22"/>
        </w:rPr>
        <w:t>creyendo que su estado de salud</w:t>
      </w:r>
      <w:r w:rsidR="007656D3" w:rsidRPr="00A0108E">
        <w:rPr>
          <w:rFonts w:ascii="Century Gothic" w:eastAsia="Calibri" w:hAnsi="Century Gothic" w:cs="Arial"/>
          <w:sz w:val="22"/>
          <w:szCs w:val="22"/>
        </w:rPr>
        <w:t xml:space="preserve"> era OPTIMO, no siendo esta la realidad.</w:t>
      </w:r>
    </w:p>
    <w:p w14:paraId="41F4EADE" w14:textId="77777777" w:rsidR="00EE0965" w:rsidRPr="00A0108E" w:rsidRDefault="00EE0965" w:rsidP="00E0774A">
      <w:pPr>
        <w:autoSpaceDE w:val="0"/>
        <w:autoSpaceDN w:val="0"/>
        <w:adjustRightInd w:val="0"/>
        <w:jc w:val="both"/>
        <w:rPr>
          <w:rFonts w:ascii="Century Gothic" w:eastAsia="Calibri" w:hAnsi="Century Gothic" w:cs="Arial"/>
          <w:sz w:val="22"/>
          <w:szCs w:val="22"/>
        </w:rPr>
      </w:pPr>
    </w:p>
    <w:p w14:paraId="1F5A78E1" w14:textId="7D51B0B4" w:rsidR="00E0774A" w:rsidRPr="00A0108E" w:rsidRDefault="00282640"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 </w:t>
      </w:r>
    </w:p>
    <w:p w14:paraId="6CDC1C3D" w14:textId="77777777" w:rsidR="00E0774A" w:rsidRPr="00A0108E" w:rsidRDefault="00E0774A" w:rsidP="00E0774A">
      <w:pPr>
        <w:autoSpaceDE w:val="0"/>
        <w:autoSpaceDN w:val="0"/>
        <w:adjustRightInd w:val="0"/>
        <w:jc w:val="both"/>
        <w:rPr>
          <w:rFonts w:ascii="Century Gothic" w:eastAsia="Calibri" w:hAnsi="Century Gothic" w:cs="Arial"/>
          <w:sz w:val="22"/>
          <w:szCs w:val="22"/>
          <w:vertAlign w:val="superscript"/>
        </w:rPr>
      </w:pPr>
    </w:p>
    <w:p w14:paraId="53343B75"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7" w:name="_Hlk19095202"/>
      <w:r w:rsidRPr="00A0108E">
        <w:rPr>
          <w:rFonts w:ascii="Century Gothic" w:eastAsia="Calibri" w:hAnsi="Century Gothic" w:cs="Arial"/>
          <w:b/>
          <w:sz w:val="22"/>
          <w:szCs w:val="22"/>
          <w:lang w:val="es-CO"/>
        </w:rPr>
        <w:lastRenderedPageBreak/>
        <w:t>INEXISTENCIA DE LA OBLIGACIÓN DE AFECTACIÓN DEL CONTRATO DE SEGURO.</w:t>
      </w:r>
    </w:p>
    <w:p w14:paraId="71F9D5F0" w14:textId="77777777" w:rsidR="00105109" w:rsidRPr="00A0108E" w:rsidRDefault="00105109" w:rsidP="00105109">
      <w:pPr>
        <w:autoSpaceDE w:val="0"/>
        <w:autoSpaceDN w:val="0"/>
        <w:adjustRightInd w:val="0"/>
        <w:ind w:left="644"/>
        <w:jc w:val="both"/>
        <w:rPr>
          <w:rFonts w:ascii="Century Gothic" w:eastAsia="Calibri" w:hAnsi="Century Gothic" w:cs="Arial"/>
          <w:b/>
          <w:sz w:val="22"/>
          <w:szCs w:val="22"/>
          <w:lang w:val="es-CO"/>
        </w:rPr>
      </w:pPr>
    </w:p>
    <w:bookmarkEnd w:id="7"/>
    <w:p w14:paraId="15D9D58B" w14:textId="519E76BC"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El contrato de seguro denominado PÓLIZA DE SEGURO DE VIDA GRUPO, No. AA00</w:t>
      </w:r>
      <w:r w:rsidR="00575802" w:rsidRPr="00A0108E">
        <w:rPr>
          <w:rFonts w:ascii="Century Gothic" w:eastAsia="Calibri" w:hAnsi="Century Gothic" w:cs="Arial"/>
          <w:sz w:val="22"/>
          <w:szCs w:val="22"/>
        </w:rPr>
        <w:t>7625</w:t>
      </w:r>
      <w:r w:rsidRPr="00A0108E">
        <w:rPr>
          <w:rFonts w:ascii="Century Gothic" w:eastAsia="Calibri" w:hAnsi="Century Gothic" w:cs="Arial"/>
          <w:sz w:val="22"/>
          <w:szCs w:val="22"/>
        </w:rPr>
        <w:t>, certificado No. AA</w:t>
      </w:r>
      <w:r w:rsidR="00575802" w:rsidRPr="00A0108E">
        <w:rPr>
          <w:rFonts w:ascii="Century Gothic" w:eastAsia="Calibri" w:hAnsi="Century Gothic" w:cs="Arial"/>
          <w:sz w:val="22"/>
          <w:szCs w:val="22"/>
        </w:rPr>
        <w:t>123908</w:t>
      </w:r>
      <w:r w:rsidRPr="00A0108E">
        <w:rPr>
          <w:rFonts w:ascii="Century Gothic" w:eastAsia="Calibri" w:hAnsi="Century Gothic" w:cs="Arial"/>
          <w:sz w:val="22"/>
          <w:szCs w:val="22"/>
        </w:rPr>
        <w:t xml:space="preserve">, orden </w:t>
      </w:r>
      <w:r w:rsidR="00575802" w:rsidRPr="00A0108E">
        <w:rPr>
          <w:rFonts w:ascii="Century Gothic" w:eastAsia="Calibri" w:hAnsi="Century Gothic" w:cs="Arial"/>
          <w:sz w:val="22"/>
          <w:szCs w:val="22"/>
        </w:rPr>
        <w:t>7978</w:t>
      </w:r>
      <w:r w:rsidRPr="00A0108E">
        <w:rPr>
          <w:rFonts w:ascii="Century Gothic" w:eastAsia="Calibri" w:hAnsi="Century Gothic" w:cs="Arial"/>
          <w:sz w:val="22"/>
          <w:szCs w:val="22"/>
        </w:rPr>
        <w:t xml:space="preserve">, en la cual se encuentran contenidas las condiciones particulares de la póliza y los valores asegurados, teniendo en cuenta la deuda adquirida por la señora </w:t>
      </w:r>
      <w:r w:rsidR="00575802" w:rsidRPr="00A0108E">
        <w:rPr>
          <w:rFonts w:ascii="Century Gothic" w:eastAsia="Calibri" w:hAnsi="Century Gothic" w:cs="Arial"/>
          <w:sz w:val="22"/>
          <w:szCs w:val="22"/>
        </w:rPr>
        <w:t>LIGIA GONZALEZ (q.e.p.d)</w:t>
      </w:r>
      <w:r w:rsidRPr="00A0108E">
        <w:rPr>
          <w:rFonts w:ascii="Century Gothic" w:eastAsia="Calibri" w:hAnsi="Century Gothic" w:cs="Arial"/>
          <w:sz w:val="22"/>
          <w:szCs w:val="22"/>
        </w:rPr>
        <w:t xml:space="preserve"> vale la pena recordar que el mencionado contrato se encuentra regido por el condicionado general contenido en la forma con N° </w:t>
      </w:r>
      <w:r w:rsidR="00933FC4" w:rsidRPr="00A0108E">
        <w:rPr>
          <w:rFonts w:ascii="Century Gothic" w:hAnsi="Century Gothic" w:cs="CenturyGothic"/>
          <w:sz w:val="22"/>
          <w:szCs w:val="22"/>
          <w:lang w:val="es-CO"/>
        </w:rPr>
        <w:t>21/05/2021-1429-P-34-0000000000002030-D00I</w:t>
      </w:r>
      <w:r w:rsidR="00933FC4" w:rsidRPr="00A0108E">
        <w:rPr>
          <w:rFonts w:ascii="Century Gothic" w:hAnsi="Century Gothic" w:cs="CenturyGothic"/>
          <w:sz w:val="22"/>
          <w:szCs w:val="22"/>
          <w:lang w:val="es-CO"/>
        </w:rPr>
        <w:t>.</w:t>
      </w:r>
    </w:p>
    <w:p w14:paraId="60E1E76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55770CD8" w14:textId="118216C4"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Ahora bien, el anterior contrato de seguro se regía por las condiciones generales contenidas en la forma con N° </w:t>
      </w:r>
      <w:r w:rsidR="00216B22" w:rsidRPr="00A0108E">
        <w:rPr>
          <w:rFonts w:ascii="Century Gothic" w:hAnsi="Century Gothic" w:cs="CenturyGothic"/>
          <w:sz w:val="22"/>
          <w:szCs w:val="22"/>
          <w:lang w:val="es-CO"/>
        </w:rPr>
        <w:t>21/05/2021-1429-P-34-0000000000002030-D00I</w:t>
      </w:r>
      <w:r w:rsidRPr="00A0108E">
        <w:rPr>
          <w:rFonts w:ascii="Century Gothic" w:eastAsia="Calibri" w:hAnsi="Century Gothic" w:cs="Arial"/>
          <w:sz w:val="22"/>
          <w:szCs w:val="22"/>
        </w:rPr>
        <w:t>., en donde se pueden detallar las exclusiones, amparos básicos, amparos adicionales (si hubiesen sido contratados), entre otros.</w:t>
      </w:r>
    </w:p>
    <w:p w14:paraId="53349DAC"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491BC35" w14:textId="112B3533"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En ese orden de ideas, es claro que no le asiste derecho a la demandante para reclamar el pago del valor asegurado a través de la PÓLIZA DE SEGURO contrato de seguro denominado PÓLIZA DE SEGURO DE VIDA GRUPO, </w:t>
      </w:r>
      <w:r w:rsidR="009F6233" w:rsidRPr="00A0108E">
        <w:rPr>
          <w:rFonts w:ascii="Century Gothic" w:eastAsia="Calibri" w:hAnsi="Century Gothic" w:cs="Arial"/>
          <w:sz w:val="22"/>
          <w:szCs w:val="22"/>
        </w:rPr>
        <w:t>No. AA007625, certificado No. AA123908, orden 7978,</w:t>
      </w:r>
      <w:r w:rsidRPr="00A0108E">
        <w:rPr>
          <w:rFonts w:ascii="Century Gothic" w:eastAsia="Calibri" w:hAnsi="Century Gothic" w:cs="Arial"/>
          <w:b/>
          <w:sz w:val="22"/>
          <w:szCs w:val="22"/>
        </w:rPr>
        <w:t xml:space="preserve"> pues no se cumplieron con los requisitos de asegurabilidad; </w:t>
      </w:r>
      <w:r w:rsidRPr="00A0108E">
        <w:rPr>
          <w:rFonts w:ascii="Century Gothic" w:eastAsia="Calibri" w:hAnsi="Century Gothic" w:cs="Arial"/>
          <w:sz w:val="22"/>
          <w:szCs w:val="22"/>
        </w:rPr>
        <w:t>y en todo caso el suceso no se encontraba amparado.</w:t>
      </w:r>
    </w:p>
    <w:p w14:paraId="05EE063D"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1772027E"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8" w:name="_Hlk38980842"/>
      <w:r w:rsidRPr="00A0108E">
        <w:rPr>
          <w:rFonts w:ascii="Century Gothic" w:eastAsia="Calibri" w:hAnsi="Century Gothic" w:cs="Arial"/>
          <w:b/>
          <w:sz w:val="22"/>
          <w:szCs w:val="22"/>
          <w:lang w:val="es-CO"/>
        </w:rPr>
        <w:t>SUJECIÓN AL CONTRATO DE SEGURO CELEBRADO</w:t>
      </w:r>
    </w:p>
    <w:p w14:paraId="31EC0BB8" w14:textId="77777777" w:rsidR="001756CE" w:rsidRPr="00A0108E" w:rsidRDefault="001756CE" w:rsidP="001756CE">
      <w:pPr>
        <w:autoSpaceDE w:val="0"/>
        <w:autoSpaceDN w:val="0"/>
        <w:adjustRightInd w:val="0"/>
        <w:ind w:left="644"/>
        <w:jc w:val="both"/>
        <w:rPr>
          <w:rFonts w:ascii="Century Gothic" w:eastAsia="Calibri" w:hAnsi="Century Gothic" w:cs="Arial"/>
          <w:b/>
          <w:sz w:val="22"/>
          <w:szCs w:val="22"/>
          <w:lang w:val="es-CO"/>
        </w:rPr>
      </w:pPr>
    </w:p>
    <w:bookmarkEnd w:id="8"/>
    <w:p w14:paraId="0BD65552" w14:textId="0B2036C6"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Subsidiariamente y en caso de que prosperen las pretensiones de la demanda, tal relación deberá resolverse dentro de los </w:t>
      </w:r>
      <w:r w:rsidR="00FD23B3" w:rsidRPr="00A0108E">
        <w:rPr>
          <w:rFonts w:ascii="Century Gothic" w:eastAsia="Calibri" w:hAnsi="Century Gothic" w:cs="Arial"/>
          <w:sz w:val="22"/>
          <w:szCs w:val="22"/>
        </w:rPr>
        <w:t>parámetros establecidos</w:t>
      </w:r>
      <w:r w:rsidRPr="00A0108E">
        <w:rPr>
          <w:rFonts w:ascii="Century Gothic" w:eastAsia="Calibri" w:hAnsi="Century Gothic" w:cs="Arial"/>
          <w:sz w:val="22"/>
          <w:szCs w:val="22"/>
        </w:rPr>
        <w:t xml:space="preserve"> en el contrato de seguro denominado PÓLIZA DE SEGURO El contrato de seguro denominado PÓLIZA DE SEGURO DE VIDA GRUPO, </w:t>
      </w:r>
      <w:r w:rsidR="00362D93" w:rsidRPr="00A0108E">
        <w:rPr>
          <w:rFonts w:ascii="Century Gothic" w:eastAsia="Calibri" w:hAnsi="Century Gothic" w:cs="Arial"/>
          <w:sz w:val="22"/>
          <w:szCs w:val="22"/>
        </w:rPr>
        <w:t>No. AA007625, certificado No. AA123908, orden 7978</w:t>
      </w:r>
      <w:r w:rsidRPr="00A0108E">
        <w:rPr>
          <w:rFonts w:ascii="Century Gothic" w:eastAsia="Calibri" w:hAnsi="Century Gothic" w:cs="Arial"/>
          <w:sz w:val="22"/>
          <w:szCs w:val="22"/>
        </w:rPr>
        <w:t xml:space="preserve">, en la cuales se encuentran contenidas las condiciones particulares de la póliza y por las condiciones generales contenidas en la forma N° </w:t>
      </w:r>
      <w:r w:rsidR="00362D93" w:rsidRPr="00A0108E">
        <w:rPr>
          <w:rFonts w:ascii="Century Gothic" w:hAnsi="Century Gothic" w:cs="CenturyGothic"/>
          <w:sz w:val="22"/>
          <w:szCs w:val="22"/>
          <w:lang w:val="es-CO"/>
        </w:rPr>
        <w:t>21/05/2021-1429-P-34-0000000000002030-D00I</w:t>
      </w:r>
      <w:r w:rsidR="00362D93" w:rsidRPr="00A0108E">
        <w:rPr>
          <w:rFonts w:ascii="Century Gothic" w:eastAsia="Calibri" w:hAnsi="Century Gothic" w:cs="Arial"/>
          <w:sz w:val="22"/>
          <w:szCs w:val="22"/>
        </w:rPr>
        <w:t>.,</w:t>
      </w:r>
    </w:p>
    <w:p w14:paraId="3893F172"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1EA28745"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Es de resaltar que la cobertura del seguro de Vida Grupo está sujeta al cumplimiento de condiciones legales, entre las que cabe destacar las siguientes:</w:t>
      </w:r>
    </w:p>
    <w:p w14:paraId="5C2C284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511E6D7" w14:textId="77777777" w:rsidR="00E0774A" w:rsidRPr="00A0108E" w:rsidRDefault="00E0774A" w:rsidP="00E0774A">
      <w:pPr>
        <w:numPr>
          <w:ilvl w:val="0"/>
          <w:numId w:val="31"/>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El siniestro así ocurrido debe estar previsto dentro de las coberturas pactadas por las partes, contenidas en los documentos contractuales.</w:t>
      </w:r>
    </w:p>
    <w:p w14:paraId="3AD17EAD" w14:textId="77777777" w:rsidR="00E0774A" w:rsidRPr="00A0108E" w:rsidRDefault="00E0774A" w:rsidP="00E0774A">
      <w:pPr>
        <w:numPr>
          <w:ilvl w:val="0"/>
          <w:numId w:val="31"/>
        </w:numPr>
        <w:autoSpaceDE w:val="0"/>
        <w:autoSpaceDN w:val="0"/>
        <w:adjustRightInd w:val="0"/>
        <w:jc w:val="both"/>
        <w:rPr>
          <w:rFonts w:ascii="Century Gothic" w:eastAsia="Calibri" w:hAnsi="Century Gothic" w:cs="Arial"/>
          <w:i/>
          <w:sz w:val="22"/>
          <w:szCs w:val="22"/>
          <w:lang w:val="es-CO"/>
        </w:rPr>
      </w:pPr>
      <w:r w:rsidRPr="00A0108E">
        <w:rPr>
          <w:rFonts w:ascii="Century Gothic" w:eastAsia="Calibri" w:hAnsi="Century Gothic" w:cs="Arial"/>
          <w:i/>
          <w:sz w:val="22"/>
          <w:szCs w:val="22"/>
          <w:lang w:val="es-CO"/>
        </w:rPr>
        <w:t xml:space="preserve">Es necesario analizar que no se presente ninguna causal de exclusión, es decir, ningún hecho que excluya la responsabilidad de la aseguradora, de acuerdo con los amparos y exclusiones que se pactaron en el momento de suscribir el contrato de seguro. </w:t>
      </w:r>
    </w:p>
    <w:p w14:paraId="11F59202" w14:textId="77777777" w:rsidR="00E0774A" w:rsidRPr="00A0108E" w:rsidRDefault="00E0774A" w:rsidP="00E0774A">
      <w:pPr>
        <w:numPr>
          <w:ilvl w:val="0"/>
          <w:numId w:val="31"/>
        </w:numPr>
        <w:autoSpaceDE w:val="0"/>
        <w:autoSpaceDN w:val="0"/>
        <w:adjustRightInd w:val="0"/>
        <w:jc w:val="both"/>
        <w:rPr>
          <w:rFonts w:ascii="Century Gothic" w:eastAsia="Calibri" w:hAnsi="Century Gothic" w:cs="Arial"/>
          <w:i/>
          <w:sz w:val="22"/>
          <w:szCs w:val="22"/>
          <w:u w:val="single"/>
          <w:lang w:val="es-CO"/>
        </w:rPr>
      </w:pPr>
      <w:r w:rsidRPr="00A0108E">
        <w:rPr>
          <w:rFonts w:ascii="Century Gothic" w:eastAsia="Calibri" w:hAnsi="Century Gothic" w:cs="Arial"/>
          <w:sz w:val="22"/>
          <w:szCs w:val="22"/>
          <w:lang w:val="es-CO"/>
        </w:rPr>
        <w:t xml:space="preserve">Es de especial importancia verificar si los perjuicios a que eventualmente estaría condenado el asegurado están cubiertos o no en la póliza contratada. </w:t>
      </w:r>
    </w:p>
    <w:p w14:paraId="14EF246E"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rPr>
      </w:pPr>
    </w:p>
    <w:p w14:paraId="3555514D"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rPr>
      </w:pPr>
    </w:p>
    <w:p w14:paraId="251CB970"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rPr>
      </w:pPr>
    </w:p>
    <w:p w14:paraId="5A02B595"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rPr>
      </w:pPr>
    </w:p>
    <w:p w14:paraId="34FD024D" w14:textId="77777777" w:rsidR="00E0774A" w:rsidRPr="00A0108E" w:rsidRDefault="00E0774A" w:rsidP="00E0774A">
      <w:pPr>
        <w:autoSpaceDE w:val="0"/>
        <w:autoSpaceDN w:val="0"/>
        <w:adjustRightInd w:val="0"/>
        <w:jc w:val="both"/>
        <w:rPr>
          <w:rFonts w:ascii="Century Gothic" w:eastAsia="Calibri" w:hAnsi="Century Gothic" w:cs="Arial"/>
          <w:i/>
          <w:sz w:val="22"/>
          <w:szCs w:val="22"/>
          <w:u w:val="single"/>
        </w:rPr>
      </w:pPr>
    </w:p>
    <w:p w14:paraId="694E1066"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72D7FD62"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9" w:name="_Hlk38980853"/>
      <w:r w:rsidRPr="00A0108E">
        <w:rPr>
          <w:rFonts w:ascii="Century Gothic" w:eastAsia="Calibri" w:hAnsi="Century Gothic" w:cs="Arial"/>
          <w:b/>
          <w:bCs/>
          <w:sz w:val="22"/>
          <w:szCs w:val="22"/>
          <w:lang w:val="es-CO"/>
        </w:rPr>
        <w:t>LÍMITE DEL VALOR ASEGURADO PARA CADA AMPARO.</w:t>
      </w:r>
    </w:p>
    <w:p w14:paraId="5F47DE19" w14:textId="77777777" w:rsidR="00A7168D" w:rsidRPr="00A0108E" w:rsidRDefault="00A7168D" w:rsidP="00A7168D">
      <w:pPr>
        <w:autoSpaceDE w:val="0"/>
        <w:autoSpaceDN w:val="0"/>
        <w:adjustRightInd w:val="0"/>
        <w:ind w:left="644"/>
        <w:jc w:val="both"/>
        <w:rPr>
          <w:rFonts w:ascii="Century Gothic" w:eastAsia="Calibri" w:hAnsi="Century Gothic" w:cs="Arial"/>
          <w:b/>
          <w:sz w:val="22"/>
          <w:szCs w:val="22"/>
          <w:lang w:val="es-CO"/>
        </w:rPr>
      </w:pPr>
    </w:p>
    <w:bookmarkEnd w:id="9"/>
    <w:p w14:paraId="63207AC1"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Con el fin de otorgarle validez jurídica a la prosperidad de la presente excepción, valdrá la pena traer a colación el artículo 1790 del Código de Comercio, el cual reza:</w:t>
      </w:r>
    </w:p>
    <w:p w14:paraId="70123C84"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06A87E35" w14:textId="77777777" w:rsidR="00E0774A" w:rsidRPr="00A0108E" w:rsidRDefault="00E0774A" w:rsidP="00E0774A">
      <w:pPr>
        <w:autoSpaceDE w:val="0"/>
        <w:autoSpaceDN w:val="0"/>
        <w:adjustRightInd w:val="0"/>
        <w:jc w:val="both"/>
        <w:rPr>
          <w:rFonts w:ascii="Century Gothic" w:eastAsia="Calibri" w:hAnsi="Century Gothic" w:cs="Arial"/>
          <w:i/>
          <w:sz w:val="22"/>
          <w:szCs w:val="22"/>
        </w:rPr>
      </w:pPr>
      <w:r w:rsidRPr="00A0108E">
        <w:rPr>
          <w:rFonts w:ascii="Century Gothic" w:eastAsia="Calibri" w:hAnsi="Century Gothic" w:cs="Arial"/>
          <w:i/>
          <w:sz w:val="22"/>
          <w:szCs w:val="22"/>
          <w:u w:val="single"/>
        </w:rPr>
        <w:t>“el asegurador no estará obligado a responder sino hasta concurrencia de la suma asegurada, sin perjuicio de lo dispuesto en el inciso segundo del artículo 1074</w:t>
      </w:r>
      <w:r w:rsidRPr="00A0108E">
        <w:rPr>
          <w:rFonts w:ascii="Century Gothic" w:eastAsia="Calibri" w:hAnsi="Century Gothic" w:cs="Arial"/>
          <w:i/>
          <w:sz w:val="22"/>
          <w:szCs w:val="22"/>
        </w:rPr>
        <w:t>.”</w:t>
      </w:r>
    </w:p>
    <w:p w14:paraId="5AE5A97B" w14:textId="77777777" w:rsidR="00FD23B3" w:rsidRPr="00A0108E" w:rsidRDefault="00FD23B3" w:rsidP="00E0774A">
      <w:pPr>
        <w:autoSpaceDE w:val="0"/>
        <w:autoSpaceDN w:val="0"/>
        <w:adjustRightInd w:val="0"/>
        <w:jc w:val="both"/>
        <w:rPr>
          <w:rFonts w:ascii="Century Gothic" w:eastAsia="Calibri" w:hAnsi="Century Gothic" w:cs="Arial"/>
          <w:bCs/>
          <w:sz w:val="22"/>
          <w:szCs w:val="22"/>
        </w:rPr>
      </w:pPr>
    </w:p>
    <w:p w14:paraId="08FE5A40" w14:textId="70C2F1BF" w:rsidR="00E0774A" w:rsidRPr="00A0108E" w:rsidRDefault="00E0774A" w:rsidP="00E0774A">
      <w:pPr>
        <w:autoSpaceDE w:val="0"/>
        <w:autoSpaceDN w:val="0"/>
        <w:adjustRightInd w:val="0"/>
        <w:jc w:val="both"/>
        <w:rPr>
          <w:rFonts w:ascii="Century Gothic" w:eastAsia="Calibri" w:hAnsi="Century Gothic" w:cs="Arial"/>
          <w:bCs/>
          <w:sz w:val="22"/>
          <w:szCs w:val="22"/>
        </w:rPr>
      </w:pPr>
      <w:r w:rsidRPr="00A0108E">
        <w:rPr>
          <w:rFonts w:ascii="Century Gothic" w:eastAsia="Calibri" w:hAnsi="Century Gothic" w:cs="Arial"/>
          <w:bCs/>
          <w:sz w:val="22"/>
          <w:szCs w:val="22"/>
        </w:rPr>
        <w:t xml:space="preserve">En ese orden de ideas, solicito Señor juez, que en el hipotético caso en el que se </w:t>
      </w:r>
      <w:proofErr w:type="gramStart"/>
      <w:r w:rsidRPr="00A0108E">
        <w:rPr>
          <w:rFonts w:ascii="Century Gothic" w:eastAsia="Calibri" w:hAnsi="Century Gothic" w:cs="Arial"/>
          <w:bCs/>
          <w:sz w:val="22"/>
          <w:szCs w:val="22"/>
        </w:rPr>
        <w:t>le</w:t>
      </w:r>
      <w:proofErr w:type="gramEnd"/>
      <w:r w:rsidRPr="00A0108E">
        <w:rPr>
          <w:rFonts w:ascii="Century Gothic" w:eastAsia="Calibri" w:hAnsi="Century Gothic" w:cs="Arial"/>
          <w:bCs/>
          <w:sz w:val="22"/>
          <w:szCs w:val="22"/>
        </w:rPr>
        <w:t xml:space="preserve"> otorgue razón a las pretensiones de los demandantes, se tenga presente el límite del valor asegurado establecido en el contrato de seguro </w:t>
      </w:r>
      <w:r w:rsidR="00FD23B3" w:rsidRPr="00A0108E">
        <w:rPr>
          <w:rFonts w:ascii="Century Gothic" w:eastAsia="Calibri" w:hAnsi="Century Gothic" w:cs="Arial"/>
          <w:sz w:val="22"/>
          <w:szCs w:val="22"/>
        </w:rPr>
        <w:t>No. AA007625, certificado No. AA123908, orden 7978</w:t>
      </w:r>
      <w:r w:rsidRPr="00A0108E">
        <w:rPr>
          <w:rFonts w:ascii="Century Gothic" w:eastAsia="Calibri" w:hAnsi="Century Gothic" w:cs="Arial"/>
          <w:sz w:val="22"/>
          <w:szCs w:val="22"/>
        </w:rPr>
        <w:t xml:space="preserve">, </w:t>
      </w:r>
      <w:r w:rsidRPr="00A0108E">
        <w:rPr>
          <w:rFonts w:ascii="Century Gothic" w:eastAsia="Calibri" w:hAnsi="Century Gothic" w:cs="Arial"/>
          <w:bCs/>
          <w:sz w:val="22"/>
          <w:szCs w:val="22"/>
        </w:rPr>
        <w:t xml:space="preserve">el cual fue debidamente pactado, de manera libre y concertada entre las partes, esto, en ejercicio del principio de la autonomía de la voluntad privada; teniendo en cuenta el saldo de la deuda de la señora </w:t>
      </w:r>
      <w:r w:rsidR="00CD1007" w:rsidRPr="00A0108E">
        <w:rPr>
          <w:rFonts w:ascii="Century Gothic" w:eastAsia="Calibri" w:hAnsi="Century Gothic" w:cs="Arial"/>
          <w:bCs/>
          <w:sz w:val="22"/>
          <w:szCs w:val="22"/>
        </w:rPr>
        <w:t>LIGIA GONZALEZ (q.e.p.d)</w:t>
      </w:r>
    </w:p>
    <w:p w14:paraId="20D8F60F" w14:textId="77777777" w:rsidR="00E0774A" w:rsidRPr="00A0108E" w:rsidRDefault="00E0774A" w:rsidP="00E0774A">
      <w:pPr>
        <w:autoSpaceDE w:val="0"/>
        <w:autoSpaceDN w:val="0"/>
        <w:adjustRightInd w:val="0"/>
        <w:jc w:val="both"/>
        <w:rPr>
          <w:rFonts w:ascii="Century Gothic" w:eastAsia="Calibri" w:hAnsi="Century Gothic" w:cs="Arial"/>
          <w:bCs/>
          <w:sz w:val="22"/>
          <w:szCs w:val="22"/>
        </w:rPr>
      </w:pPr>
    </w:p>
    <w:p w14:paraId="3E6468C1" w14:textId="77777777" w:rsidR="00E0774A" w:rsidRPr="00A0108E" w:rsidRDefault="00E0774A" w:rsidP="00E0774A">
      <w:pPr>
        <w:autoSpaceDE w:val="0"/>
        <w:autoSpaceDN w:val="0"/>
        <w:adjustRightInd w:val="0"/>
        <w:jc w:val="both"/>
        <w:rPr>
          <w:rFonts w:ascii="Century Gothic" w:eastAsia="Calibri" w:hAnsi="Century Gothic" w:cs="Arial"/>
          <w:b/>
          <w:bCs/>
          <w:sz w:val="22"/>
          <w:szCs w:val="22"/>
        </w:rPr>
      </w:pPr>
      <w:r w:rsidRPr="00A0108E">
        <w:rPr>
          <w:rFonts w:ascii="Century Gothic" w:eastAsia="Calibri" w:hAnsi="Century Gothic" w:cs="Arial"/>
          <w:bCs/>
          <w:sz w:val="22"/>
          <w:szCs w:val="22"/>
        </w:rPr>
        <w:t xml:space="preserve">Así pues, el </w:t>
      </w:r>
      <w:r w:rsidRPr="00A0108E">
        <w:rPr>
          <w:rFonts w:ascii="Century Gothic" w:eastAsia="Calibri" w:hAnsi="Century Gothic" w:cs="Arial"/>
          <w:b/>
          <w:bCs/>
          <w:sz w:val="22"/>
          <w:szCs w:val="22"/>
        </w:rPr>
        <w:t>límite del valor asegurado</w:t>
      </w:r>
      <w:r w:rsidRPr="00A0108E">
        <w:rPr>
          <w:rFonts w:ascii="Century Gothic" w:eastAsia="Calibri" w:hAnsi="Century Gothic" w:cs="Arial"/>
          <w:bCs/>
          <w:sz w:val="22"/>
          <w:szCs w:val="22"/>
        </w:rPr>
        <w:t xml:space="preserve"> corresponde a </w:t>
      </w:r>
      <w:r w:rsidRPr="00A0108E">
        <w:rPr>
          <w:rFonts w:ascii="Century Gothic" w:eastAsia="Calibri" w:hAnsi="Century Gothic" w:cs="Arial"/>
          <w:b/>
          <w:bCs/>
          <w:sz w:val="22"/>
          <w:szCs w:val="22"/>
        </w:rPr>
        <w:t>al saldo insoluto de la obligación que ha sido certificado por la entidad tomadora, esto es:</w:t>
      </w:r>
    </w:p>
    <w:p w14:paraId="2D137CA5" w14:textId="77777777" w:rsidR="00E0774A" w:rsidRPr="00A0108E" w:rsidRDefault="00E0774A" w:rsidP="00E0774A">
      <w:pPr>
        <w:autoSpaceDE w:val="0"/>
        <w:autoSpaceDN w:val="0"/>
        <w:adjustRightInd w:val="0"/>
        <w:jc w:val="both"/>
        <w:rPr>
          <w:rFonts w:ascii="Century Gothic" w:eastAsia="Calibri" w:hAnsi="Century Gothic" w:cs="Arial"/>
          <w:b/>
          <w:bCs/>
          <w:sz w:val="22"/>
          <w:szCs w:val="22"/>
        </w:rPr>
      </w:pPr>
    </w:p>
    <w:p w14:paraId="36A92EF2" w14:textId="79C52920" w:rsidR="004125EB" w:rsidRPr="00A0108E" w:rsidRDefault="00E0774A" w:rsidP="004125EB">
      <w:pPr>
        <w:autoSpaceDE w:val="0"/>
        <w:autoSpaceDN w:val="0"/>
        <w:adjustRightInd w:val="0"/>
        <w:jc w:val="both"/>
        <w:rPr>
          <w:rFonts w:ascii="Century Gothic" w:eastAsia="Calibri" w:hAnsi="Century Gothic" w:cs="Arial"/>
          <w:b/>
          <w:bCs/>
          <w:sz w:val="22"/>
          <w:szCs w:val="22"/>
        </w:rPr>
      </w:pPr>
      <w:proofErr w:type="gramStart"/>
      <w:r w:rsidRPr="00A0108E">
        <w:rPr>
          <w:rFonts w:ascii="Century Gothic" w:eastAsia="Calibri" w:hAnsi="Century Gothic" w:cs="Arial"/>
          <w:sz w:val="22"/>
          <w:szCs w:val="22"/>
        </w:rPr>
        <w:t>De acuerdo a</w:t>
      </w:r>
      <w:proofErr w:type="gramEnd"/>
      <w:r w:rsidRPr="00A0108E">
        <w:rPr>
          <w:rFonts w:ascii="Century Gothic" w:eastAsia="Calibri" w:hAnsi="Century Gothic" w:cs="Arial"/>
          <w:sz w:val="22"/>
          <w:szCs w:val="22"/>
        </w:rPr>
        <w:t xml:space="preserve"> soportes contables y certificado de reclamación presentados, por </w:t>
      </w:r>
      <w:r w:rsidR="004125EB" w:rsidRPr="00A0108E">
        <w:rPr>
          <w:rFonts w:ascii="Century Gothic" w:eastAsia="Calibri" w:hAnsi="Century Gothic" w:cs="Arial"/>
          <w:sz w:val="22"/>
          <w:szCs w:val="22"/>
        </w:rPr>
        <w:t>BANCOOMENA</w:t>
      </w:r>
      <w:r w:rsidRPr="00A0108E">
        <w:rPr>
          <w:rFonts w:ascii="Century Gothic" w:eastAsia="Calibri" w:hAnsi="Century Gothic" w:cs="Arial"/>
          <w:sz w:val="22"/>
          <w:szCs w:val="22"/>
        </w:rPr>
        <w:t xml:space="preserve"> desembolsó, así:</w:t>
      </w:r>
    </w:p>
    <w:p w14:paraId="137AD5DB" w14:textId="7CB4A9FF" w:rsidR="004125EB" w:rsidRPr="00A0108E" w:rsidRDefault="004125EB" w:rsidP="004125EB">
      <w:pPr>
        <w:pStyle w:val="Default"/>
        <w:numPr>
          <w:ilvl w:val="0"/>
          <w:numId w:val="32"/>
        </w:numPr>
        <w:rPr>
          <w:sz w:val="22"/>
          <w:szCs w:val="22"/>
        </w:rPr>
      </w:pPr>
      <w:r w:rsidRPr="00A0108E">
        <w:rPr>
          <w:sz w:val="22"/>
          <w:szCs w:val="22"/>
        </w:rPr>
        <w:t xml:space="preserve">el 10 de octubre de 2022 por valor de $319.709.600 y un saldo reclamado por $315.856.971. </w:t>
      </w:r>
    </w:p>
    <w:p w14:paraId="68C608A9" w14:textId="02FC4176" w:rsidR="00E0774A" w:rsidRPr="00A0108E" w:rsidRDefault="004125EB" w:rsidP="004125EB">
      <w:pPr>
        <w:autoSpaceDE w:val="0"/>
        <w:autoSpaceDN w:val="0"/>
        <w:adjustRightInd w:val="0"/>
        <w:ind w:left="770"/>
        <w:jc w:val="both"/>
        <w:rPr>
          <w:rFonts w:ascii="Century Gothic" w:eastAsia="Calibri" w:hAnsi="Century Gothic" w:cs="Arial"/>
          <w:sz w:val="22"/>
          <w:szCs w:val="22"/>
          <w:lang w:val="es-CO"/>
        </w:rPr>
      </w:pPr>
      <w:r w:rsidRPr="00A0108E">
        <w:rPr>
          <w:rFonts w:ascii="Century Gothic" w:hAnsi="Century Gothic"/>
          <w:noProof/>
          <w:sz w:val="22"/>
          <w:szCs w:val="22"/>
        </w:rPr>
        <w:drawing>
          <wp:inline distT="0" distB="0" distL="0" distR="0" wp14:anchorId="2267EFE9" wp14:editId="5165B337">
            <wp:extent cx="5612130" cy="616585"/>
            <wp:effectExtent l="0" t="0" r="7620" b="0"/>
            <wp:docPr id="20663418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341894" name=""/>
                    <pic:cNvPicPr/>
                  </pic:nvPicPr>
                  <pic:blipFill>
                    <a:blip r:embed="rId38"/>
                    <a:stretch>
                      <a:fillRect/>
                    </a:stretch>
                  </pic:blipFill>
                  <pic:spPr>
                    <a:xfrm>
                      <a:off x="0" y="0"/>
                      <a:ext cx="5612130" cy="616585"/>
                    </a:xfrm>
                    <a:prstGeom prst="rect">
                      <a:avLst/>
                    </a:prstGeom>
                  </pic:spPr>
                </pic:pic>
              </a:graphicData>
            </a:graphic>
          </wp:inline>
        </w:drawing>
      </w:r>
    </w:p>
    <w:p w14:paraId="10473083" w14:textId="77777777" w:rsidR="00E0774A" w:rsidRPr="00A0108E" w:rsidRDefault="00E0774A" w:rsidP="00E0774A">
      <w:pPr>
        <w:autoSpaceDE w:val="0"/>
        <w:autoSpaceDN w:val="0"/>
        <w:adjustRightInd w:val="0"/>
        <w:jc w:val="both"/>
        <w:rPr>
          <w:rFonts w:ascii="Century Gothic" w:eastAsia="Calibri" w:hAnsi="Century Gothic" w:cs="Arial"/>
          <w:sz w:val="22"/>
          <w:szCs w:val="22"/>
          <w:u w:val="single"/>
        </w:rPr>
      </w:pPr>
      <w:r w:rsidRPr="00A0108E">
        <w:rPr>
          <w:rFonts w:ascii="Century Gothic" w:eastAsia="Calibri" w:hAnsi="Century Gothic" w:cs="Arial"/>
          <w:sz w:val="22"/>
          <w:szCs w:val="22"/>
          <w:u w:val="single"/>
        </w:rPr>
        <w:t xml:space="preserve">De acuerdo con lo anterior, la responsabilidad de indemnización por parte de mi representada no podrá exceder el valor - límite anteriormente señalado. </w:t>
      </w:r>
    </w:p>
    <w:p w14:paraId="161CC166" w14:textId="77777777" w:rsidR="00E0774A" w:rsidRPr="00A0108E" w:rsidRDefault="00E0774A" w:rsidP="00E0774A">
      <w:pPr>
        <w:autoSpaceDE w:val="0"/>
        <w:autoSpaceDN w:val="0"/>
        <w:adjustRightInd w:val="0"/>
        <w:jc w:val="both"/>
        <w:rPr>
          <w:rFonts w:ascii="Century Gothic" w:eastAsia="Calibri" w:hAnsi="Century Gothic" w:cs="Arial"/>
          <w:sz w:val="22"/>
          <w:szCs w:val="22"/>
          <w:u w:val="single"/>
        </w:rPr>
      </w:pPr>
    </w:p>
    <w:p w14:paraId="6834152F" w14:textId="77777777" w:rsidR="00E0774A" w:rsidRPr="00A0108E" w:rsidRDefault="00E0774A" w:rsidP="00E0774A">
      <w:pPr>
        <w:autoSpaceDE w:val="0"/>
        <w:autoSpaceDN w:val="0"/>
        <w:adjustRightInd w:val="0"/>
        <w:jc w:val="both"/>
        <w:rPr>
          <w:rFonts w:ascii="Century Gothic" w:eastAsia="Calibri" w:hAnsi="Century Gothic" w:cs="Arial"/>
          <w:b/>
          <w:sz w:val="22"/>
          <w:szCs w:val="22"/>
          <w:lang w:val="es-CO"/>
        </w:rPr>
      </w:pPr>
    </w:p>
    <w:p w14:paraId="311D8F95" w14:textId="77777777" w:rsidR="00E0774A" w:rsidRPr="00A0108E" w:rsidRDefault="00E0774A" w:rsidP="00E0774A">
      <w:pPr>
        <w:numPr>
          <w:ilvl w:val="0"/>
          <w:numId w:val="29"/>
        </w:numPr>
        <w:autoSpaceDE w:val="0"/>
        <w:autoSpaceDN w:val="0"/>
        <w:adjustRightInd w:val="0"/>
        <w:jc w:val="both"/>
        <w:rPr>
          <w:rFonts w:ascii="Century Gothic" w:eastAsia="Calibri" w:hAnsi="Century Gothic" w:cs="Arial"/>
          <w:b/>
          <w:sz w:val="22"/>
          <w:szCs w:val="22"/>
          <w:lang w:val="es-CO"/>
        </w:rPr>
      </w:pPr>
      <w:bookmarkStart w:id="10" w:name="_Hlk38980873"/>
      <w:r w:rsidRPr="00A0108E">
        <w:rPr>
          <w:rFonts w:ascii="Century Gothic" w:eastAsia="Calibri" w:hAnsi="Century Gothic" w:cs="Arial"/>
          <w:b/>
          <w:sz w:val="22"/>
          <w:szCs w:val="22"/>
          <w:lang w:val="es-CO"/>
        </w:rPr>
        <w:t>EXCEPCION GENÉRICA O INNOMINADA, INCLUYENDO LA PRESCRIPCION DE LAS ACCIONES QUE DERIVAN DEL CONTRATO DE SEGURO</w:t>
      </w:r>
    </w:p>
    <w:p w14:paraId="21A16909" w14:textId="77777777" w:rsidR="004125EB" w:rsidRPr="00A0108E" w:rsidRDefault="004125EB" w:rsidP="004125EB">
      <w:pPr>
        <w:autoSpaceDE w:val="0"/>
        <w:autoSpaceDN w:val="0"/>
        <w:adjustRightInd w:val="0"/>
        <w:ind w:left="644"/>
        <w:jc w:val="both"/>
        <w:rPr>
          <w:rFonts w:ascii="Century Gothic" w:eastAsia="Calibri" w:hAnsi="Century Gothic" w:cs="Arial"/>
          <w:b/>
          <w:sz w:val="22"/>
          <w:szCs w:val="22"/>
          <w:lang w:val="es-CO"/>
        </w:rPr>
      </w:pPr>
    </w:p>
    <w:bookmarkEnd w:id="10"/>
    <w:p w14:paraId="561A02FF"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Solicito respetuosamente al Señor Juez, que de conformidad con lo establecido en el artículo 282 del C.G.P. declare probada cualquier otra excepción que se establezca en el transcurso del proceso, incluyendo la prescripción de la acción derivada del contrato de seguro, previo a la acreditación de </w:t>
      </w:r>
      <w:proofErr w:type="gramStart"/>
      <w:r w:rsidRPr="00A0108E">
        <w:rPr>
          <w:rFonts w:ascii="Century Gothic" w:eastAsia="Calibri" w:hAnsi="Century Gothic" w:cs="Arial"/>
          <w:sz w:val="22"/>
          <w:szCs w:val="22"/>
        </w:rPr>
        <w:t>la misma</w:t>
      </w:r>
      <w:proofErr w:type="gramEnd"/>
      <w:r w:rsidRPr="00A0108E">
        <w:rPr>
          <w:rFonts w:ascii="Century Gothic" w:eastAsia="Calibri" w:hAnsi="Century Gothic" w:cs="Arial"/>
          <w:sz w:val="22"/>
          <w:szCs w:val="22"/>
        </w:rPr>
        <w:t xml:space="preserve">, conforme a las pruebas que se logren recaudar a lo largo del proceso. </w:t>
      </w:r>
    </w:p>
    <w:p w14:paraId="3EF1CF7F"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2ECD4D7"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22E74AB7" w14:textId="77777777" w:rsidR="004125EB" w:rsidRPr="00A0108E" w:rsidRDefault="004125EB" w:rsidP="00E0774A">
      <w:pPr>
        <w:autoSpaceDE w:val="0"/>
        <w:autoSpaceDN w:val="0"/>
        <w:adjustRightInd w:val="0"/>
        <w:jc w:val="both"/>
        <w:rPr>
          <w:rFonts w:ascii="Century Gothic" w:eastAsia="Calibri" w:hAnsi="Century Gothic" w:cs="Arial"/>
          <w:sz w:val="22"/>
          <w:szCs w:val="22"/>
        </w:rPr>
      </w:pPr>
    </w:p>
    <w:p w14:paraId="7B5FA41A" w14:textId="77777777" w:rsidR="004125EB" w:rsidRPr="00A0108E" w:rsidRDefault="004125EB" w:rsidP="00E0774A">
      <w:pPr>
        <w:autoSpaceDE w:val="0"/>
        <w:autoSpaceDN w:val="0"/>
        <w:adjustRightInd w:val="0"/>
        <w:jc w:val="both"/>
        <w:rPr>
          <w:rFonts w:ascii="Century Gothic" w:eastAsia="Calibri" w:hAnsi="Century Gothic" w:cs="Arial"/>
          <w:sz w:val="22"/>
          <w:szCs w:val="22"/>
        </w:rPr>
      </w:pPr>
    </w:p>
    <w:p w14:paraId="4675DE04" w14:textId="77777777" w:rsidR="004125EB" w:rsidRPr="00A0108E" w:rsidRDefault="004125EB" w:rsidP="00E0774A">
      <w:pPr>
        <w:autoSpaceDE w:val="0"/>
        <w:autoSpaceDN w:val="0"/>
        <w:adjustRightInd w:val="0"/>
        <w:jc w:val="both"/>
        <w:rPr>
          <w:rFonts w:ascii="Century Gothic" w:eastAsia="Calibri" w:hAnsi="Century Gothic" w:cs="Arial"/>
          <w:sz w:val="22"/>
          <w:szCs w:val="22"/>
        </w:rPr>
      </w:pPr>
    </w:p>
    <w:p w14:paraId="6997ABBB" w14:textId="77777777" w:rsidR="004125EB" w:rsidRPr="00A0108E" w:rsidRDefault="004125EB" w:rsidP="00E0774A">
      <w:pPr>
        <w:autoSpaceDE w:val="0"/>
        <w:autoSpaceDN w:val="0"/>
        <w:adjustRightInd w:val="0"/>
        <w:jc w:val="both"/>
        <w:rPr>
          <w:rFonts w:ascii="Century Gothic" w:eastAsia="Calibri" w:hAnsi="Century Gothic" w:cs="Arial"/>
          <w:sz w:val="22"/>
          <w:szCs w:val="22"/>
        </w:rPr>
      </w:pPr>
    </w:p>
    <w:p w14:paraId="059EE7FC" w14:textId="77777777" w:rsidR="004125EB" w:rsidRPr="00A0108E" w:rsidRDefault="004125EB" w:rsidP="00E0774A">
      <w:pPr>
        <w:autoSpaceDE w:val="0"/>
        <w:autoSpaceDN w:val="0"/>
        <w:adjustRightInd w:val="0"/>
        <w:jc w:val="both"/>
        <w:rPr>
          <w:rFonts w:ascii="Century Gothic" w:eastAsia="Calibri" w:hAnsi="Century Gothic" w:cs="Arial"/>
          <w:sz w:val="22"/>
          <w:szCs w:val="22"/>
        </w:rPr>
      </w:pPr>
    </w:p>
    <w:p w14:paraId="72ADF619" w14:textId="77777777" w:rsidR="00E0774A" w:rsidRPr="00A0108E" w:rsidRDefault="00E0774A" w:rsidP="00522655">
      <w:pPr>
        <w:autoSpaceDE w:val="0"/>
        <w:autoSpaceDN w:val="0"/>
        <w:adjustRightInd w:val="0"/>
        <w:jc w:val="center"/>
        <w:rPr>
          <w:rFonts w:ascii="Century Gothic" w:eastAsia="Calibri" w:hAnsi="Century Gothic" w:cs="Arial"/>
          <w:b/>
          <w:sz w:val="22"/>
          <w:szCs w:val="22"/>
        </w:rPr>
      </w:pPr>
      <w:r w:rsidRPr="00A0108E">
        <w:rPr>
          <w:rFonts w:ascii="Century Gothic" w:eastAsia="Calibri" w:hAnsi="Century Gothic" w:cs="Arial"/>
          <w:b/>
          <w:sz w:val="22"/>
          <w:szCs w:val="22"/>
        </w:rPr>
        <w:t>PRUEBAS SOLICITADAS</w:t>
      </w:r>
    </w:p>
    <w:p w14:paraId="16C70D8D"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09807306" w14:textId="2F696886"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Comedidamente solicito al señor Juez, ordenar la práctica y tener como prueba las siguientes:</w:t>
      </w:r>
    </w:p>
    <w:p w14:paraId="408FA29A" w14:textId="79DBADF9"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b/>
          <w:sz w:val="22"/>
          <w:szCs w:val="22"/>
          <w:u w:val="single"/>
        </w:rPr>
        <w:t xml:space="preserve">Interrogatorio de Parte: </w:t>
      </w:r>
      <w:r w:rsidRPr="00A0108E">
        <w:rPr>
          <w:rFonts w:ascii="Century Gothic" w:eastAsia="Calibri" w:hAnsi="Century Gothic" w:cs="Arial"/>
          <w:sz w:val="22"/>
          <w:szCs w:val="22"/>
        </w:rPr>
        <w:t>Comedidamente solicito al Señor Juez, que ordene la práctica de esta prueba respecto de la demandante, para lo cual solicito se fije fecha y hora con el fin de que absuelvan el cuestionario que verbalmente o en sobre cerrado presentaré a la diligencia.</w:t>
      </w:r>
    </w:p>
    <w:p w14:paraId="615DD6D8"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1635F2B7" w14:textId="7BAE2CBA" w:rsidR="00E0774A" w:rsidRPr="00A0108E" w:rsidRDefault="00E0774A" w:rsidP="00E0774A">
      <w:pPr>
        <w:autoSpaceDE w:val="0"/>
        <w:autoSpaceDN w:val="0"/>
        <w:adjustRightInd w:val="0"/>
        <w:jc w:val="both"/>
        <w:rPr>
          <w:rFonts w:ascii="Century Gothic" w:eastAsia="Calibri" w:hAnsi="Century Gothic" w:cs="Arial"/>
          <w:b/>
          <w:bCs/>
          <w:sz w:val="22"/>
          <w:szCs w:val="22"/>
          <w:u w:val="single"/>
        </w:rPr>
      </w:pPr>
      <w:r w:rsidRPr="00A0108E">
        <w:rPr>
          <w:rFonts w:ascii="Century Gothic" w:eastAsia="Calibri" w:hAnsi="Century Gothic" w:cs="Arial"/>
          <w:b/>
          <w:bCs/>
          <w:sz w:val="22"/>
          <w:szCs w:val="22"/>
          <w:u w:val="single"/>
        </w:rPr>
        <w:t>Documentales aportados:</w:t>
      </w:r>
    </w:p>
    <w:p w14:paraId="43B555F5" w14:textId="074F4F91" w:rsidR="003A0F2C" w:rsidRPr="00A0108E" w:rsidRDefault="003A0F2C" w:rsidP="003A0F2C">
      <w:pPr>
        <w:pStyle w:val="Prrafodelista"/>
        <w:numPr>
          <w:ilvl w:val="0"/>
          <w:numId w:val="33"/>
        </w:num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C</w:t>
      </w:r>
      <w:r w:rsidRPr="00A0108E">
        <w:rPr>
          <w:rFonts w:ascii="Century Gothic" w:eastAsia="Calibri" w:hAnsi="Century Gothic" w:cs="Arial"/>
          <w:sz w:val="22"/>
          <w:szCs w:val="22"/>
        </w:rPr>
        <w:t>ertificado saldo de la deuda a fecha 19 febrero 2025</w:t>
      </w:r>
    </w:p>
    <w:p w14:paraId="2EAD2349" w14:textId="7D84E404" w:rsidR="00E0774A" w:rsidRPr="00A0108E" w:rsidRDefault="00A001C7" w:rsidP="00E0774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P</w:t>
      </w:r>
      <w:r w:rsidR="00E0774A" w:rsidRPr="00A0108E">
        <w:rPr>
          <w:rFonts w:ascii="Century Gothic" w:eastAsia="Calibri" w:hAnsi="Century Gothic" w:cs="Arial"/>
          <w:sz w:val="22"/>
          <w:szCs w:val="22"/>
          <w:lang w:val="es-CO"/>
        </w:rPr>
        <w:t>óliza No. No.</w:t>
      </w:r>
      <w:r w:rsidR="00097D17" w:rsidRPr="00A0108E">
        <w:rPr>
          <w:rFonts w:ascii="Century Gothic" w:hAnsi="Century Gothic" w:cs="Arial_feDefaultFont_Encoding"/>
          <w:sz w:val="22"/>
          <w:szCs w:val="22"/>
          <w:lang w:val="es-CO"/>
        </w:rPr>
        <w:t xml:space="preserve"> </w:t>
      </w:r>
      <w:r w:rsidR="00097D17" w:rsidRPr="00A0108E">
        <w:rPr>
          <w:rFonts w:ascii="Century Gothic" w:eastAsia="Calibri" w:hAnsi="Century Gothic" w:cs="Arial"/>
          <w:sz w:val="22"/>
          <w:szCs w:val="22"/>
          <w:lang w:val="es-CO"/>
        </w:rPr>
        <w:t>AA007625</w:t>
      </w:r>
      <w:r w:rsidR="00E0774A" w:rsidRPr="00A0108E">
        <w:rPr>
          <w:rFonts w:ascii="Century Gothic" w:eastAsia="Calibri" w:hAnsi="Century Gothic" w:cs="Arial"/>
          <w:sz w:val="22"/>
          <w:szCs w:val="22"/>
          <w:lang w:val="es-CO"/>
        </w:rPr>
        <w:t>, certificado No.</w:t>
      </w:r>
      <w:r w:rsidR="00097D17" w:rsidRPr="00A0108E">
        <w:rPr>
          <w:rFonts w:ascii="Century Gothic" w:hAnsi="Century Gothic" w:cs="Arial_feDefaultFont_Encoding"/>
          <w:sz w:val="22"/>
          <w:szCs w:val="22"/>
          <w:lang w:val="es-CO"/>
        </w:rPr>
        <w:t xml:space="preserve"> </w:t>
      </w:r>
      <w:r w:rsidR="00097D17" w:rsidRPr="00A0108E">
        <w:rPr>
          <w:rFonts w:ascii="Century Gothic" w:eastAsia="Calibri" w:hAnsi="Century Gothic" w:cs="Arial"/>
          <w:sz w:val="22"/>
          <w:szCs w:val="22"/>
          <w:lang w:val="es-CO"/>
        </w:rPr>
        <w:t>AA123908</w:t>
      </w:r>
      <w:r w:rsidR="00E0774A" w:rsidRPr="00A0108E">
        <w:rPr>
          <w:rFonts w:ascii="Century Gothic" w:eastAsia="Calibri" w:hAnsi="Century Gothic" w:cs="Arial"/>
          <w:sz w:val="22"/>
          <w:szCs w:val="22"/>
          <w:lang w:val="es-CO"/>
        </w:rPr>
        <w:t>, orden</w:t>
      </w:r>
      <w:r w:rsidR="00097D17" w:rsidRPr="00A0108E">
        <w:rPr>
          <w:rFonts w:ascii="Century Gothic" w:eastAsia="Calibri" w:hAnsi="Century Gothic" w:cs="Arial"/>
          <w:sz w:val="22"/>
          <w:szCs w:val="22"/>
          <w:lang w:val="es-CO"/>
        </w:rPr>
        <w:t xml:space="preserve"> </w:t>
      </w:r>
      <w:r w:rsidR="00A0108E" w:rsidRPr="00A0108E">
        <w:rPr>
          <w:rFonts w:ascii="Century Gothic" w:eastAsia="Calibri" w:hAnsi="Century Gothic" w:cs="Arial"/>
          <w:sz w:val="22"/>
          <w:szCs w:val="22"/>
          <w:lang w:val="es-CO"/>
        </w:rPr>
        <w:t>7978</w:t>
      </w:r>
      <w:r w:rsidR="00097D17" w:rsidRPr="00A0108E">
        <w:rPr>
          <w:rFonts w:ascii="Century Gothic" w:eastAsia="Calibri" w:hAnsi="Century Gothic" w:cs="Arial"/>
          <w:sz w:val="22"/>
          <w:szCs w:val="22"/>
          <w:lang w:val="es-CO"/>
        </w:rPr>
        <w:t>,</w:t>
      </w:r>
      <w:r w:rsidR="00E0774A" w:rsidRPr="00A0108E">
        <w:rPr>
          <w:rFonts w:ascii="Century Gothic" w:eastAsia="Calibri" w:hAnsi="Century Gothic" w:cs="Arial"/>
          <w:b/>
          <w:sz w:val="22"/>
          <w:szCs w:val="22"/>
          <w:lang w:val="es-CO"/>
        </w:rPr>
        <w:t xml:space="preserve"> </w:t>
      </w:r>
      <w:r w:rsidR="00E0774A" w:rsidRPr="00A0108E">
        <w:rPr>
          <w:rFonts w:ascii="Century Gothic" w:eastAsia="Calibri" w:hAnsi="Century Gothic" w:cs="Arial"/>
          <w:sz w:val="22"/>
          <w:szCs w:val="22"/>
          <w:lang w:val="es-CO"/>
        </w:rPr>
        <w:t xml:space="preserve">por medio del cual se realizó la inclusión de la señora </w:t>
      </w:r>
      <w:r w:rsidR="00FF5B5A" w:rsidRPr="00A0108E">
        <w:rPr>
          <w:rFonts w:ascii="Century Gothic" w:eastAsia="Calibri" w:hAnsi="Century Gothic" w:cs="Arial"/>
          <w:sz w:val="22"/>
          <w:szCs w:val="22"/>
          <w:lang w:val="es-CO"/>
        </w:rPr>
        <w:t>LIGIA GONZALEZ (q.e.p.d)</w:t>
      </w:r>
    </w:p>
    <w:p w14:paraId="135718F6" w14:textId="6B47CD76" w:rsidR="00917A9A" w:rsidRPr="00A0108E" w:rsidRDefault="00E0774A"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Póliza </w:t>
      </w:r>
      <w:r w:rsidR="00A0108E" w:rsidRPr="00A0108E">
        <w:rPr>
          <w:rFonts w:ascii="Century Gothic" w:eastAsia="Calibri" w:hAnsi="Century Gothic" w:cs="Arial"/>
          <w:sz w:val="22"/>
          <w:szCs w:val="22"/>
          <w:lang w:val="es-CO"/>
        </w:rPr>
        <w:t xml:space="preserve">Matriz </w:t>
      </w:r>
      <w:r w:rsidRPr="00A0108E">
        <w:rPr>
          <w:rFonts w:ascii="Century Gothic" w:eastAsia="Calibri" w:hAnsi="Century Gothic" w:cs="Arial"/>
          <w:sz w:val="22"/>
          <w:szCs w:val="22"/>
          <w:lang w:val="es-CO"/>
        </w:rPr>
        <w:t xml:space="preserve">No. </w:t>
      </w:r>
      <w:r w:rsidR="009A683F" w:rsidRPr="00A0108E">
        <w:rPr>
          <w:rFonts w:ascii="Century Gothic" w:eastAsia="Calibri" w:hAnsi="Century Gothic" w:cs="Arial"/>
          <w:sz w:val="22"/>
          <w:szCs w:val="22"/>
          <w:lang w:val="es-CO"/>
        </w:rPr>
        <w:t>AA007625</w:t>
      </w:r>
      <w:r w:rsidRPr="00A0108E">
        <w:rPr>
          <w:rFonts w:ascii="Century Gothic" w:eastAsia="Calibri" w:hAnsi="Century Gothic" w:cs="Arial"/>
          <w:sz w:val="22"/>
          <w:szCs w:val="22"/>
          <w:lang w:val="es-CO"/>
        </w:rPr>
        <w:t xml:space="preserve">, certificado No. </w:t>
      </w:r>
      <w:r w:rsidR="00A0108E" w:rsidRPr="00A0108E">
        <w:rPr>
          <w:rFonts w:ascii="Century Gothic" w:eastAsia="Calibri" w:hAnsi="Century Gothic" w:cs="Arial"/>
          <w:sz w:val="22"/>
          <w:szCs w:val="22"/>
          <w:lang w:val="es-CO"/>
        </w:rPr>
        <w:t>AA117676</w:t>
      </w:r>
      <w:r w:rsidRPr="00A0108E">
        <w:rPr>
          <w:rFonts w:ascii="Century Gothic" w:eastAsia="Calibri" w:hAnsi="Century Gothic" w:cs="Arial"/>
          <w:sz w:val="22"/>
          <w:szCs w:val="22"/>
          <w:lang w:val="es-CO"/>
        </w:rPr>
        <w:t>, orden 1 correspondiente a la póliza matriz, y en la que se encuentran las condiciones particulares del contrato.</w:t>
      </w:r>
    </w:p>
    <w:p w14:paraId="3E38139E" w14:textId="7BBF11F6" w:rsidR="00917A9A" w:rsidRPr="00A0108E" w:rsidRDefault="00E0774A"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Copia de las condiciones generales contenidas en la forma N° </w:t>
      </w:r>
      <w:r w:rsidR="00917A9A" w:rsidRPr="00A0108E">
        <w:rPr>
          <w:rFonts w:ascii="Century Gothic" w:hAnsi="Century Gothic" w:cs="CenturyGothic"/>
          <w:sz w:val="22"/>
          <w:szCs w:val="22"/>
          <w:lang w:val="es-CO"/>
        </w:rPr>
        <w:t>21/05/2021-1429-NT-P-34-0000000000002030 21/05/2021-1429-P-34-0000000000002030-D00I</w:t>
      </w:r>
      <w:r w:rsidR="00917A9A" w:rsidRPr="00A0108E">
        <w:rPr>
          <w:rFonts w:ascii="Century Gothic" w:eastAsia="Calibri" w:hAnsi="Century Gothic" w:cs="Arial"/>
          <w:sz w:val="22"/>
          <w:szCs w:val="22"/>
          <w:lang w:val="es-CO"/>
        </w:rPr>
        <w:t xml:space="preserve"> - </w:t>
      </w:r>
      <w:r w:rsidR="00917A9A" w:rsidRPr="00A0108E">
        <w:rPr>
          <w:rFonts w:ascii="Century Gothic" w:hAnsi="Century Gothic" w:cs="CenturyGothic"/>
          <w:sz w:val="22"/>
          <w:szCs w:val="22"/>
          <w:lang w:val="es-CO"/>
        </w:rPr>
        <w:t>11/05/2021-1501-NT-P-34-0000000000002001 11/05/2021-1501-P-34-0000000000002001-D00I</w:t>
      </w:r>
      <w:r w:rsidR="00E736FC" w:rsidRPr="00A0108E">
        <w:rPr>
          <w:rFonts w:ascii="Century Gothic" w:hAnsi="Century Gothic" w:cs="CenturyGothic"/>
          <w:sz w:val="22"/>
          <w:szCs w:val="22"/>
          <w:lang w:val="es-CO"/>
        </w:rPr>
        <w:t xml:space="preserve"> - </w:t>
      </w:r>
      <w:r w:rsidR="00E736FC" w:rsidRPr="00A0108E">
        <w:rPr>
          <w:rFonts w:ascii="Century Gothic" w:hAnsi="Century Gothic" w:cs="CenturyGothic"/>
          <w:sz w:val="22"/>
          <w:szCs w:val="22"/>
          <w:lang w:val="es-CO"/>
        </w:rPr>
        <w:t>21/05/2021-1429-P-34-0000000000002030-D00I</w:t>
      </w:r>
    </w:p>
    <w:p w14:paraId="72A183D0" w14:textId="56C584E5" w:rsidR="00917A9A" w:rsidRPr="00A0108E" w:rsidRDefault="00917A9A"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hAnsi="Century Gothic" w:cs="CenturyGothic"/>
          <w:b/>
          <w:bCs/>
          <w:sz w:val="22"/>
          <w:szCs w:val="22"/>
          <w:lang w:val="es-CO"/>
        </w:rPr>
        <w:t>DOCUMENTOS DE SUSCRIPCION:</w:t>
      </w:r>
    </w:p>
    <w:p w14:paraId="6D53FA8C" w14:textId="77777777" w:rsidR="00917A9A" w:rsidRPr="00A0108E" w:rsidRDefault="00265F23"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SLIP </w:t>
      </w:r>
    </w:p>
    <w:p w14:paraId="0DDFFAF1" w14:textId="58BEEBD0" w:rsidR="00917A9A" w:rsidRPr="00A0108E" w:rsidRDefault="00265F23"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bCs/>
          <w:sz w:val="22"/>
          <w:szCs w:val="22"/>
          <w:lang w:val="es-CO"/>
        </w:rPr>
        <w:t xml:space="preserve">Condiciones Técnicas </w:t>
      </w:r>
      <w:r w:rsidR="004310DE" w:rsidRPr="00A0108E">
        <w:rPr>
          <w:rFonts w:ascii="Century Gothic" w:eastAsia="Calibri" w:hAnsi="Century Gothic" w:cs="Arial"/>
          <w:bCs/>
          <w:sz w:val="22"/>
          <w:szCs w:val="22"/>
          <w:lang w:val="es-CO"/>
        </w:rPr>
        <w:t>Renovación</w:t>
      </w:r>
      <w:r w:rsidRPr="00A0108E">
        <w:rPr>
          <w:rFonts w:ascii="Century Gothic" w:eastAsia="Calibri" w:hAnsi="Century Gothic" w:cs="Arial"/>
          <w:bCs/>
          <w:sz w:val="22"/>
          <w:szCs w:val="22"/>
          <w:lang w:val="es-CO"/>
        </w:rPr>
        <w:t xml:space="preserve"> 2022 - </w:t>
      </w:r>
      <w:r w:rsidR="00522655" w:rsidRPr="00A0108E">
        <w:rPr>
          <w:rFonts w:ascii="Century Gothic" w:eastAsia="Calibri" w:hAnsi="Century Gothic" w:cs="Arial"/>
          <w:bCs/>
          <w:sz w:val="22"/>
          <w:szCs w:val="22"/>
          <w:lang w:val="es-CO"/>
        </w:rPr>
        <w:t>2023 Hip</w:t>
      </w:r>
      <w:r w:rsidRPr="00A0108E">
        <w:rPr>
          <w:rFonts w:ascii="Century Gothic" w:eastAsia="Calibri" w:hAnsi="Century Gothic" w:cs="Arial"/>
          <w:bCs/>
          <w:sz w:val="22"/>
          <w:szCs w:val="22"/>
          <w:lang w:val="es-CO"/>
        </w:rPr>
        <w:t xml:space="preserve"> 7625 – 7626</w:t>
      </w:r>
    </w:p>
    <w:p w14:paraId="45C67262" w14:textId="77777777" w:rsidR="00917A9A" w:rsidRPr="00A0108E" w:rsidRDefault="00E0774A"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Declaración de asegurabilidad suscrita por la señora </w:t>
      </w:r>
      <w:r w:rsidR="007C3F4B" w:rsidRPr="00A0108E">
        <w:rPr>
          <w:rFonts w:ascii="Century Gothic" w:eastAsia="Calibri" w:hAnsi="Century Gothic" w:cs="Arial"/>
          <w:sz w:val="22"/>
          <w:szCs w:val="22"/>
          <w:lang w:val="es-CO"/>
        </w:rPr>
        <w:t>LIGIA GONZALEZ (q.e.p.d)</w:t>
      </w:r>
    </w:p>
    <w:p w14:paraId="19B3B154" w14:textId="77777777" w:rsidR="00917A9A" w:rsidRPr="00A0108E" w:rsidRDefault="00234332"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declaración a computador firmada fecha 4 octubre 2022 </w:t>
      </w:r>
      <w:r w:rsidR="007E43EF" w:rsidRPr="00A0108E">
        <w:rPr>
          <w:rFonts w:ascii="Century Gothic" w:eastAsia="Calibri" w:hAnsi="Century Gothic" w:cs="Arial"/>
          <w:sz w:val="22"/>
          <w:szCs w:val="22"/>
          <w:lang w:val="es-CO"/>
        </w:rPr>
        <w:t>(2 FOLIOS)</w:t>
      </w:r>
    </w:p>
    <w:p w14:paraId="11DBD1AE" w14:textId="77777777" w:rsidR="00917A9A" w:rsidRPr="00A0108E" w:rsidRDefault="00234332" w:rsidP="00917A9A">
      <w:pPr>
        <w:numPr>
          <w:ilvl w:val="0"/>
          <w:numId w:val="33"/>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Declaración 9 septiembre 2017 donde si declaro la hipertensión</w:t>
      </w:r>
    </w:p>
    <w:p w14:paraId="0190A8F7" w14:textId="1A74A867" w:rsidR="00144276" w:rsidRPr="00A0108E" w:rsidRDefault="00661DC4" w:rsidP="006C3CDE">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DOCUMENTOS DE RECLAMO RADICADOS EN LA EQUIDAD VIDA O.C.</w:t>
      </w:r>
    </w:p>
    <w:p w14:paraId="06E559EB" w14:textId="55F9CC7B" w:rsidR="000F3040" w:rsidRPr="00A0108E" w:rsidRDefault="00234332" w:rsidP="00917A9A">
      <w:pPr>
        <w:numPr>
          <w:ilvl w:val="0"/>
          <w:numId w:val="36"/>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D</w:t>
      </w:r>
      <w:r w:rsidR="000F3040" w:rsidRPr="00A0108E">
        <w:rPr>
          <w:rFonts w:ascii="Century Gothic" w:eastAsia="Calibri" w:hAnsi="Century Gothic" w:cs="Arial"/>
          <w:sz w:val="22"/>
          <w:szCs w:val="22"/>
          <w:lang w:val="es-CO"/>
        </w:rPr>
        <w:t>ocumentos de reclamo</w:t>
      </w:r>
      <w:r w:rsidR="000F3040" w:rsidRPr="00A0108E">
        <w:rPr>
          <w:rFonts w:ascii="Century Gothic" w:eastAsia="Calibri" w:hAnsi="Century Gothic" w:cs="Arial"/>
          <w:sz w:val="22"/>
          <w:szCs w:val="22"/>
          <w:lang w:val="es-CO"/>
        </w:rPr>
        <w:t xml:space="preserve">: registro civil de </w:t>
      </w:r>
      <w:r w:rsidRPr="00A0108E">
        <w:rPr>
          <w:rFonts w:ascii="Century Gothic" w:eastAsia="Calibri" w:hAnsi="Century Gothic" w:cs="Arial"/>
          <w:sz w:val="22"/>
          <w:szCs w:val="22"/>
          <w:lang w:val="es-CO"/>
        </w:rPr>
        <w:t>defunción</w:t>
      </w:r>
      <w:r w:rsidR="000F3040" w:rsidRPr="00A0108E">
        <w:rPr>
          <w:rFonts w:ascii="Century Gothic" w:eastAsia="Calibri" w:hAnsi="Century Gothic" w:cs="Arial"/>
          <w:sz w:val="22"/>
          <w:szCs w:val="22"/>
          <w:lang w:val="es-CO"/>
        </w:rPr>
        <w:t>, copia cédula, certificación de saldos dos: 1) $98.397.408 y 2) $315.856.971, declaraciones de asegurabilidad dos: 1) de fecha 1 julio de 2022 y 2) de fecha diligenciado 5 octubre de 2022 – firmado 4 octubre 2022.</w:t>
      </w:r>
    </w:p>
    <w:p w14:paraId="0312C15C" w14:textId="29D72D62" w:rsidR="00144276" w:rsidRPr="00A0108E" w:rsidRDefault="00AC3C07" w:rsidP="00917A9A">
      <w:pPr>
        <w:numPr>
          <w:ilvl w:val="0"/>
          <w:numId w:val="36"/>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O</w:t>
      </w:r>
      <w:r w:rsidR="00234332" w:rsidRPr="00A0108E">
        <w:rPr>
          <w:rFonts w:ascii="Century Gothic" w:eastAsia="Calibri" w:hAnsi="Century Gothic" w:cs="Arial"/>
          <w:sz w:val="22"/>
          <w:szCs w:val="22"/>
          <w:lang w:val="es-CO"/>
        </w:rPr>
        <w:t>rden promesa compraventa</w:t>
      </w:r>
    </w:p>
    <w:p w14:paraId="26A67F66" w14:textId="6C9D3D06" w:rsidR="00917A9A" w:rsidRPr="00A0108E" w:rsidRDefault="00661DC4"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DOCUMENTOS DE RECLAMO Y RECONSIDERACIÓN:</w:t>
      </w:r>
    </w:p>
    <w:p w14:paraId="365F60B3" w14:textId="77777777" w:rsidR="00917A9A" w:rsidRPr="00A0108E" w:rsidRDefault="00917A9A" w:rsidP="00917A9A">
      <w:pPr>
        <w:numPr>
          <w:ilvl w:val="0"/>
          <w:numId w:val="39"/>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Carta de reclamo</w:t>
      </w:r>
    </w:p>
    <w:p w14:paraId="25F389C9" w14:textId="1B26B0F5" w:rsidR="00917A9A" w:rsidRPr="00A0108E" w:rsidRDefault="00917A9A" w:rsidP="00917A9A">
      <w:pPr>
        <w:numPr>
          <w:ilvl w:val="0"/>
          <w:numId w:val="39"/>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Reconsideración 22 nov 2024 (405 folios)</w:t>
      </w:r>
    </w:p>
    <w:p w14:paraId="48A225F6" w14:textId="48B0D1CC" w:rsidR="00917A9A" w:rsidRPr="00A0108E" w:rsidRDefault="00661DC4"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DOCUMENTOS DE RESPUESTAS= OBJECIONES Y/O RATIFICACIONES:</w:t>
      </w:r>
    </w:p>
    <w:p w14:paraId="62481B13" w14:textId="77777777" w:rsidR="00917A9A" w:rsidRPr="00A0108E" w:rsidRDefault="00917A9A"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Objeción de fecha 5 JUNIO DE 2024</w:t>
      </w:r>
    </w:p>
    <w:p w14:paraId="03439F1E" w14:textId="77777777" w:rsidR="00917A9A" w:rsidRPr="00A0108E" w:rsidRDefault="00917A9A"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Ratificación objeción de fecha 4 octubre 2024</w:t>
      </w:r>
    </w:p>
    <w:p w14:paraId="543BF500" w14:textId="77777777" w:rsidR="00917A9A" w:rsidRPr="00A0108E" w:rsidRDefault="00917A9A"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Respuesta derecha de petición de fecha 27 dic 2024 (4 folios)</w:t>
      </w:r>
    </w:p>
    <w:p w14:paraId="21FE6057" w14:textId="7B331C0C" w:rsidR="00917A9A" w:rsidRPr="00A0108E" w:rsidRDefault="00917A9A"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 xml:space="preserve">HISTORIAS CLINICAS </w:t>
      </w:r>
    </w:p>
    <w:p w14:paraId="6AFF8518" w14:textId="77777777" w:rsidR="00917A9A" w:rsidRPr="00A0108E" w:rsidRDefault="00917A9A" w:rsidP="00917A9A">
      <w:pPr>
        <w:numPr>
          <w:ilvl w:val="0"/>
          <w:numId w:val="37"/>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Historia clínica de la señora LIGIA GONZALEZ (q.e.p.d)371 folios</w:t>
      </w:r>
    </w:p>
    <w:p w14:paraId="67A1ECEB" w14:textId="77777777" w:rsidR="00917A9A" w:rsidRPr="00A0108E" w:rsidRDefault="00917A9A" w:rsidP="00917A9A">
      <w:pPr>
        <w:numPr>
          <w:ilvl w:val="0"/>
          <w:numId w:val="37"/>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Historia Clinica CON DIAGNOSTICO DE CA VEJIGA PAG 135 (297 folios)</w:t>
      </w:r>
    </w:p>
    <w:p w14:paraId="63811B41" w14:textId="3CB1D80D" w:rsidR="00917A9A" w:rsidRPr="00A0108E" w:rsidRDefault="00917A9A"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INFORME DE ATLANTIS:</w:t>
      </w:r>
    </w:p>
    <w:p w14:paraId="2EC6758C" w14:textId="33AC2C2D" w:rsidR="00C10E05" w:rsidRPr="00A0108E" w:rsidRDefault="00234332"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Informe </w:t>
      </w:r>
      <w:r w:rsidR="00600B25" w:rsidRPr="00A0108E">
        <w:rPr>
          <w:rFonts w:ascii="Century Gothic" w:eastAsia="Calibri" w:hAnsi="Century Gothic" w:cs="Arial"/>
          <w:sz w:val="22"/>
          <w:szCs w:val="22"/>
          <w:lang w:val="es-CO"/>
        </w:rPr>
        <w:t>A</w:t>
      </w:r>
      <w:r w:rsidRPr="00A0108E">
        <w:rPr>
          <w:rFonts w:ascii="Century Gothic" w:eastAsia="Calibri" w:hAnsi="Century Gothic" w:cs="Arial"/>
          <w:sz w:val="22"/>
          <w:szCs w:val="22"/>
          <w:lang w:val="es-CO"/>
        </w:rPr>
        <w:t>tlantis (14 folios)</w:t>
      </w:r>
    </w:p>
    <w:p w14:paraId="0EA691BC" w14:textId="59508AEE" w:rsidR="005D2D18" w:rsidRPr="00A0108E" w:rsidRDefault="00234332"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Informe </w:t>
      </w:r>
      <w:r w:rsidR="00600B25" w:rsidRPr="00A0108E">
        <w:rPr>
          <w:rFonts w:ascii="Century Gothic" w:eastAsia="Calibri" w:hAnsi="Century Gothic" w:cs="Arial"/>
          <w:sz w:val="22"/>
          <w:szCs w:val="22"/>
          <w:lang w:val="es-CO"/>
        </w:rPr>
        <w:t>A</w:t>
      </w:r>
      <w:r w:rsidRPr="00A0108E">
        <w:rPr>
          <w:rFonts w:ascii="Century Gothic" w:eastAsia="Calibri" w:hAnsi="Century Gothic" w:cs="Arial"/>
          <w:sz w:val="22"/>
          <w:szCs w:val="22"/>
          <w:lang w:val="es-CO"/>
        </w:rPr>
        <w:t>tlantis complementario (10 folios)</w:t>
      </w:r>
    </w:p>
    <w:p w14:paraId="320AE1C1" w14:textId="77777777" w:rsidR="00A0108E" w:rsidRPr="00A0108E" w:rsidRDefault="00A0108E" w:rsidP="00917A9A">
      <w:pPr>
        <w:autoSpaceDE w:val="0"/>
        <w:autoSpaceDN w:val="0"/>
        <w:adjustRightInd w:val="0"/>
        <w:jc w:val="both"/>
        <w:rPr>
          <w:rFonts w:ascii="Century Gothic" w:eastAsia="Calibri" w:hAnsi="Century Gothic" w:cs="Arial"/>
          <w:b/>
          <w:bCs/>
          <w:sz w:val="22"/>
          <w:szCs w:val="22"/>
          <w:lang w:val="es-CO"/>
        </w:rPr>
      </w:pPr>
    </w:p>
    <w:p w14:paraId="5E467C2E" w14:textId="77777777" w:rsidR="00A0108E" w:rsidRPr="00A0108E" w:rsidRDefault="00A0108E" w:rsidP="00917A9A">
      <w:pPr>
        <w:autoSpaceDE w:val="0"/>
        <w:autoSpaceDN w:val="0"/>
        <w:adjustRightInd w:val="0"/>
        <w:jc w:val="both"/>
        <w:rPr>
          <w:rFonts w:ascii="Century Gothic" w:eastAsia="Calibri" w:hAnsi="Century Gothic" w:cs="Arial"/>
          <w:b/>
          <w:bCs/>
          <w:sz w:val="22"/>
          <w:szCs w:val="22"/>
          <w:lang w:val="es-CO"/>
        </w:rPr>
      </w:pPr>
    </w:p>
    <w:p w14:paraId="3BEB30BF" w14:textId="66838306" w:rsidR="00917A9A" w:rsidRPr="00A0108E" w:rsidRDefault="00917A9A" w:rsidP="00917A9A">
      <w:pPr>
        <w:autoSpaceDE w:val="0"/>
        <w:autoSpaceDN w:val="0"/>
        <w:adjustRightInd w:val="0"/>
        <w:jc w:val="both"/>
        <w:rPr>
          <w:rFonts w:ascii="Century Gothic" w:eastAsia="Calibri" w:hAnsi="Century Gothic" w:cs="Arial"/>
          <w:b/>
          <w:bCs/>
          <w:sz w:val="22"/>
          <w:szCs w:val="22"/>
          <w:lang w:val="es-CO"/>
        </w:rPr>
      </w:pPr>
      <w:r w:rsidRPr="00A0108E">
        <w:rPr>
          <w:rFonts w:ascii="Century Gothic" w:eastAsia="Calibri" w:hAnsi="Century Gothic" w:cs="Arial"/>
          <w:b/>
          <w:bCs/>
          <w:sz w:val="22"/>
          <w:szCs w:val="22"/>
          <w:lang w:val="es-CO"/>
        </w:rPr>
        <w:t xml:space="preserve">SOPORTE DE PAGO DE PRIMAS: </w:t>
      </w:r>
    </w:p>
    <w:p w14:paraId="7307E3B1" w14:textId="41E88B89" w:rsidR="00253EB1" w:rsidRPr="00A0108E" w:rsidRDefault="00234332" w:rsidP="00917A9A">
      <w:pPr>
        <w:numPr>
          <w:ilvl w:val="0"/>
          <w:numId w:val="38"/>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Zip: </w:t>
      </w:r>
      <w:r w:rsidR="00EE3D5F" w:rsidRPr="00A0108E">
        <w:rPr>
          <w:rFonts w:ascii="Century Gothic" w:eastAsia="Calibri" w:hAnsi="Century Gothic" w:cs="Arial"/>
          <w:sz w:val="22"/>
          <w:szCs w:val="22"/>
          <w:lang w:val="es-CO"/>
        </w:rPr>
        <w:t>pagos primas</w:t>
      </w:r>
      <w:r w:rsidRPr="00A0108E">
        <w:rPr>
          <w:rFonts w:ascii="Century Gothic" w:eastAsia="Calibri" w:hAnsi="Century Gothic" w:cs="Arial"/>
          <w:sz w:val="22"/>
          <w:szCs w:val="22"/>
          <w:lang w:val="es-CO"/>
        </w:rPr>
        <w:t xml:space="preserve"> </w:t>
      </w:r>
      <w:r w:rsidR="006D3B52" w:rsidRPr="00A0108E">
        <w:rPr>
          <w:rFonts w:ascii="Century Gothic" w:eastAsia="Calibri" w:hAnsi="Century Gothic" w:cs="Arial"/>
          <w:sz w:val="22"/>
          <w:szCs w:val="22"/>
          <w:lang w:val="es-CO"/>
        </w:rPr>
        <w:t>E</w:t>
      </w:r>
      <w:r w:rsidRPr="00A0108E">
        <w:rPr>
          <w:rFonts w:ascii="Century Gothic" w:eastAsia="Calibri" w:hAnsi="Century Gothic" w:cs="Arial"/>
          <w:sz w:val="22"/>
          <w:szCs w:val="22"/>
          <w:lang w:val="es-CO"/>
        </w:rPr>
        <w:t xml:space="preserve">xcel </w:t>
      </w:r>
    </w:p>
    <w:p w14:paraId="52E12813" w14:textId="77777777" w:rsidR="00265F23" w:rsidRPr="00A0108E" w:rsidRDefault="00265F23" w:rsidP="00265F23">
      <w:pPr>
        <w:autoSpaceDE w:val="0"/>
        <w:autoSpaceDN w:val="0"/>
        <w:adjustRightInd w:val="0"/>
        <w:ind w:left="720"/>
        <w:jc w:val="both"/>
        <w:rPr>
          <w:rFonts w:ascii="Century Gothic" w:eastAsia="Calibri" w:hAnsi="Century Gothic" w:cs="Arial"/>
          <w:bCs/>
          <w:sz w:val="22"/>
          <w:szCs w:val="22"/>
          <w:lang w:val="es-CO"/>
        </w:rPr>
      </w:pPr>
    </w:p>
    <w:p w14:paraId="18657761" w14:textId="760903BC" w:rsidR="00E0774A" w:rsidRPr="00A0108E" w:rsidRDefault="00E0774A" w:rsidP="00265F23">
      <w:pPr>
        <w:autoSpaceDE w:val="0"/>
        <w:autoSpaceDN w:val="0"/>
        <w:adjustRightInd w:val="0"/>
        <w:ind w:left="720"/>
        <w:jc w:val="center"/>
        <w:rPr>
          <w:rFonts w:ascii="Century Gothic" w:eastAsia="Calibri" w:hAnsi="Century Gothic" w:cs="Arial"/>
          <w:sz w:val="22"/>
          <w:szCs w:val="22"/>
          <w:lang w:val="es-CO"/>
        </w:rPr>
      </w:pPr>
      <w:r w:rsidRPr="00A0108E">
        <w:rPr>
          <w:rFonts w:ascii="Century Gothic" w:eastAsia="Calibri" w:hAnsi="Century Gothic" w:cs="Arial"/>
          <w:b/>
          <w:sz w:val="22"/>
          <w:szCs w:val="22"/>
          <w:lang w:val="es-AR"/>
        </w:rPr>
        <w:t>ANEXOS</w:t>
      </w:r>
    </w:p>
    <w:p w14:paraId="07A1795E" w14:textId="77777777" w:rsidR="00E0774A" w:rsidRPr="00A0108E" w:rsidRDefault="00E0774A" w:rsidP="00E0774A">
      <w:pPr>
        <w:autoSpaceDE w:val="0"/>
        <w:autoSpaceDN w:val="0"/>
        <w:adjustRightInd w:val="0"/>
        <w:jc w:val="both"/>
        <w:rPr>
          <w:rFonts w:ascii="Century Gothic" w:eastAsia="Calibri" w:hAnsi="Century Gothic" w:cs="Arial"/>
          <w:b/>
          <w:sz w:val="22"/>
          <w:szCs w:val="22"/>
          <w:lang w:val="es-AR"/>
        </w:rPr>
      </w:pPr>
    </w:p>
    <w:p w14:paraId="58B9B64E" w14:textId="77777777" w:rsidR="00E0774A" w:rsidRPr="00A0108E" w:rsidRDefault="00E0774A" w:rsidP="00E0774A">
      <w:pPr>
        <w:numPr>
          <w:ilvl w:val="0"/>
          <w:numId w:val="34"/>
        </w:numPr>
        <w:autoSpaceDE w:val="0"/>
        <w:autoSpaceDN w:val="0"/>
        <w:adjustRightInd w:val="0"/>
        <w:jc w:val="both"/>
        <w:rPr>
          <w:rFonts w:ascii="Century Gothic" w:eastAsia="Calibri" w:hAnsi="Century Gothic" w:cs="Arial"/>
          <w:bCs/>
          <w:sz w:val="22"/>
          <w:szCs w:val="22"/>
          <w:lang w:val="es-CO"/>
        </w:rPr>
      </w:pPr>
      <w:r w:rsidRPr="00A0108E">
        <w:rPr>
          <w:rFonts w:ascii="Century Gothic" w:eastAsia="Calibri" w:hAnsi="Century Gothic" w:cs="Arial"/>
          <w:bCs/>
          <w:sz w:val="22"/>
          <w:szCs w:val="22"/>
          <w:lang w:val="es-CO"/>
        </w:rPr>
        <w:t>Documentos enunciados en el acápite de pruebas documentales.</w:t>
      </w:r>
    </w:p>
    <w:p w14:paraId="6793C026"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2A3F6EA3" w14:textId="11B2FD29" w:rsidR="00E0774A" w:rsidRPr="00A0108E" w:rsidRDefault="00E0774A" w:rsidP="00E0774A">
      <w:pPr>
        <w:numPr>
          <w:ilvl w:val="0"/>
          <w:numId w:val="34"/>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Poder otorgado mediante escritura pública N°702 de la Notaria 10 del </w:t>
      </w:r>
      <w:r w:rsidR="00522655" w:rsidRPr="00A0108E">
        <w:rPr>
          <w:rFonts w:ascii="Century Gothic" w:eastAsia="Calibri" w:hAnsi="Century Gothic" w:cs="Arial"/>
          <w:sz w:val="22"/>
          <w:szCs w:val="22"/>
          <w:lang w:val="es-CO"/>
        </w:rPr>
        <w:t>círculo</w:t>
      </w:r>
      <w:r w:rsidRPr="00A0108E">
        <w:rPr>
          <w:rFonts w:ascii="Century Gothic" w:eastAsia="Calibri" w:hAnsi="Century Gothic" w:cs="Arial"/>
          <w:sz w:val="22"/>
          <w:szCs w:val="22"/>
          <w:lang w:val="es-CO"/>
        </w:rPr>
        <w:t xml:space="preserve"> de Bogotá</w:t>
      </w:r>
    </w:p>
    <w:p w14:paraId="5E842E37" w14:textId="77777777" w:rsidR="00E0774A" w:rsidRPr="00A0108E" w:rsidRDefault="00E0774A" w:rsidP="00E0774A">
      <w:pPr>
        <w:autoSpaceDE w:val="0"/>
        <w:autoSpaceDN w:val="0"/>
        <w:adjustRightInd w:val="0"/>
        <w:jc w:val="both"/>
        <w:rPr>
          <w:rFonts w:ascii="Century Gothic" w:eastAsia="Calibri" w:hAnsi="Century Gothic" w:cs="Arial"/>
          <w:b/>
          <w:sz w:val="22"/>
          <w:szCs w:val="22"/>
        </w:rPr>
      </w:pPr>
    </w:p>
    <w:p w14:paraId="0FEDED5E" w14:textId="77777777" w:rsidR="00E0774A" w:rsidRPr="00A0108E" w:rsidRDefault="00E0774A" w:rsidP="00522655">
      <w:pPr>
        <w:autoSpaceDE w:val="0"/>
        <w:autoSpaceDN w:val="0"/>
        <w:adjustRightInd w:val="0"/>
        <w:jc w:val="center"/>
        <w:rPr>
          <w:rFonts w:ascii="Century Gothic" w:eastAsia="Calibri" w:hAnsi="Century Gothic" w:cs="Arial"/>
          <w:b/>
          <w:sz w:val="22"/>
          <w:szCs w:val="22"/>
        </w:rPr>
      </w:pPr>
      <w:r w:rsidRPr="00A0108E">
        <w:rPr>
          <w:rFonts w:ascii="Century Gothic" w:eastAsia="Calibri" w:hAnsi="Century Gothic" w:cs="Arial"/>
          <w:b/>
          <w:sz w:val="22"/>
          <w:szCs w:val="22"/>
        </w:rPr>
        <w:t>NOTIFICACIONES:</w:t>
      </w:r>
    </w:p>
    <w:p w14:paraId="35B7EC84" w14:textId="77777777" w:rsidR="00E0774A" w:rsidRPr="00A0108E" w:rsidRDefault="00E0774A" w:rsidP="00E0774A">
      <w:pPr>
        <w:numPr>
          <w:ilvl w:val="0"/>
          <w:numId w:val="35"/>
        </w:numPr>
        <w:autoSpaceDE w:val="0"/>
        <w:autoSpaceDN w:val="0"/>
        <w:adjustRightInd w:val="0"/>
        <w:jc w:val="both"/>
        <w:rPr>
          <w:rFonts w:ascii="Century Gothic" w:eastAsia="Calibri" w:hAnsi="Century Gothic" w:cs="Arial"/>
          <w:sz w:val="22"/>
          <w:szCs w:val="22"/>
          <w:u w:val="single"/>
          <w:lang w:val="es-CO"/>
        </w:rPr>
      </w:pPr>
      <w:r w:rsidRPr="00A0108E">
        <w:rPr>
          <w:rFonts w:ascii="Century Gothic" w:eastAsia="Calibri" w:hAnsi="Century Gothic" w:cs="Arial"/>
          <w:sz w:val="22"/>
          <w:szCs w:val="22"/>
          <w:lang w:val="es-CO"/>
        </w:rPr>
        <w:t xml:space="preserve">La Equidad Seguros Vida O.C. recibe notificaciones en la Carrera 9 A N° 99-07 Piso 12 de la ciudad de Bogotá, D.C. correo electrónico </w:t>
      </w:r>
      <w:r w:rsidRPr="00A0108E">
        <w:rPr>
          <w:rFonts w:ascii="Century Gothic" w:eastAsia="Calibri" w:hAnsi="Century Gothic" w:cs="Arial"/>
          <w:sz w:val="22"/>
          <w:szCs w:val="22"/>
          <w:u w:val="single"/>
          <w:lang w:val="es-CO"/>
        </w:rPr>
        <w:t xml:space="preserve">notificacionesjudicialeslaequidad@laequidadseguros.coop  </w:t>
      </w:r>
    </w:p>
    <w:p w14:paraId="6BF954B9" w14:textId="77777777" w:rsidR="00E0774A" w:rsidRPr="00A0108E" w:rsidRDefault="00E0774A" w:rsidP="00E0774A">
      <w:pPr>
        <w:autoSpaceDE w:val="0"/>
        <w:autoSpaceDN w:val="0"/>
        <w:adjustRightInd w:val="0"/>
        <w:jc w:val="both"/>
        <w:rPr>
          <w:rFonts w:ascii="Century Gothic" w:eastAsia="Calibri" w:hAnsi="Century Gothic" w:cs="Arial"/>
          <w:sz w:val="22"/>
          <w:szCs w:val="22"/>
          <w:u w:val="single"/>
          <w:lang w:val="es-CO"/>
        </w:rPr>
      </w:pPr>
    </w:p>
    <w:p w14:paraId="57343611" w14:textId="77777777" w:rsidR="00E0774A" w:rsidRPr="00A0108E" w:rsidRDefault="00E0774A" w:rsidP="00E0774A">
      <w:pPr>
        <w:autoSpaceDE w:val="0"/>
        <w:autoSpaceDN w:val="0"/>
        <w:adjustRightInd w:val="0"/>
        <w:jc w:val="both"/>
        <w:rPr>
          <w:rFonts w:ascii="Century Gothic" w:eastAsia="Calibri" w:hAnsi="Century Gothic" w:cs="Arial"/>
          <w:sz w:val="22"/>
          <w:szCs w:val="22"/>
          <w:lang w:val="es-CO"/>
        </w:rPr>
      </w:pPr>
    </w:p>
    <w:p w14:paraId="090B0392" w14:textId="77777777" w:rsidR="00E0774A" w:rsidRPr="00A0108E" w:rsidRDefault="00E0774A" w:rsidP="00E0774A">
      <w:pPr>
        <w:autoSpaceDE w:val="0"/>
        <w:autoSpaceDN w:val="0"/>
        <w:adjustRightInd w:val="0"/>
        <w:jc w:val="both"/>
        <w:rPr>
          <w:rFonts w:ascii="Century Gothic" w:eastAsia="Calibri" w:hAnsi="Century Gothic" w:cs="Arial"/>
          <w:sz w:val="22"/>
          <w:szCs w:val="22"/>
          <w:u w:val="single"/>
          <w:lang w:val="es-CO"/>
        </w:rPr>
      </w:pPr>
    </w:p>
    <w:p w14:paraId="06949FE8" w14:textId="77777777" w:rsidR="00E0774A" w:rsidRPr="00A0108E" w:rsidRDefault="00E0774A" w:rsidP="00E0774A">
      <w:pPr>
        <w:numPr>
          <w:ilvl w:val="0"/>
          <w:numId w:val="35"/>
        </w:numPr>
        <w:autoSpaceDE w:val="0"/>
        <w:autoSpaceDN w:val="0"/>
        <w:adjustRightInd w:val="0"/>
        <w:jc w:val="both"/>
        <w:rPr>
          <w:rFonts w:ascii="Century Gothic" w:eastAsia="Calibri" w:hAnsi="Century Gothic" w:cs="Arial"/>
          <w:sz w:val="22"/>
          <w:szCs w:val="22"/>
          <w:lang w:val="es-CO"/>
        </w:rPr>
      </w:pPr>
      <w:r w:rsidRPr="00A0108E">
        <w:rPr>
          <w:rFonts w:ascii="Century Gothic" w:eastAsia="Calibri" w:hAnsi="Century Gothic" w:cs="Arial"/>
          <w:sz w:val="22"/>
          <w:szCs w:val="22"/>
          <w:lang w:val="es-CO"/>
        </w:rPr>
        <w:t xml:space="preserve">La suscrita apoderada en la Carrera 9 A N° 99-07 Piso 15 de la ciudad de Bogotá, D.C. </w:t>
      </w:r>
      <w:hyperlink r:id="rId39" w:history="1">
        <w:r w:rsidRPr="00A0108E">
          <w:rPr>
            <w:rStyle w:val="Hipervnculo"/>
            <w:rFonts w:ascii="Century Gothic" w:eastAsia="Calibri" w:hAnsi="Century Gothic" w:cs="Arial"/>
            <w:sz w:val="22"/>
            <w:szCs w:val="22"/>
            <w:lang w:val="es-CO"/>
          </w:rPr>
          <w:t>claudia.lastra@laequidadseguros.coop</w:t>
        </w:r>
      </w:hyperlink>
      <w:r w:rsidRPr="00A0108E">
        <w:rPr>
          <w:rFonts w:ascii="Century Gothic" w:eastAsia="Calibri" w:hAnsi="Century Gothic" w:cs="Arial"/>
          <w:sz w:val="22"/>
          <w:szCs w:val="22"/>
          <w:lang w:val="es-CO"/>
        </w:rPr>
        <w:t xml:space="preserve"> </w:t>
      </w:r>
    </w:p>
    <w:p w14:paraId="0EC72CAC"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p>
    <w:p w14:paraId="0A098E77"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Del señor </w:t>
      </w:r>
      <w:proofErr w:type="gramStart"/>
      <w:r w:rsidRPr="00A0108E">
        <w:rPr>
          <w:rFonts w:ascii="Century Gothic" w:eastAsia="Calibri" w:hAnsi="Century Gothic" w:cs="Arial"/>
          <w:sz w:val="22"/>
          <w:szCs w:val="22"/>
        </w:rPr>
        <w:t>Delegado</w:t>
      </w:r>
      <w:proofErr w:type="gramEnd"/>
      <w:r w:rsidRPr="00A0108E">
        <w:rPr>
          <w:rFonts w:ascii="Century Gothic" w:eastAsia="Calibri" w:hAnsi="Century Gothic" w:cs="Arial"/>
          <w:sz w:val="22"/>
          <w:szCs w:val="22"/>
        </w:rPr>
        <w:t>,</w:t>
      </w:r>
    </w:p>
    <w:p w14:paraId="2BAB25C0" w14:textId="1DC63247" w:rsidR="00E0774A" w:rsidRPr="00A0108E" w:rsidRDefault="00E0774A" w:rsidP="00E0774A">
      <w:pPr>
        <w:autoSpaceDE w:val="0"/>
        <w:autoSpaceDN w:val="0"/>
        <w:adjustRightInd w:val="0"/>
        <w:jc w:val="both"/>
        <w:rPr>
          <w:rFonts w:ascii="Century Gothic" w:eastAsia="Calibri" w:hAnsi="Century Gothic" w:cs="Arial"/>
          <w:b/>
          <w:sz w:val="22"/>
          <w:szCs w:val="22"/>
        </w:rPr>
      </w:pPr>
      <w:r w:rsidRPr="00A0108E">
        <w:rPr>
          <w:rFonts w:ascii="Century Gothic" w:eastAsia="Calibri" w:hAnsi="Century Gothic" w:cs="Arial"/>
          <w:noProof/>
          <w:sz w:val="22"/>
          <w:szCs w:val="22"/>
          <w:lang w:val="es-CO"/>
        </w:rPr>
        <w:drawing>
          <wp:inline distT="0" distB="0" distL="0" distR="0" wp14:anchorId="7FE1C8BD" wp14:editId="46148F31">
            <wp:extent cx="1438275" cy="514350"/>
            <wp:effectExtent l="0" t="0" r="9525" b="0"/>
            <wp:docPr id="1687517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38275" cy="514350"/>
                    </a:xfrm>
                    <a:prstGeom prst="rect">
                      <a:avLst/>
                    </a:prstGeom>
                    <a:noFill/>
                    <a:ln>
                      <a:noFill/>
                    </a:ln>
                  </pic:spPr>
                </pic:pic>
              </a:graphicData>
            </a:graphic>
          </wp:inline>
        </w:drawing>
      </w:r>
    </w:p>
    <w:p w14:paraId="5FD40B44" w14:textId="77777777" w:rsidR="00E0774A" w:rsidRPr="00A0108E" w:rsidRDefault="00E0774A" w:rsidP="00E0774A">
      <w:pPr>
        <w:autoSpaceDE w:val="0"/>
        <w:autoSpaceDN w:val="0"/>
        <w:adjustRightInd w:val="0"/>
        <w:jc w:val="both"/>
        <w:rPr>
          <w:rFonts w:ascii="Century Gothic" w:eastAsia="Calibri" w:hAnsi="Century Gothic" w:cs="Arial"/>
          <w:b/>
          <w:bCs/>
          <w:sz w:val="22"/>
          <w:szCs w:val="22"/>
        </w:rPr>
      </w:pPr>
      <w:r w:rsidRPr="00A0108E">
        <w:rPr>
          <w:rFonts w:ascii="Century Gothic" w:eastAsia="Calibri" w:hAnsi="Century Gothic" w:cs="Arial"/>
          <w:b/>
          <w:bCs/>
          <w:sz w:val="22"/>
          <w:szCs w:val="22"/>
        </w:rPr>
        <w:t>CLAUDIA JIMENA LASTRA FERNANDEZ</w:t>
      </w:r>
    </w:p>
    <w:p w14:paraId="64C12BB5" w14:textId="77777777"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C.C 28.554.926 de Ibagué T.P. N° 173.792 del C.S. de la J.</w:t>
      </w:r>
    </w:p>
    <w:p w14:paraId="61B6B032" w14:textId="6AE981FC" w:rsidR="00E0774A" w:rsidRPr="00A0108E" w:rsidRDefault="00E0774A" w:rsidP="00E0774A">
      <w:pPr>
        <w:autoSpaceDE w:val="0"/>
        <w:autoSpaceDN w:val="0"/>
        <w:adjustRightInd w:val="0"/>
        <w:jc w:val="both"/>
        <w:rPr>
          <w:rFonts w:ascii="Century Gothic" w:eastAsia="Calibri" w:hAnsi="Century Gothic" w:cs="Arial"/>
          <w:sz w:val="22"/>
          <w:szCs w:val="22"/>
        </w:rPr>
      </w:pPr>
      <w:r w:rsidRPr="00A0108E">
        <w:rPr>
          <w:rFonts w:ascii="Century Gothic" w:eastAsia="Calibri" w:hAnsi="Century Gothic" w:cs="Arial"/>
          <w:sz w:val="22"/>
          <w:szCs w:val="22"/>
        </w:rPr>
        <w:t xml:space="preserve">SGC- </w:t>
      </w:r>
      <w:r w:rsidR="00265F23" w:rsidRPr="00A0108E">
        <w:rPr>
          <w:rFonts w:ascii="Century Gothic" w:eastAsia="Calibri" w:hAnsi="Century Gothic" w:cs="Arial"/>
          <w:sz w:val="22"/>
          <w:szCs w:val="22"/>
        </w:rPr>
        <w:t>10874</w:t>
      </w:r>
      <w:r w:rsidRPr="00A0108E">
        <w:rPr>
          <w:rFonts w:ascii="Century Gothic" w:eastAsia="Calibri" w:hAnsi="Century Gothic" w:cs="Arial"/>
          <w:sz w:val="22"/>
          <w:szCs w:val="22"/>
        </w:rPr>
        <w:t>Elaboro: clastra</w:t>
      </w:r>
    </w:p>
    <w:p w14:paraId="5A23A670" w14:textId="77777777" w:rsidR="00E0774A" w:rsidRPr="00E0774A" w:rsidRDefault="00E0774A" w:rsidP="00E0774A">
      <w:pPr>
        <w:autoSpaceDE w:val="0"/>
        <w:autoSpaceDN w:val="0"/>
        <w:adjustRightInd w:val="0"/>
        <w:jc w:val="both"/>
        <w:rPr>
          <w:rFonts w:ascii="Century Gothic" w:eastAsia="Calibri" w:hAnsi="Century Gothic" w:cs="Arial"/>
          <w:sz w:val="14"/>
          <w:szCs w:val="14"/>
        </w:rPr>
      </w:pPr>
    </w:p>
    <w:p w14:paraId="16F373C0" w14:textId="614687E3" w:rsidR="009E1222" w:rsidRPr="00ED66F5" w:rsidRDefault="009E1222" w:rsidP="005359FC">
      <w:pPr>
        <w:autoSpaceDE w:val="0"/>
        <w:autoSpaceDN w:val="0"/>
        <w:adjustRightInd w:val="0"/>
        <w:jc w:val="both"/>
        <w:rPr>
          <w:rFonts w:ascii="Century Gothic" w:eastAsia="Calibri" w:hAnsi="Century Gothic" w:cs="Arial"/>
          <w:sz w:val="14"/>
          <w:szCs w:val="14"/>
        </w:rPr>
      </w:pPr>
    </w:p>
    <w:sectPr w:rsidR="009E1222" w:rsidRPr="00ED66F5" w:rsidSect="0097096E">
      <w:headerReference w:type="even" r:id="rId41"/>
      <w:headerReference w:type="default" r:id="rId42"/>
      <w:headerReference w:type="first" r:id="rId43"/>
      <w:pgSz w:w="12240" w:h="15840"/>
      <w:pgMar w:top="1417" w:right="1701" w:bottom="1560"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EE9236" w14:textId="77777777" w:rsidR="00D93B20" w:rsidRDefault="00D93B20" w:rsidP="00E7033F">
      <w:r>
        <w:separator/>
      </w:r>
    </w:p>
  </w:endnote>
  <w:endnote w:type="continuationSeparator" w:id="0">
    <w:p w14:paraId="50C6AC4C" w14:textId="77777777" w:rsidR="00D93B20" w:rsidRDefault="00D93B20" w:rsidP="00E703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altName w:val="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enturyGothic">
    <w:altName w:val="Calibri"/>
    <w:panose1 w:val="00000000000000000000"/>
    <w:charset w:val="00"/>
    <w:family w:val="swiss"/>
    <w:notTrueType/>
    <w:pitch w:val="default"/>
    <w:sig w:usb0="00000003" w:usb1="00000000" w:usb2="00000000" w:usb3="00000000" w:csb0="00000001" w:csb1="00000000"/>
  </w:font>
  <w:font w:name="Arial_feDefaultFont_Encoding">
    <w:altName w:val="Arial"/>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6F533D" w14:textId="77777777" w:rsidR="00D93B20" w:rsidRDefault="00D93B20" w:rsidP="00E7033F">
      <w:r>
        <w:separator/>
      </w:r>
    </w:p>
  </w:footnote>
  <w:footnote w:type="continuationSeparator" w:id="0">
    <w:p w14:paraId="3166A988" w14:textId="77777777" w:rsidR="00D93B20" w:rsidRDefault="00D93B20" w:rsidP="00E7033F">
      <w:r>
        <w:continuationSeparator/>
      </w:r>
    </w:p>
  </w:footnote>
  <w:footnote w:id="1">
    <w:p w14:paraId="5A400A74" w14:textId="77777777" w:rsidR="00D72A81" w:rsidRDefault="00D72A81" w:rsidP="00D72A81">
      <w:pPr>
        <w:pStyle w:val="Textonotapie"/>
        <w:rPr>
          <w:rFonts w:ascii="Times New Roman" w:hAnsi="Times New Roman"/>
        </w:rPr>
      </w:pPr>
      <w:r>
        <w:rPr>
          <w:rStyle w:val="Refdenotaalpie"/>
          <w:rFonts w:ascii="Century Gothic" w:hAnsi="Century Gothic"/>
          <w:sz w:val="16"/>
          <w:szCs w:val="16"/>
        </w:rPr>
        <w:footnoteRef/>
      </w:r>
      <w:r>
        <w:rPr>
          <w:rFonts w:ascii="Century Gothic" w:hAnsi="Century Gothic"/>
          <w:sz w:val="16"/>
          <w:szCs w:val="16"/>
        </w:rPr>
        <w:t xml:space="preserve"> Instituciones de Derecho Procesal Civil, I, 185</w:t>
      </w:r>
    </w:p>
  </w:footnote>
  <w:footnote w:id="2">
    <w:p w14:paraId="65DDDCC7" w14:textId="77777777" w:rsidR="00D72A81" w:rsidRDefault="00D72A81" w:rsidP="00D72A81">
      <w:pPr>
        <w:jc w:val="both"/>
      </w:pPr>
      <w:r>
        <w:rPr>
          <w:rStyle w:val="Refdenotaalpie"/>
          <w:rFonts w:ascii="Century Gothic" w:hAnsi="Century Gothic"/>
          <w:sz w:val="16"/>
          <w:szCs w:val="16"/>
        </w:rPr>
        <w:footnoteRef/>
      </w:r>
      <w:r>
        <w:rPr>
          <w:rFonts w:ascii="Century Gothic" w:hAnsi="Century Gothic"/>
          <w:sz w:val="16"/>
          <w:szCs w:val="16"/>
        </w:rPr>
        <w:t xml:space="preserve"> Consejo de Estado, Sala Plena de lo Contencioso Administrativo, Sección Tercera, auto de unificación de jurisprudencia, 25 de septiembre de 2013, exp. 20.420</w:t>
      </w:r>
    </w:p>
    <w:p w14:paraId="0B6BB9EE" w14:textId="77777777" w:rsidR="00D72A81" w:rsidRDefault="00D72A81" w:rsidP="00D72A81">
      <w:pPr>
        <w:pStyle w:val="Textonotapie"/>
        <w:rPr>
          <w:rFonts w:ascii="Century Gothic" w:hAnsi="Century Gothic"/>
          <w:sz w:val="16"/>
          <w:szCs w:val="16"/>
        </w:rPr>
      </w:pPr>
    </w:p>
  </w:footnote>
  <w:footnote w:id="3">
    <w:p w14:paraId="374B60A7" w14:textId="77777777" w:rsidR="00E0774A" w:rsidRDefault="00E0774A" w:rsidP="00E0774A">
      <w:pPr>
        <w:pStyle w:val="Textonotapie"/>
        <w:rPr>
          <w:rFonts w:ascii="Times New Roman" w:hAnsi="Times New Roman"/>
          <w:lang w:val="es-CO"/>
        </w:rPr>
      </w:pPr>
      <w:r>
        <w:rPr>
          <w:rStyle w:val="Refdenotaalpie"/>
        </w:rPr>
        <w:footnoteRef/>
      </w:r>
      <w:r>
        <w:t xml:space="preserve"> </w:t>
      </w:r>
      <w:r>
        <w:rPr>
          <w:lang w:val="es-CO"/>
        </w:rPr>
        <w:t xml:space="preserve">Sentencia C – 232 de 1997, sala plena de la Corte Constitucional. </w:t>
      </w:r>
    </w:p>
  </w:footnote>
  <w:footnote w:id="4">
    <w:p w14:paraId="61C7BE68" w14:textId="77777777" w:rsidR="00E0774A" w:rsidRDefault="00E0774A" w:rsidP="00E0774A">
      <w:pPr>
        <w:pStyle w:val="Textonotapie"/>
        <w:rPr>
          <w:lang w:val="es-CO"/>
        </w:rPr>
      </w:pPr>
      <w:r>
        <w:rPr>
          <w:rStyle w:val="Refdenotaalpie"/>
        </w:rPr>
        <w:footnoteRef/>
      </w:r>
      <w:r>
        <w:t xml:space="preserve"> Corte Suprema de Justicia. SC. 04 de Marzo de 2016. Rad. 05001 – 31 – 03 – 003 – 2008 – 0034 – 04. </w:t>
      </w:r>
    </w:p>
  </w:footnote>
  <w:footnote w:id="5">
    <w:p w14:paraId="46E09085" w14:textId="77777777" w:rsidR="00E0774A" w:rsidRDefault="00E0774A" w:rsidP="00E0774A">
      <w:pPr>
        <w:pStyle w:val="Textonotapie"/>
        <w:rPr>
          <w:lang w:val="es-ES"/>
        </w:rPr>
      </w:pPr>
      <w:r>
        <w:rPr>
          <w:rStyle w:val="Refdenotaalpie"/>
        </w:rPr>
        <w:footnoteRef/>
      </w:r>
      <w:r>
        <w:t xml:space="preserve"> Corte Suprema de Justicia. SC2803 – 2016. Radicación No. 05001 – 31 – 03 – 003 – 2008 – 00034 – 01 de fecha 04 de Marzo de 2016.</w:t>
      </w:r>
    </w:p>
  </w:footnote>
  <w:footnote w:id="6">
    <w:p w14:paraId="30151802" w14:textId="77777777" w:rsidR="00E0774A" w:rsidRDefault="00E0774A" w:rsidP="00E0774A">
      <w:pPr>
        <w:pStyle w:val="Textonotapie"/>
        <w:rPr>
          <w:lang w:val="es-CO"/>
        </w:rPr>
      </w:pPr>
      <w:r>
        <w:rPr>
          <w:rStyle w:val="Refdenotaalpie"/>
        </w:rPr>
        <w:footnoteRef/>
      </w:r>
      <w:r>
        <w:t xml:space="preserve"> </w:t>
      </w:r>
      <w:r>
        <w:rPr>
          <w:color w:val="000000"/>
          <w:sz w:val="23"/>
          <w:szCs w:val="23"/>
          <w:lang w:val="es-CO"/>
        </w:rPr>
        <w:t>CSJ SC 19 dic. 2005, rad. 1997-5665-01.</w:t>
      </w:r>
    </w:p>
  </w:footnote>
  <w:footnote w:id="7">
    <w:p w14:paraId="3446C876" w14:textId="77777777" w:rsidR="00E0774A" w:rsidRDefault="00E0774A" w:rsidP="00E0774A">
      <w:pPr>
        <w:rPr>
          <w:sz w:val="20"/>
          <w:szCs w:val="20"/>
          <w:lang w:val="es-CO"/>
        </w:rPr>
      </w:pPr>
      <w:r>
        <w:rPr>
          <w:rStyle w:val="Refdenotaalpie"/>
          <w:sz w:val="20"/>
          <w:szCs w:val="20"/>
        </w:rPr>
        <w:footnoteRef/>
      </w:r>
      <w:r>
        <w:rPr>
          <w:sz w:val="20"/>
          <w:szCs w:val="20"/>
        </w:rPr>
        <w:t xml:space="preserve"> Corte Suprema de Justicia. SC 2803 - 2016</w:t>
      </w:r>
    </w:p>
  </w:footnote>
  <w:footnote w:id="8">
    <w:p w14:paraId="1A853880" w14:textId="77777777" w:rsidR="00E0774A" w:rsidRDefault="00E0774A" w:rsidP="00E0774A">
      <w:pPr>
        <w:pStyle w:val="Textonotapie"/>
        <w:rPr>
          <w:rFonts w:ascii="Times New Roman" w:hAnsi="Times New Roman"/>
          <w:lang w:val="es-CO"/>
        </w:rPr>
      </w:pPr>
      <w:r>
        <w:rPr>
          <w:rStyle w:val="Refdenotaalpie"/>
        </w:rPr>
        <w:footnoteRef/>
      </w:r>
      <w:r>
        <w:t xml:space="preserve"> Corte Suprema de Justicia. SC. 04 de Marzo de 2016. Rad. 05001 – 31 – 03 – 003 – 2008 – 0034 – 04.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EC3553" w14:textId="77777777" w:rsidR="00883E70" w:rsidRDefault="00000000">
    <w:pPr>
      <w:pStyle w:val="Encabezado"/>
    </w:pPr>
    <w:r>
      <w:rPr>
        <w:noProof/>
        <w:lang w:eastAsia="es-ES_tradnl"/>
      </w:rPr>
      <w:pict w14:anchorId="0F5D24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30" type="#_x0000_t75" style="position:absolute;margin-left:0;margin-top:0;width:600pt;height:776.4pt;z-index:-251657216;mso-wrap-edited:f;mso-position-horizontal:center;mso-position-horizontal-relative:margin;mso-position-vertical:center;mso-position-vertical-relative:margin" wrapcoords="-27 0 -27 21579 21600 21579 21600 0 -27 0">
          <v:imagedata r:id="rId1" o:title="este-si"/>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DF9534" w14:textId="77777777" w:rsidR="00883E70" w:rsidRDefault="00000000">
    <w:pPr>
      <w:pStyle w:val="Encabezado"/>
    </w:pPr>
    <w:r>
      <w:rPr>
        <w:noProof/>
        <w:lang w:eastAsia="es-ES_tradnl"/>
      </w:rPr>
      <w:pict w14:anchorId="033F82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9" type="#_x0000_t75" style="position:absolute;margin-left:-79.05pt;margin-top:-81.05pt;width:600pt;height:776.4pt;z-index:-251658240;mso-wrap-edited:f;mso-position-horizontal-relative:margin;mso-position-vertical-relative:margin" wrapcoords="-27 0 -27 21579 21600 21579 21600 0 -27 0">
          <v:imagedata r:id="rId1" o:title="este-si"/>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2E4CDC" w14:textId="77777777" w:rsidR="00883E70" w:rsidRDefault="00000000">
    <w:pPr>
      <w:pStyle w:val="Encabezado"/>
    </w:pPr>
    <w:r>
      <w:rPr>
        <w:noProof/>
        <w:lang w:eastAsia="es-ES_tradnl"/>
      </w:rPr>
      <w:pict w14:anchorId="368E3A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31" type="#_x0000_t75" style="position:absolute;margin-left:0;margin-top:0;width:600pt;height:776.4pt;z-index:-251656192;mso-wrap-edited:f;mso-position-horizontal:center;mso-position-horizontal-relative:margin;mso-position-vertical:center;mso-position-vertical-relative:margin" wrapcoords="-27 0 -27 21579 21600 21579 21600 0 -27 0">
          <v:imagedata r:id="rId1" o:title="este-si"/>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8BC869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665AD7"/>
    <w:multiLevelType w:val="hybridMultilevel"/>
    <w:tmpl w:val="42D65AB2"/>
    <w:lvl w:ilvl="0" w:tplc="D7DA8944">
      <w:start w:val="1"/>
      <w:numFmt w:val="decimal"/>
      <w:lvlText w:val="%1."/>
      <w:lvlJc w:val="left"/>
      <w:pPr>
        <w:tabs>
          <w:tab w:val="num" w:pos="720"/>
        </w:tabs>
        <w:ind w:left="720" w:hanging="360"/>
      </w:pPr>
      <w:rPr>
        <w:rFonts w:ascii="Century Gothic" w:hAnsi="Century Gothic" w:hint="default"/>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2" w15:restartNumberingAfterBreak="0">
    <w:nsid w:val="0B6267DA"/>
    <w:multiLevelType w:val="hybridMultilevel"/>
    <w:tmpl w:val="0BBA33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 w15:restartNumberingAfterBreak="0">
    <w:nsid w:val="0BD46C8A"/>
    <w:multiLevelType w:val="hybridMultilevel"/>
    <w:tmpl w:val="A2087E4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F084D66"/>
    <w:multiLevelType w:val="hybridMultilevel"/>
    <w:tmpl w:val="904E8FE0"/>
    <w:lvl w:ilvl="0" w:tplc="FE4EA0DC">
      <w:start w:val="1"/>
      <w:numFmt w:val="decimal"/>
      <w:lvlText w:val="%1."/>
      <w:lvlJc w:val="left"/>
      <w:pPr>
        <w:ind w:left="644" w:hanging="360"/>
      </w:pPr>
      <w:rPr>
        <w:rFonts w:ascii="Helvetica" w:eastAsia="Times New Roman" w:hAnsi="Helvetica" w:cs="Times New Roman"/>
      </w:rPr>
    </w:lvl>
    <w:lvl w:ilvl="1" w:tplc="240A0019">
      <w:start w:val="1"/>
      <w:numFmt w:val="lowerLetter"/>
      <w:lvlText w:val="%2."/>
      <w:lvlJc w:val="left"/>
      <w:pPr>
        <w:ind w:left="1364" w:hanging="360"/>
      </w:pPr>
    </w:lvl>
    <w:lvl w:ilvl="2" w:tplc="240A001B">
      <w:start w:val="1"/>
      <w:numFmt w:val="lowerRoman"/>
      <w:lvlText w:val="%3."/>
      <w:lvlJc w:val="right"/>
      <w:pPr>
        <w:ind w:left="2084" w:hanging="180"/>
      </w:pPr>
    </w:lvl>
    <w:lvl w:ilvl="3" w:tplc="240A000F">
      <w:start w:val="1"/>
      <w:numFmt w:val="decimal"/>
      <w:lvlText w:val="%4."/>
      <w:lvlJc w:val="left"/>
      <w:pPr>
        <w:ind w:left="2804" w:hanging="360"/>
      </w:pPr>
    </w:lvl>
    <w:lvl w:ilvl="4" w:tplc="240A0019">
      <w:start w:val="1"/>
      <w:numFmt w:val="lowerLetter"/>
      <w:lvlText w:val="%5."/>
      <w:lvlJc w:val="left"/>
      <w:pPr>
        <w:ind w:left="3524" w:hanging="360"/>
      </w:pPr>
    </w:lvl>
    <w:lvl w:ilvl="5" w:tplc="240A001B">
      <w:start w:val="1"/>
      <w:numFmt w:val="lowerRoman"/>
      <w:lvlText w:val="%6."/>
      <w:lvlJc w:val="right"/>
      <w:pPr>
        <w:ind w:left="4244" w:hanging="180"/>
      </w:pPr>
    </w:lvl>
    <w:lvl w:ilvl="6" w:tplc="240A000F">
      <w:start w:val="1"/>
      <w:numFmt w:val="decimal"/>
      <w:lvlText w:val="%7."/>
      <w:lvlJc w:val="left"/>
      <w:pPr>
        <w:ind w:left="4964" w:hanging="360"/>
      </w:pPr>
    </w:lvl>
    <w:lvl w:ilvl="7" w:tplc="240A0019">
      <w:start w:val="1"/>
      <w:numFmt w:val="lowerLetter"/>
      <w:lvlText w:val="%8."/>
      <w:lvlJc w:val="left"/>
      <w:pPr>
        <w:ind w:left="5684" w:hanging="360"/>
      </w:pPr>
    </w:lvl>
    <w:lvl w:ilvl="8" w:tplc="240A001B">
      <w:start w:val="1"/>
      <w:numFmt w:val="lowerRoman"/>
      <w:lvlText w:val="%9."/>
      <w:lvlJc w:val="right"/>
      <w:pPr>
        <w:ind w:left="6404" w:hanging="180"/>
      </w:pPr>
    </w:lvl>
  </w:abstractNum>
  <w:abstractNum w:abstractNumId="5" w15:restartNumberingAfterBreak="0">
    <w:nsid w:val="11C27691"/>
    <w:multiLevelType w:val="hybridMultilevel"/>
    <w:tmpl w:val="05B68B0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C523D0F"/>
    <w:multiLevelType w:val="hybridMultilevel"/>
    <w:tmpl w:val="0EC27988"/>
    <w:lvl w:ilvl="0" w:tplc="3DFEB9E4">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7" w15:restartNumberingAfterBreak="0">
    <w:nsid w:val="1E7F2DD2"/>
    <w:multiLevelType w:val="hybridMultilevel"/>
    <w:tmpl w:val="3D24DE8E"/>
    <w:lvl w:ilvl="0" w:tplc="240A0001">
      <w:start w:val="1"/>
      <w:numFmt w:val="bullet"/>
      <w:lvlText w:val=""/>
      <w:lvlJc w:val="left"/>
      <w:pPr>
        <w:ind w:left="770" w:hanging="360"/>
      </w:pPr>
      <w:rPr>
        <w:rFonts w:ascii="Symbol" w:hAnsi="Symbol" w:hint="default"/>
      </w:rPr>
    </w:lvl>
    <w:lvl w:ilvl="1" w:tplc="240A0003">
      <w:start w:val="1"/>
      <w:numFmt w:val="bullet"/>
      <w:lvlText w:val="o"/>
      <w:lvlJc w:val="left"/>
      <w:pPr>
        <w:ind w:left="1490" w:hanging="360"/>
      </w:pPr>
      <w:rPr>
        <w:rFonts w:ascii="Courier New" w:hAnsi="Courier New" w:cs="Courier New" w:hint="default"/>
      </w:rPr>
    </w:lvl>
    <w:lvl w:ilvl="2" w:tplc="240A0005">
      <w:start w:val="1"/>
      <w:numFmt w:val="bullet"/>
      <w:lvlText w:val=""/>
      <w:lvlJc w:val="left"/>
      <w:pPr>
        <w:ind w:left="2210" w:hanging="360"/>
      </w:pPr>
      <w:rPr>
        <w:rFonts w:ascii="Wingdings" w:hAnsi="Wingdings" w:hint="default"/>
      </w:rPr>
    </w:lvl>
    <w:lvl w:ilvl="3" w:tplc="240A0001">
      <w:start w:val="1"/>
      <w:numFmt w:val="bullet"/>
      <w:lvlText w:val=""/>
      <w:lvlJc w:val="left"/>
      <w:pPr>
        <w:ind w:left="2930" w:hanging="360"/>
      </w:pPr>
      <w:rPr>
        <w:rFonts w:ascii="Symbol" w:hAnsi="Symbol" w:hint="default"/>
      </w:rPr>
    </w:lvl>
    <w:lvl w:ilvl="4" w:tplc="240A0003">
      <w:start w:val="1"/>
      <w:numFmt w:val="bullet"/>
      <w:lvlText w:val="o"/>
      <w:lvlJc w:val="left"/>
      <w:pPr>
        <w:ind w:left="3650" w:hanging="360"/>
      </w:pPr>
      <w:rPr>
        <w:rFonts w:ascii="Courier New" w:hAnsi="Courier New" w:cs="Courier New" w:hint="default"/>
      </w:rPr>
    </w:lvl>
    <w:lvl w:ilvl="5" w:tplc="240A0005">
      <w:start w:val="1"/>
      <w:numFmt w:val="bullet"/>
      <w:lvlText w:val=""/>
      <w:lvlJc w:val="left"/>
      <w:pPr>
        <w:ind w:left="4370" w:hanging="360"/>
      </w:pPr>
      <w:rPr>
        <w:rFonts w:ascii="Wingdings" w:hAnsi="Wingdings" w:hint="default"/>
      </w:rPr>
    </w:lvl>
    <w:lvl w:ilvl="6" w:tplc="240A0001">
      <w:start w:val="1"/>
      <w:numFmt w:val="bullet"/>
      <w:lvlText w:val=""/>
      <w:lvlJc w:val="left"/>
      <w:pPr>
        <w:ind w:left="5090" w:hanging="360"/>
      </w:pPr>
      <w:rPr>
        <w:rFonts w:ascii="Symbol" w:hAnsi="Symbol" w:hint="default"/>
      </w:rPr>
    </w:lvl>
    <w:lvl w:ilvl="7" w:tplc="240A0003">
      <w:start w:val="1"/>
      <w:numFmt w:val="bullet"/>
      <w:lvlText w:val="o"/>
      <w:lvlJc w:val="left"/>
      <w:pPr>
        <w:ind w:left="5810" w:hanging="360"/>
      </w:pPr>
      <w:rPr>
        <w:rFonts w:ascii="Courier New" w:hAnsi="Courier New" w:cs="Courier New" w:hint="default"/>
      </w:rPr>
    </w:lvl>
    <w:lvl w:ilvl="8" w:tplc="240A0005">
      <w:start w:val="1"/>
      <w:numFmt w:val="bullet"/>
      <w:lvlText w:val=""/>
      <w:lvlJc w:val="left"/>
      <w:pPr>
        <w:ind w:left="6530" w:hanging="360"/>
      </w:pPr>
      <w:rPr>
        <w:rFonts w:ascii="Wingdings" w:hAnsi="Wingdings" w:hint="default"/>
      </w:rPr>
    </w:lvl>
  </w:abstractNum>
  <w:abstractNum w:abstractNumId="8" w15:restartNumberingAfterBreak="0">
    <w:nsid w:val="1F6B72C6"/>
    <w:multiLevelType w:val="multilevel"/>
    <w:tmpl w:val="AB80F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4B2025E"/>
    <w:multiLevelType w:val="hybridMultilevel"/>
    <w:tmpl w:val="FDAAE94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99C038B"/>
    <w:multiLevelType w:val="hybridMultilevel"/>
    <w:tmpl w:val="31A63664"/>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C88122F"/>
    <w:multiLevelType w:val="hybridMultilevel"/>
    <w:tmpl w:val="E9A2805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A8A0BB4"/>
    <w:multiLevelType w:val="hybridMultilevel"/>
    <w:tmpl w:val="9274E63E"/>
    <w:lvl w:ilvl="0" w:tplc="E54AFB3A">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3" w15:restartNumberingAfterBreak="0">
    <w:nsid w:val="3EC25C9F"/>
    <w:multiLevelType w:val="hybridMultilevel"/>
    <w:tmpl w:val="19CE349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401B1D20"/>
    <w:multiLevelType w:val="hybridMultilevel"/>
    <w:tmpl w:val="F70C37C6"/>
    <w:lvl w:ilvl="0" w:tplc="C634724A">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40F4194E"/>
    <w:multiLevelType w:val="hybridMultilevel"/>
    <w:tmpl w:val="5246BA52"/>
    <w:lvl w:ilvl="0" w:tplc="F4EA37C0">
      <w:start w:val="5"/>
      <w:numFmt w:val="bullet"/>
      <w:lvlText w:val="-"/>
      <w:lvlJc w:val="left"/>
      <w:pPr>
        <w:ind w:left="1068" w:hanging="360"/>
      </w:pPr>
      <w:rPr>
        <w:rFonts w:ascii="Century Gothic" w:eastAsiaTheme="minorHAnsi" w:hAnsi="Century Gothic" w:cstheme="minorBidi" w:hint="default"/>
      </w:rPr>
    </w:lvl>
    <w:lvl w:ilvl="1" w:tplc="240A0003">
      <w:start w:val="1"/>
      <w:numFmt w:val="bullet"/>
      <w:lvlText w:val="o"/>
      <w:lvlJc w:val="left"/>
      <w:pPr>
        <w:ind w:left="1788" w:hanging="360"/>
      </w:pPr>
      <w:rPr>
        <w:rFonts w:ascii="Courier New" w:hAnsi="Courier New" w:cs="Courier New" w:hint="default"/>
      </w:rPr>
    </w:lvl>
    <w:lvl w:ilvl="2" w:tplc="240A0005">
      <w:start w:val="1"/>
      <w:numFmt w:val="bullet"/>
      <w:lvlText w:val=""/>
      <w:lvlJc w:val="left"/>
      <w:pPr>
        <w:ind w:left="2508" w:hanging="360"/>
      </w:pPr>
      <w:rPr>
        <w:rFonts w:ascii="Wingdings" w:hAnsi="Wingdings" w:hint="default"/>
      </w:rPr>
    </w:lvl>
    <w:lvl w:ilvl="3" w:tplc="240A0001">
      <w:start w:val="1"/>
      <w:numFmt w:val="bullet"/>
      <w:lvlText w:val=""/>
      <w:lvlJc w:val="left"/>
      <w:pPr>
        <w:ind w:left="3228" w:hanging="360"/>
      </w:pPr>
      <w:rPr>
        <w:rFonts w:ascii="Symbol" w:hAnsi="Symbol" w:hint="default"/>
      </w:rPr>
    </w:lvl>
    <w:lvl w:ilvl="4" w:tplc="240A0003">
      <w:start w:val="1"/>
      <w:numFmt w:val="bullet"/>
      <w:lvlText w:val="o"/>
      <w:lvlJc w:val="left"/>
      <w:pPr>
        <w:ind w:left="3948" w:hanging="360"/>
      </w:pPr>
      <w:rPr>
        <w:rFonts w:ascii="Courier New" w:hAnsi="Courier New" w:cs="Courier New" w:hint="default"/>
      </w:rPr>
    </w:lvl>
    <w:lvl w:ilvl="5" w:tplc="240A0005">
      <w:start w:val="1"/>
      <w:numFmt w:val="bullet"/>
      <w:lvlText w:val=""/>
      <w:lvlJc w:val="left"/>
      <w:pPr>
        <w:ind w:left="4668" w:hanging="360"/>
      </w:pPr>
      <w:rPr>
        <w:rFonts w:ascii="Wingdings" w:hAnsi="Wingdings" w:hint="default"/>
      </w:rPr>
    </w:lvl>
    <w:lvl w:ilvl="6" w:tplc="240A0001">
      <w:start w:val="1"/>
      <w:numFmt w:val="bullet"/>
      <w:lvlText w:val=""/>
      <w:lvlJc w:val="left"/>
      <w:pPr>
        <w:ind w:left="5388" w:hanging="360"/>
      </w:pPr>
      <w:rPr>
        <w:rFonts w:ascii="Symbol" w:hAnsi="Symbol" w:hint="default"/>
      </w:rPr>
    </w:lvl>
    <w:lvl w:ilvl="7" w:tplc="240A0003">
      <w:start w:val="1"/>
      <w:numFmt w:val="bullet"/>
      <w:lvlText w:val="o"/>
      <w:lvlJc w:val="left"/>
      <w:pPr>
        <w:ind w:left="6108" w:hanging="360"/>
      </w:pPr>
      <w:rPr>
        <w:rFonts w:ascii="Courier New" w:hAnsi="Courier New" w:cs="Courier New" w:hint="default"/>
      </w:rPr>
    </w:lvl>
    <w:lvl w:ilvl="8" w:tplc="240A0005">
      <w:start w:val="1"/>
      <w:numFmt w:val="bullet"/>
      <w:lvlText w:val=""/>
      <w:lvlJc w:val="left"/>
      <w:pPr>
        <w:ind w:left="6828" w:hanging="360"/>
      </w:pPr>
      <w:rPr>
        <w:rFonts w:ascii="Wingdings" w:hAnsi="Wingdings" w:hint="default"/>
      </w:rPr>
    </w:lvl>
  </w:abstractNum>
  <w:abstractNum w:abstractNumId="16" w15:restartNumberingAfterBreak="0">
    <w:nsid w:val="472D4172"/>
    <w:multiLevelType w:val="multilevel"/>
    <w:tmpl w:val="F962C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B251D0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4BAD63CE"/>
    <w:multiLevelType w:val="hybridMultilevel"/>
    <w:tmpl w:val="93E8C884"/>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9" w15:restartNumberingAfterBreak="0">
    <w:nsid w:val="507F537C"/>
    <w:multiLevelType w:val="hybridMultilevel"/>
    <w:tmpl w:val="C05894AC"/>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1F73BB3"/>
    <w:multiLevelType w:val="hybridMultilevel"/>
    <w:tmpl w:val="CA96999E"/>
    <w:lvl w:ilvl="0" w:tplc="6B32C0D2">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52C92280"/>
    <w:multiLevelType w:val="hybridMultilevel"/>
    <w:tmpl w:val="EA2EA4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54D81E31"/>
    <w:multiLevelType w:val="hybridMultilevel"/>
    <w:tmpl w:val="9274E63E"/>
    <w:lvl w:ilvl="0" w:tplc="E54AFB3A">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3" w15:restartNumberingAfterBreak="0">
    <w:nsid w:val="583F3016"/>
    <w:multiLevelType w:val="hybridMultilevel"/>
    <w:tmpl w:val="95EC189A"/>
    <w:lvl w:ilvl="0" w:tplc="EF7AA5BC">
      <w:start w:val="1"/>
      <w:numFmt w:val="bullet"/>
      <w:lvlText w:val="-"/>
      <w:lvlJc w:val="left"/>
      <w:pPr>
        <w:ind w:left="1080" w:hanging="360"/>
      </w:pPr>
      <w:rPr>
        <w:rFonts w:ascii="Century Gothic" w:eastAsiaTheme="minorEastAsia" w:hAnsi="Century Gothic" w:cstheme="minorBidi"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4" w15:restartNumberingAfterBreak="0">
    <w:nsid w:val="59A26DC9"/>
    <w:multiLevelType w:val="hybridMultilevel"/>
    <w:tmpl w:val="EF16D0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5A715E0E"/>
    <w:multiLevelType w:val="hybridMultilevel"/>
    <w:tmpl w:val="6540B5FC"/>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26" w15:restartNumberingAfterBreak="0">
    <w:nsid w:val="5D8502F0"/>
    <w:multiLevelType w:val="hybridMultilevel"/>
    <w:tmpl w:val="CA0238F2"/>
    <w:lvl w:ilvl="0" w:tplc="1316B26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5EA228E8"/>
    <w:multiLevelType w:val="hybridMultilevel"/>
    <w:tmpl w:val="0BBA33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8" w15:restartNumberingAfterBreak="0">
    <w:nsid w:val="60172A3C"/>
    <w:multiLevelType w:val="hybridMultilevel"/>
    <w:tmpl w:val="F9306DF2"/>
    <w:lvl w:ilvl="0" w:tplc="240A0001">
      <w:start w:val="1"/>
      <w:numFmt w:val="bullet"/>
      <w:lvlText w:val=""/>
      <w:lvlJc w:val="left"/>
      <w:pPr>
        <w:ind w:left="780" w:hanging="360"/>
      </w:pPr>
      <w:rPr>
        <w:rFonts w:ascii="Symbol" w:hAnsi="Symbol" w:hint="default"/>
      </w:rPr>
    </w:lvl>
    <w:lvl w:ilvl="1" w:tplc="240A0003" w:tentative="1">
      <w:start w:val="1"/>
      <w:numFmt w:val="bullet"/>
      <w:lvlText w:val="o"/>
      <w:lvlJc w:val="left"/>
      <w:pPr>
        <w:ind w:left="1500" w:hanging="360"/>
      </w:pPr>
      <w:rPr>
        <w:rFonts w:ascii="Courier New" w:hAnsi="Courier New" w:cs="Courier New" w:hint="default"/>
      </w:rPr>
    </w:lvl>
    <w:lvl w:ilvl="2" w:tplc="240A0005" w:tentative="1">
      <w:start w:val="1"/>
      <w:numFmt w:val="bullet"/>
      <w:lvlText w:val=""/>
      <w:lvlJc w:val="left"/>
      <w:pPr>
        <w:ind w:left="2220" w:hanging="360"/>
      </w:pPr>
      <w:rPr>
        <w:rFonts w:ascii="Wingdings" w:hAnsi="Wingdings" w:hint="default"/>
      </w:rPr>
    </w:lvl>
    <w:lvl w:ilvl="3" w:tplc="240A0001" w:tentative="1">
      <w:start w:val="1"/>
      <w:numFmt w:val="bullet"/>
      <w:lvlText w:val=""/>
      <w:lvlJc w:val="left"/>
      <w:pPr>
        <w:ind w:left="2940" w:hanging="360"/>
      </w:pPr>
      <w:rPr>
        <w:rFonts w:ascii="Symbol" w:hAnsi="Symbol" w:hint="default"/>
      </w:rPr>
    </w:lvl>
    <w:lvl w:ilvl="4" w:tplc="240A0003" w:tentative="1">
      <w:start w:val="1"/>
      <w:numFmt w:val="bullet"/>
      <w:lvlText w:val="o"/>
      <w:lvlJc w:val="left"/>
      <w:pPr>
        <w:ind w:left="3660" w:hanging="360"/>
      </w:pPr>
      <w:rPr>
        <w:rFonts w:ascii="Courier New" w:hAnsi="Courier New" w:cs="Courier New" w:hint="default"/>
      </w:rPr>
    </w:lvl>
    <w:lvl w:ilvl="5" w:tplc="240A0005" w:tentative="1">
      <w:start w:val="1"/>
      <w:numFmt w:val="bullet"/>
      <w:lvlText w:val=""/>
      <w:lvlJc w:val="left"/>
      <w:pPr>
        <w:ind w:left="4380" w:hanging="360"/>
      </w:pPr>
      <w:rPr>
        <w:rFonts w:ascii="Wingdings" w:hAnsi="Wingdings" w:hint="default"/>
      </w:rPr>
    </w:lvl>
    <w:lvl w:ilvl="6" w:tplc="240A0001" w:tentative="1">
      <w:start w:val="1"/>
      <w:numFmt w:val="bullet"/>
      <w:lvlText w:val=""/>
      <w:lvlJc w:val="left"/>
      <w:pPr>
        <w:ind w:left="5100" w:hanging="360"/>
      </w:pPr>
      <w:rPr>
        <w:rFonts w:ascii="Symbol" w:hAnsi="Symbol" w:hint="default"/>
      </w:rPr>
    </w:lvl>
    <w:lvl w:ilvl="7" w:tplc="240A0003" w:tentative="1">
      <w:start w:val="1"/>
      <w:numFmt w:val="bullet"/>
      <w:lvlText w:val="o"/>
      <w:lvlJc w:val="left"/>
      <w:pPr>
        <w:ind w:left="5820" w:hanging="360"/>
      </w:pPr>
      <w:rPr>
        <w:rFonts w:ascii="Courier New" w:hAnsi="Courier New" w:cs="Courier New" w:hint="default"/>
      </w:rPr>
    </w:lvl>
    <w:lvl w:ilvl="8" w:tplc="240A0005" w:tentative="1">
      <w:start w:val="1"/>
      <w:numFmt w:val="bullet"/>
      <w:lvlText w:val=""/>
      <w:lvlJc w:val="left"/>
      <w:pPr>
        <w:ind w:left="6540" w:hanging="360"/>
      </w:pPr>
      <w:rPr>
        <w:rFonts w:ascii="Wingdings" w:hAnsi="Wingdings" w:hint="default"/>
      </w:rPr>
    </w:lvl>
  </w:abstractNum>
  <w:abstractNum w:abstractNumId="29" w15:restartNumberingAfterBreak="0">
    <w:nsid w:val="629A7A59"/>
    <w:multiLevelType w:val="hybridMultilevel"/>
    <w:tmpl w:val="9386FC90"/>
    <w:lvl w:ilvl="0" w:tplc="240A000F">
      <w:start w:val="1"/>
      <w:numFmt w:val="decimal"/>
      <w:lvlText w:val="%1."/>
      <w:lvlJc w:val="left"/>
      <w:pPr>
        <w:ind w:left="720" w:hanging="360"/>
      </w:pPr>
      <w:rPr>
        <w:rFont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65901E9D"/>
    <w:multiLevelType w:val="hybridMultilevel"/>
    <w:tmpl w:val="6B947A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65A00A1C"/>
    <w:multiLevelType w:val="multilevel"/>
    <w:tmpl w:val="F6F0E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9C33528"/>
    <w:multiLevelType w:val="hybridMultilevel"/>
    <w:tmpl w:val="0BBA33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6D7E523E"/>
    <w:multiLevelType w:val="hybridMultilevel"/>
    <w:tmpl w:val="A832090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6DB75C02"/>
    <w:multiLevelType w:val="hybridMultilevel"/>
    <w:tmpl w:val="0BBA33D8"/>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35" w15:restartNumberingAfterBreak="0">
    <w:nsid w:val="70140640"/>
    <w:multiLevelType w:val="hybridMultilevel"/>
    <w:tmpl w:val="E6EA1C9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735D19B5"/>
    <w:multiLevelType w:val="hybridMultilevel"/>
    <w:tmpl w:val="1DA0FCA0"/>
    <w:lvl w:ilvl="0" w:tplc="57F23860">
      <w:start w:val="1"/>
      <w:numFmt w:val="decimal"/>
      <w:lvlText w:val="%1."/>
      <w:lvlJc w:val="left"/>
      <w:pPr>
        <w:ind w:left="360" w:hanging="360"/>
      </w:pPr>
      <w:rPr>
        <w:rFonts w:hint="default"/>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7" w15:restartNumberingAfterBreak="0">
    <w:nsid w:val="73943F59"/>
    <w:multiLevelType w:val="hybridMultilevel"/>
    <w:tmpl w:val="0BBA33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8" w15:restartNumberingAfterBreak="0">
    <w:nsid w:val="750C1701"/>
    <w:multiLevelType w:val="hybridMultilevel"/>
    <w:tmpl w:val="5AC009AE"/>
    <w:lvl w:ilvl="0" w:tplc="0C0A0015">
      <w:start w:val="1"/>
      <w:numFmt w:val="upperLetter"/>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76AE5455"/>
    <w:multiLevelType w:val="hybridMultilevel"/>
    <w:tmpl w:val="0688CD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ABB37F6"/>
    <w:multiLevelType w:val="multilevel"/>
    <w:tmpl w:val="1ABA9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F5A736A"/>
    <w:multiLevelType w:val="hybridMultilevel"/>
    <w:tmpl w:val="1E3650DE"/>
    <w:lvl w:ilvl="0" w:tplc="1CD8C974">
      <w:numFmt w:val="bullet"/>
      <w:lvlText w:val="-"/>
      <w:lvlJc w:val="left"/>
      <w:pPr>
        <w:ind w:left="360" w:hanging="360"/>
      </w:pPr>
      <w:rPr>
        <w:rFonts w:ascii="Century Gothic" w:eastAsiaTheme="minorHAnsi" w:hAnsi="Century Gothic" w:cs="Arial" w:hint="default"/>
        <w:b/>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num w:numId="1" w16cid:durableId="566498151">
    <w:abstractNumId w:val="35"/>
  </w:num>
  <w:num w:numId="2" w16cid:durableId="2042198580">
    <w:abstractNumId w:val="21"/>
  </w:num>
  <w:num w:numId="3" w16cid:durableId="1692074892">
    <w:abstractNumId w:val="8"/>
  </w:num>
  <w:num w:numId="4" w16cid:durableId="1916932443">
    <w:abstractNumId w:val="16"/>
  </w:num>
  <w:num w:numId="5" w16cid:durableId="442841621">
    <w:abstractNumId w:val="40"/>
  </w:num>
  <w:num w:numId="6" w16cid:durableId="350763416">
    <w:abstractNumId w:val="31"/>
  </w:num>
  <w:num w:numId="7" w16cid:durableId="1154373489">
    <w:abstractNumId w:val="41"/>
  </w:num>
  <w:num w:numId="8" w16cid:durableId="134611410">
    <w:abstractNumId w:val="36"/>
  </w:num>
  <w:num w:numId="9" w16cid:durableId="1055198466">
    <w:abstractNumId w:val="29"/>
  </w:num>
  <w:num w:numId="10" w16cid:durableId="312370129">
    <w:abstractNumId w:val="12"/>
  </w:num>
  <w:num w:numId="11" w16cid:durableId="637883467">
    <w:abstractNumId w:val="30"/>
  </w:num>
  <w:num w:numId="12" w16cid:durableId="1951357208">
    <w:abstractNumId w:val="28"/>
  </w:num>
  <w:num w:numId="13" w16cid:durableId="1418483598">
    <w:abstractNumId w:val="22"/>
  </w:num>
  <w:num w:numId="14" w16cid:durableId="1037779008">
    <w:abstractNumId w:val="33"/>
  </w:num>
  <w:num w:numId="15" w16cid:durableId="46030064">
    <w:abstractNumId w:val="13"/>
  </w:num>
  <w:num w:numId="16" w16cid:durableId="102503487">
    <w:abstractNumId w:val="39"/>
  </w:num>
  <w:num w:numId="17" w16cid:durableId="1906647392">
    <w:abstractNumId w:val="24"/>
  </w:num>
  <w:num w:numId="18" w16cid:durableId="2146970811">
    <w:abstractNumId w:val="11"/>
  </w:num>
  <w:num w:numId="19" w16cid:durableId="2050446303">
    <w:abstractNumId w:val="26"/>
  </w:num>
  <w:num w:numId="20" w16cid:durableId="1256786614">
    <w:abstractNumId w:val="5"/>
  </w:num>
  <w:num w:numId="21" w16cid:durableId="966817353">
    <w:abstractNumId w:val="38"/>
  </w:num>
  <w:num w:numId="22" w16cid:durableId="669450699">
    <w:abstractNumId w:val="19"/>
  </w:num>
  <w:num w:numId="23" w16cid:durableId="1955166537">
    <w:abstractNumId w:val="20"/>
  </w:num>
  <w:num w:numId="24" w16cid:durableId="763107804">
    <w:abstractNumId w:val="9"/>
  </w:num>
  <w:num w:numId="25" w16cid:durableId="654453015">
    <w:abstractNumId w:val="6"/>
  </w:num>
  <w:num w:numId="26" w16cid:durableId="535778297">
    <w:abstractNumId w:val="3"/>
  </w:num>
  <w:num w:numId="27" w16cid:durableId="1990329593">
    <w:abstractNumId w:val="23"/>
  </w:num>
  <w:num w:numId="28" w16cid:durableId="674847772">
    <w:abstractNumId w:val="4"/>
    <w:lvlOverride w:ilvl="0"/>
    <w:lvlOverride w:ilvl="1"/>
    <w:lvlOverride w:ilvl="2"/>
    <w:lvlOverride w:ilvl="3"/>
    <w:lvlOverride w:ilvl="4"/>
    <w:lvlOverride w:ilvl="5"/>
    <w:lvlOverride w:ilvl="6"/>
    <w:lvlOverride w:ilvl="7"/>
    <w:lvlOverride w:ilvl="8"/>
  </w:num>
  <w:num w:numId="29" w16cid:durableId="16102404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2219295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79732233">
    <w:abstractNumId w:val="15"/>
  </w:num>
  <w:num w:numId="32" w16cid:durableId="374081534">
    <w:abstractNumId w:val="7"/>
  </w:num>
  <w:num w:numId="33" w16cid:durableId="123164826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4014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6207590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126725962">
    <w:abstractNumId w:val="32"/>
  </w:num>
  <w:num w:numId="37" w16cid:durableId="2123919475">
    <w:abstractNumId w:val="27"/>
  </w:num>
  <w:num w:numId="38" w16cid:durableId="1365910510">
    <w:abstractNumId w:val="2"/>
  </w:num>
  <w:num w:numId="39" w16cid:durableId="1890073934">
    <w:abstractNumId w:val="37"/>
  </w:num>
  <w:num w:numId="40" w16cid:durableId="1676302010">
    <w:abstractNumId w:val="14"/>
  </w:num>
  <w:num w:numId="41" w16cid:durableId="1918008815">
    <w:abstractNumId w:val="10"/>
  </w:num>
  <w:num w:numId="42" w16cid:durableId="1389110311">
    <w:abstractNumId w:val="0"/>
  </w:num>
  <w:num w:numId="43" w16cid:durableId="196892987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doNotDisplayPageBoundaries/>
  <w:proofState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33F"/>
    <w:rsid w:val="00000E55"/>
    <w:rsid w:val="000016BD"/>
    <w:rsid w:val="00005E44"/>
    <w:rsid w:val="0002200D"/>
    <w:rsid w:val="00026F09"/>
    <w:rsid w:val="000307AF"/>
    <w:rsid w:val="0003456C"/>
    <w:rsid w:val="00041106"/>
    <w:rsid w:val="00046E24"/>
    <w:rsid w:val="0005195B"/>
    <w:rsid w:val="00053AC8"/>
    <w:rsid w:val="0005512B"/>
    <w:rsid w:val="0006550C"/>
    <w:rsid w:val="00070981"/>
    <w:rsid w:val="00077293"/>
    <w:rsid w:val="000810ED"/>
    <w:rsid w:val="00082963"/>
    <w:rsid w:val="00083C85"/>
    <w:rsid w:val="00097D17"/>
    <w:rsid w:val="000A269E"/>
    <w:rsid w:val="000D093D"/>
    <w:rsid w:val="000D6B33"/>
    <w:rsid w:val="000D6D94"/>
    <w:rsid w:val="000E03E9"/>
    <w:rsid w:val="000E74DD"/>
    <w:rsid w:val="000F3040"/>
    <w:rsid w:val="000F5129"/>
    <w:rsid w:val="00105109"/>
    <w:rsid w:val="001115B5"/>
    <w:rsid w:val="00117A4A"/>
    <w:rsid w:val="001351F3"/>
    <w:rsid w:val="0013750F"/>
    <w:rsid w:val="00141FD9"/>
    <w:rsid w:val="00142761"/>
    <w:rsid w:val="00144276"/>
    <w:rsid w:val="00144EBF"/>
    <w:rsid w:val="0014542C"/>
    <w:rsid w:val="0015740E"/>
    <w:rsid w:val="001656FD"/>
    <w:rsid w:val="0017358A"/>
    <w:rsid w:val="001756CE"/>
    <w:rsid w:val="0018214E"/>
    <w:rsid w:val="0018689D"/>
    <w:rsid w:val="001A1EF9"/>
    <w:rsid w:val="001A2EA3"/>
    <w:rsid w:val="001A2F05"/>
    <w:rsid w:val="001A34DB"/>
    <w:rsid w:val="001A7EA2"/>
    <w:rsid w:val="001B3AFC"/>
    <w:rsid w:val="001B6F12"/>
    <w:rsid w:val="001C265E"/>
    <w:rsid w:val="001C670C"/>
    <w:rsid w:val="001D2FFB"/>
    <w:rsid w:val="001E1045"/>
    <w:rsid w:val="001E37A3"/>
    <w:rsid w:val="001E7A4D"/>
    <w:rsid w:val="001F6299"/>
    <w:rsid w:val="00206A92"/>
    <w:rsid w:val="002105EE"/>
    <w:rsid w:val="0021121E"/>
    <w:rsid w:val="00211AA6"/>
    <w:rsid w:val="00214076"/>
    <w:rsid w:val="00214369"/>
    <w:rsid w:val="00216B22"/>
    <w:rsid w:val="00217722"/>
    <w:rsid w:val="0022129F"/>
    <w:rsid w:val="00231920"/>
    <w:rsid w:val="00234332"/>
    <w:rsid w:val="002378CF"/>
    <w:rsid w:val="00253EB1"/>
    <w:rsid w:val="002632AF"/>
    <w:rsid w:val="00265F23"/>
    <w:rsid w:val="00277F1F"/>
    <w:rsid w:val="00280A54"/>
    <w:rsid w:val="00282640"/>
    <w:rsid w:val="00283CC7"/>
    <w:rsid w:val="002922E0"/>
    <w:rsid w:val="002931FE"/>
    <w:rsid w:val="00296175"/>
    <w:rsid w:val="002A38D0"/>
    <w:rsid w:val="002A6812"/>
    <w:rsid w:val="002B1902"/>
    <w:rsid w:val="002B534C"/>
    <w:rsid w:val="002B6CCC"/>
    <w:rsid w:val="002C2ECB"/>
    <w:rsid w:val="002C398F"/>
    <w:rsid w:val="002E1EEE"/>
    <w:rsid w:val="002E33BF"/>
    <w:rsid w:val="002E5851"/>
    <w:rsid w:val="002E77C6"/>
    <w:rsid w:val="00301002"/>
    <w:rsid w:val="00302D55"/>
    <w:rsid w:val="00310898"/>
    <w:rsid w:val="0031142D"/>
    <w:rsid w:val="00321054"/>
    <w:rsid w:val="00325124"/>
    <w:rsid w:val="00326325"/>
    <w:rsid w:val="0033061A"/>
    <w:rsid w:val="003344DC"/>
    <w:rsid w:val="00343C43"/>
    <w:rsid w:val="003529B2"/>
    <w:rsid w:val="003620AF"/>
    <w:rsid w:val="00362D93"/>
    <w:rsid w:val="00366C8B"/>
    <w:rsid w:val="003743A0"/>
    <w:rsid w:val="00384306"/>
    <w:rsid w:val="00386B78"/>
    <w:rsid w:val="0038744C"/>
    <w:rsid w:val="00387A3A"/>
    <w:rsid w:val="00392132"/>
    <w:rsid w:val="003A0F2C"/>
    <w:rsid w:val="003B7D9C"/>
    <w:rsid w:val="003C3754"/>
    <w:rsid w:val="003D22BD"/>
    <w:rsid w:val="003D325C"/>
    <w:rsid w:val="003E0C9F"/>
    <w:rsid w:val="003E6D69"/>
    <w:rsid w:val="003E7813"/>
    <w:rsid w:val="003E7A86"/>
    <w:rsid w:val="00402DE8"/>
    <w:rsid w:val="00404335"/>
    <w:rsid w:val="004050A4"/>
    <w:rsid w:val="004052B2"/>
    <w:rsid w:val="004072F7"/>
    <w:rsid w:val="004112F3"/>
    <w:rsid w:val="00411FF1"/>
    <w:rsid w:val="004125EB"/>
    <w:rsid w:val="00421BB5"/>
    <w:rsid w:val="00426037"/>
    <w:rsid w:val="00430F5F"/>
    <w:rsid w:val="004310DE"/>
    <w:rsid w:val="00443354"/>
    <w:rsid w:val="004433B8"/>
    <w:rsid w:val="0044673D"/>
    <w:rsid w:val="00450352"/>
    <w:rsid w:val="00451480"/>
    <w:rsid w:val="00454B81"/>
    <w:rsid w:val="00455FCF"/>
    <w:rsid w:val="004629DF"/>
    <w:rsid w:val="00473B4D"/>
    <w:rsid w:val="00476D39"/>
    <w:rsid w:val="004973A7"/>
    <w:rsid w:val="00497E11"/>
    <w:rsid w:val="004B0C3B"/>
    <w:rsid w:val="004B7885"/>
    <w:rsid w:val="004C005F"/>
    <w:rsid w:val="004D0255"/>
    <w:rsid w:val="004D1577"/>
    <w:rsid w:val="004D3895"/>
    <w:rsid w:val="004F61DA"/>
    <w:rsid w:val="005070DC"/>
    <w:rsid w:val="0051074E"/>
    <w:rsid w:val="00514FEA"/>
    <w:rsid w:val="00515BAB"/>
    <w:rsid w:val="0051756B"/>
    <w:rsid w:val="005175A1"/>
    <w:rsid w:val="00520378"/>
    <w:rsid w:val="00522655"/>
    <w:rsid w:val="00534EBA"/>
    <w:rsid w:val="005359FC"/>
    <w:rsid w:val="00537D7A"/>
    <w:rsid w:val="00540B62"/>
    <w:rsid w:val="00542153"/>
    <w:rsid w:val="00553FFB"/>
    <w:rsid w:val="005541E3"/>
    <w:rsid w:val="0056078B"/>
    <w:rsid w:val="00560DA2"/>
    <w:rsid w:val="005637BA"/>
    <w:rsid w:val="00564849"/>
    <w:rsid w:val="00564F30"/>
    <w:rsid w:val="005660D2"/>
    <w:rsid w:val="005679A4"/>
    <w:rsid w:val="00575802"/>
    <w:rsid w:val="00580696"/>
    <w:rsid w:val="0059268A"/>
    <w:rsid w:val="005B037D"/>
    <w:rsid w:val="005C2C65"/>
    <w:rsid w:val="005C7C9B"/>
    <w:rsid w:val="005D27D7"/>
    <w:rsid w:val="005D2D18"/>
    <w:rsid w:val="005D3902"/>
    <w:rsid w:val="005D5244"/>
    <w:rsid w:val="005D78BE"/>
    <w:rsid w:val="005E2B6E"/>
    <w:rsid w:val="005E3C40"/>
    <w:rsid w:val="005E648E"/>
    <w:rsid w:val="005F2064"/>
    <w:rsid w:val="00600B25"/>
    <w:rsid w:val="00614D69"/>
    <w:rsid w:val="00616EEB"/>
    <w:rsid w:val="006263EF"/>
    <w:rsid w:val="006317A8"/>
    <w:rsid w:val="00633973"/>
    <w:rsid w:val="00642C53"/>
    <w:rsid w:val="00645E19"/>
    <w:rsid w:val="00651769"/>
    <w:rsid w:val="006519B1"/>
    <w:rsid w:val="00653127"/>
    <w:rsid w:val="00661DC4"/>
    <w:rsid w:val="00662E95"/>
    <w:rsid w:val="006759D0"/>
    <w:rsid w:val="0068535C"/>
    <w:rsid w:val="00690DD1"/>
    <w:rsid w:val="006941BC"/>
    <w:rsid w:val="00694306"/>
    <w:rsid w:val="00696407"/>
    <w:rsid w:val="006A1563"/>
    <w:rsid w:val="006A2AB1"/>
    <w:rsid w:val="006B0014"/>
    <w:rsid w:val="006B23F3"/>
    <w:rsid w:val="006C3CDE"/>
    <w:rsid w:val="006C55BF"/>
    <w:rsid w:val="006C5884"/>
    <w:rsid w:val="006C5C0F"/>
    <w:rsid w:val="006C6D54"/>
    <w:rsid w:val="006D3B52"/>
    <w:rsid w:val="006F3A6C"/>
    <w:rsid w:val="00700A51"/>
    <w:rsid w:val="007048C0"/>
    <w:rsid w:val="0071069F"/>
    <w:rsid w:val="0071087C"/>
    <w:rsid w:val="007244FC"/>
    <w:rsid w:val="00727411"/>
    <w:rsid w:val="00760BED"/>
    <w:rsid w:val="00761C50"/>
    <w:rsid w:val="00761CCC"/>
    <w:rsid w:val="007656D3"/>
    <w:rsid w:val="00766BD5"/>
    <w:rsid w:val="00771A1A"/>
    <w:rsid w:val="007826C2"/>
    <w:rsid w:val="007858E8"/>
    <w:rsid w:val="00786658"/>
    <w:rsid w:val="007A0550"/>
    <w:rsid w:val="007A0C46"/>
    <w:rsid w:val="007A5C48"/>
    <w:rsid w:val="007A7A9A"/>
    <w:rsid w:val="007C3F4B"/>
    <w:rsid w:val="007C6236"/>
    <w:rsid w:val="007D0F1B"/>
    <w:rsid w:val="007D297A"/>
    <w:rsid w:val="007D7664"/>
    <w:rsid w:val="007E1112"/>
    <w:rsid w:val="007E43EF"/>
    <w:rsid w:val="007F0D23"/>
    <w:rsid w:val="00804BFD"/>
    <w:rsid w:val="00814BBD"/>
    <w:rsid w:val="008255EA"/>
    <w:rsid w:val="00827F0B"/>
    <w:rsid w:val="00832543"/>
    <w:rsid w:val="00832C9F"/>
    <w:rsid w:val="00834EF0"/>
    <w:rsid w:val="00835367"/>
    <w:rsid w:val="00851477"/>
    <w:rsid w:val="00852517"/>
    <w:rsid w:val="00866091"/>
    <w:rsid w:val="00874F35"/>
    <w:rsid w:val="00875575"/>
    <w:rsid w:val="00877D8C"/>
    <w:rsid w:val="00883E70"/>
    <w:rsid w:val="00886962"/>
    <w:rsid w:val="0089381D"/>
    <w:rsid w:val="008A2C65"/>
    <w:rsid w:val="008A7EEA"/>
    <w:rsid w:val="008A7F7A"/>
    <w:rsid w:val="008D6DEA"/>
    <w:rsid w:val="008D7C3B"/>
    <w:rsid w:val="008E343C"/>
    <w:rsid w:val="008E4701"/>
    <w:rsid w:val="008E7124"/>
    <w:rsid w:val="008F0C9E"/>
    <w:rsid w:val="008F388C"/>
    <w:rsid w:val="008F4DE1"/>
    <w:rsid w:val="008F6B57"/>
    <w:rsid w:val="00905575"/>
    <w:rsid w:val="009124F7"/>
    <w:rsid w:val="00914F41"/>
    <w:rsid w:val="00917A9A"/>
    <w:rsid w:val="00925DB7"/>
    <w:rsid w:val="00926074"/>
    <w:rsid w:val="00933FC4"/>
    <w:rsid w:val="00934BAA"/>
    <w:rsid w:val="00942C1D"/>
    <w:rsid w:val="00944A5E"/>
    <w:rsid w:val="0095088D"/>
    <w:rsid w:val="00950EDC"/>
    <w:rsid w:val="00964665"/>
    <w:rsid w:val="0097096E"/>
    <w:rsid w:val="00975AB1"/>
    <w:rsid w:val="00975E89"/>
    <w:rsid w:val="00992680"/>
    <w:rsid w:val="009945C3"/>
    <w:rsid w:val="009A683F"/>
    <w:rsid w:val="009B1A73"/>
    <w:rsid w:val="009B3DB1"/>
    <w:rsid w:val="009C5ADF"/>
    <w:rsid w:val="009C6041"/>
    <w:rsid w:val="009D6BCA"/>
    <w:rsid w:val="009E1222"/>
    <w:rsid w:val="009E2F6A"/>
    <w:rsid w:val="009E6DE3"/>
    <w:rsid w:val="009F6233"/>
    <w:rsid w:val="00A001C7"/>
    <w:rsid w:val="00A00252"/>
    <w:rsid w:val="00A0108E"/>
    <w:rsid w:val="00A02788"/>
    <w:rsid w:val="00A05873"/>
    <w:rsid w:val="00A211AB"/>
    <w:rsid w:val="00A2207E"/>
    <w:rsid w:val="00A323A8"/>
    <w:rsid w:val="00A342CF"/>
    <w:rsid w:val="00A510BB"/>
    <w:rsid w:val="00A56585"/>
    <w:rsid w:val="00A656CB"/>
    <w:rsid w:val="00A674CB"/>
    <w:rsid w:val="00A70AD9"/>
    <w:rsid w:val="00A7168D"/>
    <w:rsid w:val="00A925DF"/>
    <w:rsid w:val="00A930A0"/>
    <w:rsid w:val="00AA558E"/>
    <w:rsid w:val="00AA5F59"/>
    <w:rsid w:val="00AB5501"/>
    <w:rsid w:val="00AC3C07"/>
    <w:rsid w:val="00AD4DE3"/>
    <w:rsid w:val="00AE3747"/>
    <w:rsid w:val="00AE3E45"/>
    <w:rsid w:val="00AF7E6A"/>
    <w:rsid w:val="00B0208D"/>
    <w:rsid w:val="00B13EAB"/>
    <w:rsid w:val="00B16E2E"/>
    <w:rsid w:val="00B24630"/>
    <w:rsid w:val="00B2729B"/>
    <w:rsid w:val="00B30B6C"/>
    <w:rsid w:val="00B34DF9"/>
    <w:rsid w:val="00B41D07"/>
    <w:rsid w:val="00B438C7"/>
    <w:rsid w:val="00B4641E"/>
    <w:rsid w:val="00B556C4"/>
    <w:rsid w:val="00B55D96"/>
    <w:rsid w:val="00B56894"/>
    <w:rsid w:val="00B61AF2"/>
    <w:rsid w:val="00B62262"/>
    <w:rsid w:val="00B7167E"/>
    <w:rsid w:val="00B72C84"/>
    <w:rsid w:val="00B8078C"/>
    <w:rsid w:val="00B81A9C"/>
    <w:rsid w:val="00B828F1"/>
    <w:rsid w:val="00B87389"/>
    <w:rsid w:val="00B9248F"/>
    <w:rsid w:val="00B9534F"/>
    <w:rsid w:val="00BA4E7E"/>
    <w:rsid w:val="00BA5032"/>
    <w:rsid w:val="00BA50DE"/>
    <w:rsid w:val="00BA5266"/>
    <w:rsid w:val="00BB3CA0"/>
    <w:rsid w:val="00BC20ED"/>
    <w:rsid w:val="00BC26FB"/>
    <w:rsid w:val="00BC2F88"/>
    <w:rsid w:val="00BD3F23"/>
    <w:rsid w:val="00BE10A6"/>
    <w:rsid w:val="00BF1310"/>
    <w:rsid w:val="00BF5131"/>
    <w:rsid w:val="00C0226B"/>
    <w:rsid w:val="00C03E80"/>
    <w:rsid w:val="00C05F61"/>
    <w:rsid w:val="00C10E05"/>
    <w:rsid w:val="00C16EFD"/>
    <w:rsid w:val="00C20073"/>
    <w:rsid w:val="00C211A7"/>
    <w:rsid w:val="00C24024"/>
    <w:rsid w:val="00C304A0"/>
    <w:rsid w:val="00C3183A"/>
    <w:rsid w:val="00C33EC6"/>
    <w:rsid w:val="00C377DC"/>
    <w:rsid w:val="00C4523C"/>
    <w:rsid w:val="00C46575"/>
    <w:rsid w:val="00C6134D"/>
    <w:rsid w:val="00C71CB5"/>
    <w:rsid w:val="00C810E5"/>
    <w:rsid w:val="00C82D5E"/>
    <w:rsid w:val="00C841B4"/>
    <w:rsid w:val="00C8578F"/>
    <w:rsid w:val="00C868D7"/>
    <w:rsid w:val="00C87AC1"/>
    <w:rsid w:val="00C87C7B"/>
    <w:rsid w:val="00CA3C34"/>
    <w:rsid w:val="00CB12E9"/>
    <w:rsid w:val="00CD0A13"/>
    <w:rsid w:val="00CD1007"/>
    <w:rsid w:val="00CD1C14"/>
    <w:rsid w:val="00CD21C7"/>
    <w:rsid w:val="00CE0072"/>
    <w:rsid w:val="00D01065"/>
    <w:rsid w:val="00D01A15"/>
    <w:rsid w:val="00D046C3"/>
    <w:rsid w:val="00D05F8E"/>
    <w:rsid w:val="00D153D5"/>
    <w:rsid w:val="00D15887"/>
    <w:rsid w:val="00D17205"/>
    <w:rsid w:val="00D33414"/>
    <w:rsid w:val="00D353BB"/>
    <w:rsid w:val="00D3714F"/>
    <w:rsid w:val="00D4024C"/>
    <w:rsid w:val="00D50EF6"/>
    <w:rsid w:val="00D517E5"/>
    <w:rsid w:val="00D53399"/>
    <w:rsid w:val="00D65F2C"/>
    <w:rsid w:val="00D674FA"/>
    <w:rsid w:val="00D72A81"/>
    <w:rsid w:val="00D77B9F"/>
    <w:rsid w:val="00D80F6A"/>
    <w:rsid w:val="00D843E5"/>
    <w:rsid w:val="00D8791C"/>
    <w:rsid w:val="00D90103"/>
    <w:rsid w:val="00D93B20"/>
    <w:rsid w:val="00D96927"/>
    <w:rsid w:val="00DA479D"/>
    <w:rsid w:val="00DC1B2E"/>
    <w:rsid w:val="00DC44D0"/>
    <w:rsid w:val="00DD6AF5"/>
    <w:rsid w:val="00DE60D7"/>
    <w:rsid w:val="00DF225C"/>
    <w:rsid w:val="00DF7925"/>
    <w:rsid w:val="00E0774A"/>
    <w:rsid w:val="00E07A24"/>
    <w:rsid w:val="00E11584"/>
    <w:rsid w:val="00E1285C"/>
    <w:rsid w:val="00E25BE0"/>
    <w:rsid w:val="00E30400"/>
    <w:rsid w:val="00E32D9A"/>
    <w:rsid w:val="00E33273"/>
    <w:rsid w:val="00E3386F"/>
    <w:rsid w:val="00E36D20"/>
    <w:rsid w:val="00E41276"/>
    <w:rsid w:val="00E7033F"/>
    <w:rsid w:val="00E70ACF"/>
    <w:rsid w:val="00E72AA7"/>
    <w:rsid w:val="00E736FC"/>
    <w:rsid w:val="00E7622C"/>
    <w:rsid w:val="00E77F77"/>
    <w:rsid w:val="00E94777"/>
    <w:rsid w:val="00E94C8F"/>
    <w:rsid w:val="00EA0CEB"/>
    <w:rsid w:val="00EA1BBD"/>
    <w:rsid w:val="00EB2B72"/>
    <w:rsid w:val="00EB30A0"/>
    <w:rsid w:val="00EC14F5"/>
    <w:rsid w:val="00EC384A"/>
    <w:rsid w:val="00EC4AF6"/>
    <w:rsid w:val="00EC5D2B"/>
    <w:rsid w:val="00ED0A18"/>
    <w:rsid w:val="00ED2496"/>
    <w:rsid w:val="00ED66F5"/>
    <w:rsid w:val="00EE0965"/>
    <w:rsid w:val="00EE2271"/>
    <w:rsid w:val="00EE3D5F"/>
    <w:rsid w:val="00EE6CB4"/>
    <w:rsid w:val="00EF437B"/>
    <w:rsid w:val="00EF6104"/>
    <w:rsid w:val="00F12A54"/>
    <w:rsid w:val="00F22226"/>
    <w:rsid w:val="00F22CCB"/>
    <w:rsid w:val="00F311A0"/>
    <w:rsid w:val="00F55B46"/>
    <w:rsid w:val="00F57951"/>
    <w:rsid w:val="00F61D50"/>
    <w:rsid w:val="00F6653B"/>
    <w:rsid w:val="00F70A01"/>
    <w:rsid w:val="00F712F9"/>
    <w:rsid w:val="00F7383A"/>
    <w:rsid w:val="00F742D9"/>
    <w:rsid w:val="00F74E2A"/>
    <w:rsid w:val="00F75073"/>
    <w:rsid w:val="00F769D6"/>
    <w:rsid w:val="00F82973"/>
    <w:rsid w:val="00F85617"/>
    <w:rsid w:val="00F90C76"/>
    <w:rsid w:val="00F922B0"/>
    <w:rsid w:val="00FB715A"/>
    <w:rsid w:val="00FC01A7"/>
    <w:rsid w:val="00FC4CC5"/>
    <w:rsid w:val="00FD090F"/>
    <w:rsid w:val="00FD23B3"/>
    <w:rsid w:val="00FE17F9"/>
    <w:rsid w:val="00FE1D78"/>
    <w:rsid w:val="00FF0021"/>
    <w:rsid w:val="00FF4355"/>
    <w:rsid w:val="00FF5B5A"/>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1192AB"/>
  <w15:docId w15:val="{79847DBF-16CD-4306-AF3F-08E6F0630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74CB"/>
  </w:style>
  <w:style w:type="paragraph" w:styleId="Ttulo1">
    <w:name w:val="heading 1"/>
    <w:basedOn w:val="Normal"/>
    <w:link w:val="Ttulo1Car"/>
    <w:uiPriority w:val="9"/>
    <w:qFormat/>
    <w:rsid w:val="00560DA2"/>
    <w:pPr>
      <w:widowControl w:val="0"/>
      <w:autoSpaceDE w:val="0"/>
      <w:autoSpaceDN w:val="0"/>
      <w:spacing w:before="2"/>
      <w:ind w:left="102"/>
      <w:outlineLvl w:val="0"/>
    </w:pPr>
    <w:rPr>
      <w:rFonts w:ascii="Tahoma" w:eastAsia="Tahoma" w:hAnsi="Tahoma" w:cs="Tahoma"/>
      <w:b/>
      <w:bCs/>
      <w:sz w:val="22"/>
      <w:szCs w:val="22"/>
      <w:lang w:val="es-ES"/>
    </w:rPr>
  </w:style>
  <w:style w:type="paragraph" w:styleId="Ttulo2">
    <w:name w:val="heading 2"/>
    <w:basedOn w:val="Normal"/>
    <w:next w:val="Normal"/>
    <w:link w:val="Ttulo2Car"/>
    <w:uiPriority w:val="9"/>
    <w:semiHidden/>
    <w:unhideWhenUsed/>
    <w:qFormat/>
    <w:rsid w:val="00F85617"/>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7033F"/>
    <w:pPr>
      <w:tabs>
        <w:tab w:val="center" w:pos="4252"/>
        <w:tab w:val="right" w:pos="8504"/>
      </w:tabs>
    </w:pPr>
  </w:style>
  <w:style w:type="character" w:customStyle="1" w:styleId="EncabezadoCar">
    <w:name w:val="Encabezado Car"/>
    <w:basedOn w:val="Fuentedeprrafopredeter"/>
    <w:link w:val="Encabezado"/>
    <w:uiPriority w:val="99"/>
    <w:rsid w:val="00E7033F"/>
  </w:style>
  <w:style w:type="paragraph" w:styleId="Piedepgina">
    <w:name w:val="footer"/>
    <w:basedOn w:val="Normal"/>
    <w:link w:val="PiedepginaCar"/>
    <w:uiPriority w:val="99"/>
    <w:unhideWhenUsed/>
    <w:rsid w:val="00E7033F"/>
    <w:pPr>
      <w:tabs>
        <w:tab w:val="center" w:pos="4252"/>
        <w:tab w:val="right" w:pos="8504"/>
      </w:tabs>
    </w:pPr>
  </w:style>
  <w:style w:type="character" w:customStyle="1" w:styleId="PiedepginaCar">
    <w:name w:val="Pie de página Car"/>
    <w:basedOn w:val="Fuentedeprrafopredeter"/>
    <w:link w:val="Piedepgina"/>
    <w:uiPriority w:val="99"/>
    <w:rsid w:val="00E7033F"/>
  </w:style>
  <w:style w:type="paragraph" w:styleId="Prrafodelista">
    <w:name w:val="List Paragraph"/>
    <w:basedOn w:val="Normal"/>
    <w:uiPriority w:val="34"/>
    <w:qFormat/>
    <w:rsid w:val="0056078B"/>
    <w:pPr>
      <w:ind w:left="720"/>
      <w:contextualSpacing/>
    </w:pPr>
    <w:rPr>
      <w:lang w:val="es-CO"/>
    </w:rPr>
  </w:style>
  <w:style w:type="paragraph" w:styleId="Sinespaciado">
    <w:name w:val="No Spacing"/>
    <w:uiPriority w:val="1"/>
    <w:qFormat/>
    <w:rsid w:val="00B24630"/>
    <w:rPr>
      <w:sz w:val="22"/>
      <w:szCs w:val="22"/>
      <w:lang w:val="es-CO"/>
    </w:rPr>
  </w:style>
  <w:style w:type="character" w:styleId="Hipervnculo">
    <w:name w:val="Hyperlink"/>
    <w:basedOn w:val="Fuentedeprrafopredeter"/>
    <w:uiPriority w:val="99"/>
    <w:unhideWhenUsed/>
    <w:rsid w:val="006519B1"/>
    <w:rPr>
      <w:color w:val="0563C1" w:themeColor="hyperlink"/>
      <w:u w:val="single"/>
    </w:rPr>
  </w:style>
  <w:style w:type="character" w:customStyle="1" w:styleId="Mencinsinresolver1">
    <w:name w:val="Mención sin resolver1"/>
    <w:basedOn w:val="Fuentedeprrafopredeter"/>
    <w:uiPriority w:val="99"/>
    <w:semiHidden/>
    <w:unhideWhenUsed/>
    <w:rsid w:val="006519B1"/>
    <w:rPr>
      <w:color w:val="605E5C"/>
      <w:shd w:val="clear" w:color="auto" w:fill="E1DFDD"/>
    </w:rPr>
  </w:style>
  <w:style w:type="character" w:styleId="Refdecomentario">
    <w:name w:val="annotation reference"/>
    <w:basedOn w:val="Fuentedeprrafopredeter"/>
    <w:uiPriority w:val="99"/>
    <w:semiHidden/>
    <w:unhideWhenUsed/>
    <w:rsid w:val="00ED0A18"/>
    <w:rPr>
      <w:sz w:val="16"/>
      <w:szCs w:val="16"/>
    </w:rPr>
  </w:style>
  <w:style w:type="paragraph" w:styleId="Textocomentario">
    <w:name w:val="annotation text"/>
    <w:basedOn w:val="Normal"/>
    <w:link w:val="TextocomentarioCar"/>
    <w:uiPriority w:val="99"/>
    <w:semiHidden/>
    <w:unhideWhenUsed/>
    <w:rsid w:val="00ED0A18"/>
    <w:rPr>
      <w:sz w:val="20"/>
      <w:szCs w:val="20"/>
    </w:rPr>
  </w:style>
  <w:style w:type="character" w:customStyle="1" w:styleId="TextocomentarioCar">
    <w:name w:val="Texto comentario Car"/>
    <w:basedOn w:val="Fuentedeprrafopredeter"/>
    <w:link w:val="Textocomentario"/>
    <w:uiPriority w:val="99"/>
    <w:semiHidden/>
    <w:rsid w:val="00ED0A18"/>
    <w:rPr>
      <w:sz w:val="20"/>
      <w:szCs w:val="20"/>
    </w:rPr>
  </w:style>
  <w:style w:type="paragraph" w:styleId="Asuntodelcomentario">
    <w:name w:val="annotation subject"/>
    <w:basedOn w:val="Textocomentario"/>
    <w:next w:val="Textocomentario"/>
    <w:link w:val="AsuntodelcomentarioCar"/>
    <w:uiPriority w:val="99"/>
    <w:semiHidden/>
    <w:unhideWhenUsed/>
    <w:rsid w:val="00ED0A18"/>
    <w:rPr>
      <w:b/>
      <w:bCs/>
    </w:rPr>
  </w:style>
  <w:style w:type="character" w:customStyle="1" w:styleId="AsuntodelcomentarioCar">
    <w:name w:val="Asunto del comentario Car"/>
    <w:basedOn w:val="TextocomentarioCar"/>
    <w:link w:val="Asuntodelcomentario"/>
    <w:uiPriority w:val="99"/>
    <w:semiHidden/>
    <w:rsid w:val="00ED0A18"/>
    <w:rPr>
      <w:b/>
      <w:bCs/>
      <w:sz w:val="20"/>
      <w:szCs w:val="20"/>
    </w:rPr>
  </w:style>
  <w:style w:type="paragraph" w:styleId="Textodeglobo">
    <w:name w:val="Balloon Text"/>
    <w:basedOn w:val="Normal"/>
    <w:link w:val="TextodegloboCar"/>
    <w:uiPriority w:val="99"/>
    <w:semiHidden/>
    <w:unhideWhenUsed/>
    <w:rsid w:val="00430F5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30F5F"/>
    <w:rPr>
      <w:rFonts w:ascii="Segoe UI" w:hAnsi="Segoe UI" w:cs="Segoe UI"/>
      <w:sz w:val="18"/>
      <w:szCs w:val="18"/>
    </w:rPr>
  </w:style>
  <w:style w:type="paragraph" w:customStyle="1" w:styleId="Default">
    <w:name w:val="Default"/>
    <w:rsid w:val="00B55D96"/>
    <w:pPr>
      <w:autoSpaceDE w:val="0"/>
      <w:autoSpaceDN w:val="0"/>
      <w:adjustRightInd w:val="0"/>
    </w:pPr>
    <w:rPr>
      <w:rFonts w:ascii="Century Gothic" w:hAnsi="Century Gothic" w:cs="Century Gothic"/>
      <w:color w:val="000000"/>
      <w:lang w:val="es-CO"/>
    </w:rPr>
  </w:style>
  <w:style w:type="paragraph" w:styleId="NormalWeb">
    <w:name w:val="Normal (Web)"/>
    <w:basedOn w:val="Normal"/>
    <w:uiPriority w:val="99"/>
    <w:unhideWhenUsed/>
    <w:rsid w:val="00E70ACF"/>
    <w:rPr>
      <w:rFonts w:ascii="Calibri" w:hAnsi="Calibri" w:cs="Calibri"/>
      <w:sz w:val="22"/>
      <w:szCs w:val="22"/>
      <w:lang w:val="es-CO" w:eastAsia="es-CO"/>
    </w:rPr>
  </w:style>
  <w:style w:type="table" w:customStyle="1" w:styleId="TableNormal">
    <w:name w:val="Table Normal"/>
    <w:uiPriority w:val="2"/>
    <w:semiHidden/>
    <w:unhideWhenUsed/>
    <w:qFormat/>
    <w:rsid w:val="00476D39"/>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76D39"/>
    <w:pPr>
      <w:widowControl w:val="0"/>
      <w:autoSpaceDE w:val="0"/>
      <w:autoSpaceDN w:val="0"/>
      <w:spacing w:before="1" w:line="249" w:lineRule="exact"/>
      <w:ind w:left="110"/>
    </w:pPr>
    <w:rPr>
      <w:rFonts w:ascii="Tahoma" w:eastAsia="Tahoma" w:hAnsi="Tahoma" w:cs="Tahoma"/>
      <w:sz w:val="22"/>
      <w:szCs w:val="22"/>
      <w:lang w:val="es-ES"/>
    </w:rPr>
  </w:style>
  <w:style w:type="character" w:customStyle="1" w:styleId="Ttulo1Car">
    <w:name w:val="Título 1 Car"/>
    <w:basedOn w:val="Fuentedeprrafopredeter"/>
    <w:link w:val="Ttulo1"/>
    <w:uiPriority w:val="9"/>
    <w:rsid w:val="00560DA2"/>
    <w:rPr>
      <w:rFonts w:ascii="Tahoma" w:eastAsia="Tahoma" w:hAnsi="Tahoma" w:cs="Tahoma"/>
      <w:b/>
      <w:bCs/>
      <w:sz w:val="22"/>
      <w:szCs w:val="22"/>
      <w:lang w:val="es-ES"/>
    </w:rPr>
  </w:style>
  <w:style w:type="paragraph" w:styleId="Textoindependiente">
    <w:name w:val="Body Text"/>
    <w:basedOn w:val="Normal"/>
    <w:link w:val="TextoindependienteCar"/>
    <w:uiPriority w:val="1"/>
    <w:qFormat/>
    <w:rsid w:val="00560DA2"/>
    <w:pPr>
      <w:widowControl w:val="0"/>
      <w:autoSpaceDE w:val="0"/>
      <w:autoSpaceDN w:val="0"/>
    </w:pPr>
    <w:rPr>
      <w:rFonts w:ascii="Verdana" w:eastAsia="Verdana" w:hAnsi="Verdana" w:cs="Verdana"/>
      <w:sz w:val="22"/>
      <w:szCs w:val="22"/>
      <w:lang w:val="es-ES"/>
    </w:rPr>
  </w:style>
  <w:style w:type="character" w:customStyle="1" w:styleId="TextoindependienteCar">
    <w:name w:val="Texto independiente Car"/>
    <w:basedOn w:val="Fuentedeprrafopredeter"/>
    <w:link w:val="Textoindependiente"/>
    <w:uiPriority w:val="1"/>
    <w:rsid w:val="00560DA2"/>
    <w:rPr>
      <w:rFonts w:ascii="Verdana" w:eastAsia="Verdana" w:hAnsi="Verdana" w:cs="Verdana"/>
      <w:sz w:val="22"/>
      <w:szCs w:val="22"/>
      <w:lang w:val="es-ES"/>
    </w:rPr>
  </w:style>
  <w:style w:type="character" w:customStyle="1" w:styleId="DefaultFontHxMailStyle">
    <w:name w:val="Default Font HxMail Style"/>
    <w:basedOn w:val="Fuentedeprrafopredeter"/>
    <w:rsid w:val="008A7EEA"/>
    <w:rPr>
      <w:rFonts w:ascii="Century Gothic" w:hAnsi="Century Gothic" w:hint="default"/>
      <w:b w:val="0"/>
      <w:bCs w:val="0"/>
      <w:i w:val="0"/>
      <w:iCs w:val="0"/>
      <w:strike w:val="0"/>
      <w:dstrike w:val="0"/>
      <w:color w:val="auto"/>
      <w:u w:val="none"/>
      <w:effect w:val="none"/>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
    <w:basedOn w:val="Normal"/>
    <w:link w:val="TextonotapieCar"/>
    <w:unhideWhenUsed/>
    <w:qFormat/>
    <w:rsid w:val="00D8791C"/>
    <w:rPr>
      <w:sz w:val="20"/>
      <w:szCs w:val="20"/>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rsid w:val="00D8791C"/>
    <w:rPr>
      <w:sz w:val="20"/>
      <w:szCs w:val="20"/>
    </w:rPr>
  </w:style>
  <w:style w:type="character" w:styleId="Refdenotaalpie">
    <w:name w:val="footnote reference"/>
    <w:aliases w:val="Ref. de nota al pie 2,Texto de nota al pie,Appel note de bas de page,Footnotes refss,Footnote number,referencia nota al pie,BVI fnr,f,4_G,16 Point,Superscript 6 Point,Texto nota al pie,Texto de nota al pi,Pie de Página,FC,Pie de Pàgi"/>
    <w:basedOn w:val="Fuentedeprrafopredeter"/>
    <w:uiPriority w:val="99"/>
    <w:unhideWhenUsed/>
    <w:qFormat/>
    <w:rsid w:val="00D8791C"/>
    <w:rPr>
      <w:vertAlign w:val="superscript"/>
    </w:rPr>
  </w:style>
  <w:style w:type="character" w:customStyle="1" w:styleId="Ttulo2Car">
    <w:name w:val="Título 2 Car"/>
    <w:basedOn w:val="Fuentedeprrafopredeter"/>
    <w:link w:val="Ttulo2"/>
    <w:uiPriority w:val="9"/>
    <w:semiHidden/>
    <w:rsid w:val="00F85617"/>
    <w:rPr>
      <w:rFonts w:asciiTheme="majorHAnsi" w:eastAsiaTheme="majorEastAsia" w:hAnsiTheme="majorHAnsi" w:cstheme="majorBidi"/>
      <w:color w:val="2E74B5" w:themeColor="accent1" w:themeShade="BF"/>
      <w:sz w:val="26"/>
      <w:szCs w:val="26"/>
    </w:rPr>
  </w:style>
  <w:style w:type="character" w:styleId="Mencinsinresolver">
    <w:name w:val="Unresolved Mention"/>
    <w:basedOn w:val="Fuentedeprrafopredeter"/>
    <w:uiPriority w:val="99"/>
    <w:semiHidden/>
    <w:unhideWhenUsed/>
    <w:rsid w:val="00E077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19388">
      <w:bodyDiv w:val="1"/>
      <w:marLeft w:val="0"/>
      <w:marRight w:val="0"/>
      <w:marTop w:val="0"/>
      <w:marBottom w:val="0"/>
      <w:divBdr>
        <w:top w:val="none" w:sz="0" w:space="0" w:color="auto"/>
        <w:left w:val="none" w:sz="0" w:space="0" w:color="auto"/>
        <w:bottom w:val="none" w:sz="0" w:space="0" w:color="auto"/>
        <w:right w:val="none" w:sz="0" w:space="0" w:color="auto"/>
      </w:divBdr>
    </w:div>
    <w:div w:id="91557671">
      <w:bodyDiv w:val="1"/>
      <w:marLeft w:val="0"/>
      <w:marRight w:val="0"/>
      <w:marTop w:val="0"/>
      <w:marBottom w:val="0"/>
      <w:divBdr>
        <w:top w:val="none" w:sz="0" w:space="0" w:color="auto"/>
        <w:left w:val="none" w:sz="0" w:space="0" w:color="auto"/>
        <w:bottom w:val="none" w:sz="0" w:space="0" w:color="auto"/>
        <w:right w:val="none" w:sz="0" w:space="0" w:color="auto"/>
      </w:divBdr>
    </w:div>
    <w:div w:id="419524380">
      <w:bodyDiv w:val="1"/>
      <w:marLeft w:val="0"/>
      <w:marRight w:val="0"/>
      <w:marTop w:val="0"/>
      <w:marBottom w:val="0"/>
      <w:divBdr>
        <w:top w:val="none" w:sz="0" w:space="0" w:color="auto"/>
        <w:left w:val="none" w:sz="0" w:space="0" w:color="auto"/>
        <w:bottom w:val="none" w:sz="0" w:space="0" w:color="auto"/>
        <w:right w:val="none" w:sz="0" w:space="0" w:color="auto"/>
      </w:divBdr>
    </w:div>
    <w:div w:id="473526539">
      <w:bodyDiv w:val="1"/>
      <w:marLeft w:val="0"/>
      <w:marRight w:val="0"/>
      <w:marTop w:val="0"/>
      <w:marBottom w:val="0"/>
      <w:divBdr>
        <w:top w:val="none" w:sz="0" w:space="0" w:color="auto"/>
        <w:left w:val="none" w:sz="0" w:space="0" w:color="auto"/>
        <w:bottom w:val="none" w:sz="0" w:space="0" w:color="auto"/>
        <w:right w:val="none" w:sz="0" w:space="0" w:color="auto"/>
      </w:divBdr>
    </w:div>
    <w:div w:id="480854486">
      <w:bodyDiv w:val="1"/>
      <w:marLeft w:val="0"/>
      <w:marRight w:val="0"/>
      <w:marTop w:val="0"/>
      <w:marBottom w:val="0"/>
      <w:divBdr>
        <w:top w:val="none" w:sz="0" w:space="0" w:color="auto"/>
        <w:left w:val="none" w:sz="0" w:space="0" w:color="auto"/>
        <w:bottom w:val="none" w:sz="0" w:space="0" w:color="auto"/>
        <w:right w:val="none" w:sz="0" w:space="0" w:color="auto"/>
      </w:divBdr>
    </w:div>
    <w:div w:id="491680930">
      <w:bodyDiv w:val="1"/>
      <w:marLeft w:val="0"/>
      <w:marRight w:val="0"/>
      <w:marTop w:val="0"/>
      <w:marBottom w:val="0"/>
      <w:divBdr>
        <w:top w:val="none" w:sz="0" w:space="0" w:color="auto"/>
        <w:left w:val="none" w:sz="0" w:space="0" w:color="auto"/>
        <w:bottom w:val="none" w:sz="0" w:space="0" w:color="auto"/>
        <w:right w:val="none" w:sz="0" w:space="0" w:color="auto"/>
      </w:divBdr>
    </w:div>
    <w:div w:id="546260420">
      <w:bodyDiv w:val="1"/>
      <w:marLeft w:val="0"/>
      <w:marRight w:val="0"/>
      <w:marTop w:val="0"/>
      <w:marBottom w:val="0"/>
      <w:divBdr>
        <w:top w:val="none" w:sz="0" w:space="0" w:color="auto"/>
        <w:left w:val="none" w:sz="0" w:space="0" w:color="auto"/>
        <w:bottom w:val="none" w:sz="0" w:space="0" w:color="auto"/>
        <w:right w:val="none" w:sz="0" w:space="0" w:color="auto"/>
      </w:divBdr>
    </w:div>
    <w:div w:id="669720174">
      <w:bodyDiv w:val="1"/>
      <w:marLeft w:val="0"/>
      <w:marRight w:val="0"/>
      <w:marTop w:val="0"/>
      <w:marBottom w:val="0"/>
      <w:divBdr>
        <w:top w:val="none" w:sz="0" w:space="0" w:color="auto"/>
        <w:left w:val="none" w:sz="0" w:space="0" w:color="auto"/>
        <w:bottom w:val="none" w:sz="0" w:space="0" w:color="auto"/>
        <w:right w:val="none" w:sz="0" w:space="0" w:color="auto"/>
      </w:divBdr>
    </w:div>
    <w:div w:id="952904134">
      <w:bodyDiv w:val="1"/>
      <w:marLeft w:val="0"/>
      <w:marRight w:val="0"/>
      <w:marTop w:val="0"/>
      <w:marBottom w:val="0"/>
      <w:divBdr>
        <w:top w:val="none" w:sz="0" w:space="0" w:color="auto"/>
        <w:left w:val="none" w:sz="0" w:space="0" w:color="auto"/>
        <w:bottom w:val="none" w:sz="0" w:space="0" w:color="auto"/>
        <w:right w:val="none" w:sz="0" w:space="0" w:color="auto"/>
      </w:divBdr>
    </w:div>
    <w:div w:id="988558896">
      <w:bodyDiv w:val="1"/>
      <w:marLeft w:val="0"/>
      <w:marRight w:val="0"/>
      <w:marTop w:val="0"/>
      <w:marBottom w:val="0"/>
      <w:divBdr>
        <w:top w:val="none" w:sz="0" w:space="0" w:color="auto"/>
        <w:left w:val="none" w:sz="0" w:space="0" w:color="auto"/>
        <w:bottom w:val="none" w:sz="0" w:space="0" w:color="auto"/>
        <w:right w:val="none" w:sz="0" w:space="0" w:color="auto"/>
      </w:divBdr>
    </w:div>
    <w:div w:id="1022703245">
      <w:bodyDiv w:val="1"/>
      <w:marLeft w:val="0"/>
      <w:marRight w:val="0"/>
      <w:marTop w:val="0"/>
      <w:marBottom w:val="0"/>
      <w:divBdr>
        <w:top w:val="none" w:sz="0" w:space="0" w:color="auto"/>
        <w:left w:val="none" w:sz="0" w:space="0" w:color="auto"/>
        <w:bottom w:val="none" w:sz="0" w:space="0" w:color="auto"/>
        <w:right w:val="none" w:sz="0" w:space="0" w:color="auto"/>
      </w:divBdr>
    </w:div>
    <w:div w:id="1131903808">
      <w:bodyDiv w:val="1"/>
      <w:marLeft w:val="0"/>
      <w:marRight w:val="0"/>
      <w:marTop w:val="0"/>
      <w:marBottom w:val="0"/>
      <w:divBdr>
        <w:top w:val="none" w:sz="0" w:space="0" w:color="auto"/>
        <w:left w:val="none" w:sz="0" w:space="0" w:color="auto"/>
        <w:bottom w:val="none" w:sz="0" w:space="0" w:color="auto"/>
        <w:right w:val="none" w:sz="0" w:space="0" w:color="auto"/>
      </w:divBdr>
    </w:div>
    <w:div w:id="1141538339">
      <w:bodyDiv w:val="1"/>
      <w:marLeft w:val="0"/>
      <w:marRight w:val="0"/>
      <w:marTop w:val="0"/>
      <w:marBottom w:val="0"/>
      <w:divBdr>
        <w:top w:val="none" w:sz="0" w:space="0" w:color="auto"/>
        <w:left w:val="none" w:sz="0" w:space="0" w:color="auto"/>
        <w:bottom w:val="none" w:sz="0" w:space="0" w:color="auto"/>
        <w:right w:val="none" w:sz="0" w:space="0" w:color="auto"/>
      </w:divBdr>
    </w:div>
    <w:div w:id="1232423588">
      <w:bodyDiv w:val="1"/>
      <w:marLeft w:val="0"/>
      <w:marRight w:val="0"/>
      <w:marTop w:val="0"/>
      <w:marBottom w:val="0"/>
      <w:divBdr>
        <w:top w:val="none" w:sz="0" w:space="0" w:color="auto"/>
        <w:left w:val="none" w:sz="0" w:space="0" w:color="auto"/>
        <w:bottom w:val="none" w:sz="0" w:space="0" w:color="auto"/>
        <w:right w:val="none" w:sz="0" w:space="0" w:color="auto"/>
      </w:divBdr>
    </w:div>
    <w:div w:id="1278836229">
      <w:bodyDiv w:val="1"/>
      <w:marLeft w:val="0"/>
      <w:marRight w:val="0"/>
      <w:marTop w:val="0"/>
      <w:marBottom w:val="0"/>
      <w:divBdr>
        <w:top w:val="none" w:sz="0" w:space="0" w:color="auto"/>
        <w:left w:val="none" w:sz="0" w:space="0" w:color="auto"/>
        <w:bottom w:val="none" w:sz="0" w:space="0" w:color="auto"/>
        <w:right w:val="none" w:sz="0" w:space="0" w:color="auto"/>
      </w:divBdr>
    </w:div>
    <w:div w:id="1286961388">
      <w:bodyDiv w:val="1"/>
      <w:marLeft w:val="0"/>
      <w:marRight w:val="0"/>
      <w:marTop w:val="0"/>
      <w:marBottom w:val="0"/>
      <w:divBdr>
        <w:top w:val="none" w:sz="0" w:space="0" w:color="auto"/>
        <w:left w:val="none" w:sz="0" w:space="0" w:color="auto"/>
        <w:bottom w:val="none" w:sz="0" w:space="0" w:color="auto"/>
        <w:right w:val="none" w:sz="0" w:space="0" w:color="auto"/>
      </w:divBdr>
    </w:div>
    <w:div w:id="1450932509">
      <w:bodyDiv w:val="1"/>
      <w:marLeft w:val="0"/>
      <w:marRight w:val="0"/>
      <w:marTop w:val="0"/>
      <w:marBottom w:val="0"/>
      <w:divBdr>
        <w:top w:val="none" w:sz="0" w:space="0" w:color="auto"/>
        <w:left w:val="none" w:sz="0" w:space="0" w:color="auto"/>
        <w:bottom w:val="none" w:sz="0" w:space="0" w:color="auto"/>
        <w:right w:val="none" w:sz="0" w:space="0" w:color="auto"/>
      </w:divBdr>
    </w:div>
    <w:div w:id="1484815797">
      <w:bodyDiv w:val="1"/>
      <w:marLeft w:val="0"/>
      <w:marRight w:val="0"/>
      <w:marTop w:val="0"/>
      <w:marBottom w:val="0"/>
      <w:divBdr>
        <w:top w:val="none" w:sz="0" w:space="0" w:color="auto"/>
        <w:left w:val="none" w:sz="0" w:space="0" w:color="auto"/>
        <w:bottom w:val="none" w:sz="0" w:space="0" w:color="auto"/>
        <w:right w:val="none" w:sz="0" w:space="0" w:color="auto"/>
      </w:divBdr>
    </w:div>
    <w:div w:id="1492333045">
      <w:bodyDiv w:val="1"/>
      <w:marLeft w:val="0"/>
      <w:marRight w:val="0"/>
      <w:marTop w:val="0"/>
      <w:marBottom w:val="0"/>
      <w:divBdr>
        <w:top w:val="none" w:sz="0" w:space="0" w:color="auto"/>
        <w:left w:val="none" w:sz="0" w:space="0" w:color="auto"/>
        <w:bottom w:val="none" w:sz="0" w:space="0" w:color="auto"/>
        <w:right w:val="none" w:sz="0" w:space="0" w:color="auto"/>
      </w:divBdr>
    </w:div>
    <w:div w:id="1507669870">
      <w:bodyDiv w:val="1"/>
      <w:marLeft w:val="0"/>
      <w:marRight w:val="0"/>
      <w:marTop w:val="0"/>
      <w:marBottom w:val="0"/>
      <w:divBdr>
        <w:top w:val="none" w:sz="0" w:space="0" w:color="auto"/>
        <w:left w:val="none" w:sz="0" w:space="0" w:color="auto"/>
        <w:bottom w:val="none" w:sz="0" w:space="0" w:color="auto"/>
        <w:right w:val="none" w:sz="0" w:space="0" w:color="auto"/>
      </w:divBdr>
    </w:div>
    <w:div w:id="1522626607">
      <w:bodyDiv w:val="1"/>
      <w:marLeft w:val="0"/>
      <w:marRight w:val="0"/>
      <w:marTop w:val="0"/>
      <w:marBottom w:val="0"/>
      <w:divBdr>
        <w:top w:val="none" w:sz="0" w:space="0" w:color="auto"/>
        <w:left w:val="none" w:sz="0" w:space="0" w:color="auto"/>
        <w:bottom w:val="none" w:sz="0" w:space="0" w:color="auto"/>
        <w:right w:val="none" w:sz="0" w:space="0" w:color="auto"/>
      </w:divBdr>
    </w:div>
    <w:div w:id="1524173753">
      <w:bodyDiv w:val="1"/>
      <w:marLeft w:val="0"/>
      <w:marRight w:val="0"/>
      <w:marTop w:val="0"/>
      <w:marBottom w:val="0"/>
      <w:divBdr>
        <w:top w:val="none" w:sz="0" w:space="0" w:color="auto"/>
        <w:left w:val="none" w:sz="0" w:space="0" w:color="auto"/>
        <w:bottom w:val="none" w:sz="0" w:space="0" w:color="auto"/>
        <w:right w:val="none" w:sz="0" w:space="0" w:color="auto"/>
      </w:divBdr>
    </w:div>
    <w:div w:id="1810827271">
      <w:bodyDiv w:val="1"/>
      <w:marLeft w:val="0"/>
      <w:marRight w:val="0"/>
      <w:marTop w:val="0"/>
      <w:marBottom w:val="0"/>
      <w:divBdr>
        <w:top w:val="none" w:sz="0" w:space="0" w:color="auto"/>
        <w:left w:val="none" w:sz="0" w:space="0" w:color="auto"/>
        <w:bottom w:val="none" w:sz="0" w:space="0" w:color="auto"/>
        <w:right w:val="none" w:sz="0" w:space="0" w:color="auto"/>
      </w:divBdr>
    </w:div>
    <w:div w:id="1929147021">
      <w:bodyDiv w:val="1"/>
      <w:marLeft w:val="0"/>
      <w:marRight w:val="0"/>
      <w:marTop w:val="0"/>
      <w:marBottom w:val="0"/>
      <w:divBdr>
        <w:top w:val="none" w:sz="0" w:space="0" w:color="auto"/>
        <w:left w:val="none" w:sz="0" w:space="0" w:color="auto"/>
        <w:bottom w:val="none" w:sz="0" w:space="0" w:color="auto"/>
        <w:right w:val="none" w:sz="0" w:space="0" w:color="auto"/>
      </w:divBdr>
    </w:div>
    <w:div w:id="1951929558">
      <w:bodyDiv w:val="1"/>
      <w:marLeft w:val="0"/>
      <w:marRight w:val="0"/>
      <w:marTop w:val="0"/>
      <w:marBottom w:val="0"/>
      <w:divBdr>
        <w:top w:val="none" w:sz="0" w:space="0" w:color="auto"/>
        <w:left w:val="none" w:sz="0" w:space="0" w:color="auto"/>
        <w:bottom w:val="none" w:sz="0" w:space="0" w:color="auto"/>
        <w:right w:val="none" w:sz="0" w:space="0" w:color="auto"/>
      </w:divBdr>
    </w:div>
    <w:div w:id="2025089222">
      <w:bodyDiv w:val="1"/>
      <w:marLeft w:val="0"/>
      <w:marRight w:val="0"/>
      <w:marTop w:val="0"/>
      <w:marBottom w:val="0"/>
      <w:divBdr>
        <w:top w:val="none" w:sz="0" w:space="0" w:color="auto"/>
        <w:left w:val="none" w:sz="0" w:space="0" w:color="auto"/>
        <w:bottom w:val="none" w:sz="0" w:space="0" w:color="auto"/>
        <w:right w:val="none" w:sz="0" w:space="0" w:color="auto"/>
      </w:divBdr>
    </w:div>
    <w:div w:id="2056660740">
      <w:bodyDiv w:val="1"/>
      <w:marLeft w:val="0"/>
      <w:marRight w:val="0"/>
      <w:marTop w:val="0"/>
      <w:marBottom w:val="0"/>
      <w:divBdr>
        <w:top w:val="none" w:sz="0" w:space="0" w:color="auto"/>
        <w:left w:val="none" w:sz="0" w:space="0" w:color="auto"/>
        <w:bottom w:val="none" w:sz="0" w:space="0" w:color="auto"/>
        <w:right w:val="none" w:sz="0" w:space="0" w:color="auto"/>
      </w:divBdr>
    </w:div>
    <w:div w:id="2085030461">
      <w:bodyDiv w:val="1"/>
      <w:marLeft w:val="0"/>
      <w:marRight w:val="0"/>
      <w:marTop w:val="0"/>
      <w:marBottom w:val="0"/>
      <w:divBdr>
        <w:top w:val="none" w:sz="0" w:space="0" w:color="auto"/>
        <w:left w:val="none" w:sz="0" w:space="0" w:color="auto"/>
        <w:bottom w:val="none" w:sz="0" w:space="0" w:color="auto"/>
        <w:right w:val="none" w:sz="0" w:space="0" w:color="auto"/>
      </w:divBdr>
    </w:div>
    <w:div w:id="21109233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mailto:claudia.lastra@laequidadseguros.coop"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3.jpeg"/></Relationships>
</file>

<file path=word/_rels/header2.xml.rels><?xml version="1.0" encoding="UTF-8" standalone="yes"?>
<Relationships xmlns="http://schemas.openxmlformats.org/package/2006/relationships"><Relationship Id="rId1" Type="http://schemas.openxmlformats.org/officeDocument/2006/relationships/image" Target="media/image33.jpeg"/></Relationships>
</file>

<file path=word/_rels/header3.xml.rels><?xml version="1.0" encoding="UTF-8" standalone="yes"?>
<Relationships xmlns="http://schemas.openxmlformats.org/package/2006/relationships"><Relationship Id="rId1" Type="http://schemas.openxmlformats.org/officeDocument/2006/relationships/image" Target="media/image3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BA743A-3ABA-445A-829D-95E16B3A0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474</TotalTime>
  <Pages>37</Pages>
  <Words>9597</Words>
  <Characters>52785</Characters>
  <Application>Microsoft Office Word</Application>
  <DocSecurity>0</DocSecurity>
  <Lines>439</Lines>
  <Paragraphs>124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62258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Usuario de Microsoft Office</dc:creator>
  <cp:lastModifiedBy>Claudia Lastra</cp:lastModifiedBy>
  <cp:revision>176</cp:revision>
  <cp:lastPrinted>2024-01-18T22:50:00Z</cp:lastPrinted>
  <dcterms:created xsi:type="dcterms:W3CDTF">2024-01-19T15:42:00Z</dcterms:created>
  <dcterms:modified xsi:type="dcterms:W3CDTF">2025-02-20T22:33:00Z</dcterms:modified>
</cp:coreProperties>
</file>