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BA03" w14:textId="77777777" w:rsidR="00D20508" w:rsidRPr="00CE1795" w:rsidRDefault="00D20508" w:rsidP="005B4647">
      <w:pPr>
        <w:tabs>
          <w:tab w:val="left" w:pos="5626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CE1795">
        <w:rPr>
          <w:rFonts w:ascii="Arial" w:hAnsi="Arial" w:cs="Arial"/>
          <w:b/>
          <w:bCs/>
        </w:rPr>
        <w:t>INFORME INICIAL</w:t>
      </w:r>
    </w:p>
    <w:p w14:paraId="19E7EB72" w14:textId="77777777" w:rsidR="00D20508" w:rsidRPr="00CE1795" w:rsidRDefault="00D20508" w:rsidP="005B4647">
      <w:pPr>
        <w:tabs>
          <w:tab w:val="left" w:pos="5626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CE1795">
        <w:rPr>
          <w:rFonts w:ascii="Arial" w:hAnsi="Arial" w:cs="Arial"/>
          <w:b/>
          <w:bCs/>
        </w:rPr>
        <w:t>CALIFICACIÓN Y LIQUIDACIÓN DE CONTINGENCIA</w:t>
      </w:r>
    </w:p>
    <w:p w14:paraId="71402C88" w14:textId="3EDE36A5" w:rsidR="003E2B4A" w:rsidRPr="00CE1795" w:rsidRDefault="002F3D5F" w:rsidP="005B4647">
      <w:pPr>
        <w:spacing w:line="276" w:lineRule="auto"/>
        <w:jc w:val="center"/>
        <w:textAlignment w:val="baseline"/>
        <w:rPr>
          <w:rFonts w:ascii="Arial" w:eastAsia="Times New Roman" w:hAnsi="Arial" w:cs="Arial"/>
          <w:lang w:eastAsia="es-CO"/>
        </w:rPr>
      </w:pPr>
      <w:bookmarkStart w:id="0" w:name="x_x__Hlk196926127"/>
      <w:r w:rsidRPr="00CE1795">
        <w:rPr>
          <w:rFonts w:ascii="Arial" w:eastAsia="Times New Roman" w:hAnsi="Arial" w:cs="Arial"/>
          <w:i/>
          <w:iCs/>
          <w:bdr w:val="none" w:sz="0" w:space="0" w:color="auto" w:frame="1"/>
          <w:lang w:eastAsia="es-CO"/>
        </w:rPr>
        <w:t>ALLIANZ SEGUROS</w:t>
      </w:r>
      <w:r w:rsidR="003E2B4A" w:rsidRPr="00CE1795">
        <w:rPr>
          <w:rFonts w:ascii="Arial" w:eastAsia="Times New Roman" w:hAnsi="Arial" w:cs="Arial"/>
          <w:i/>
          <w:iCs/>
          <w:bdr w:val="none" w:sz="0" w:space="0" w:color="auto" w:frame="1"/>
          <w:lang w:eastAsia="es-CO"/>
        </w:rPr>
        <w:t xml:space="preserve"> S.A.</w:t>
      </w:r>
      <w:bookmarkEnd w:id="0"/>
    </w:p>
    <w:p w14:paraId="45F95F7B" w14:textId="77777777" w:rsidR="003E2B4A" w:rsidRPr="00CE1795" w:rsidRDefault="003E2B4A" w:rsidP="005B4647">
      <w:pPr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E1795">
        <w:rPr>
          <w:rFonts w:ascii="Arial" w:eastAsia="Times New Roman" w:hAnsi="Arial" w:cs="Arial"/>
          <w:lang w:eastAsia="es-CO"/>
        </w:rPr>
        <w:t> </w:t>
      </w:r>
    </w:p>
    <w:p w14:paraId="0AD0D81D" w14:textId="77777777" w:rsidR="003E2B4A" w:rsidRPr="00CE1795" w:rsidRDefault="003E2B4A" w:rsidP="005B4647">
      <w:pPr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E1795">
        <w:rPr>
          <w:rFonts w:ascii="Arial" w:eastAsia="Times New Roman" w:hAnsi="Arial" w:cs="Arial"/>
          <w:u w:val="single"/>
          <w:lang w:eastAsia="es-CO"/>
        </w:rPr>
        <w:t>IDENTIFICACIÓN DEL PROCESO</w:t>
      </w:r>
    </w:p>
    <w:p w14:paraId="08FF8FA1" w14:textId="77777777" w:rsidR="003E2B4A" w:rsidRPr="00CE1795" w:rsidRDefault="003E2B4A" w:rsidP="005B4647">
      <w:pPr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4F35C4B7" w14:textId="47FDFAC5" w:rsidR="003E2B4A" w:rsidRPr="00CE1795" w:rsidRDefault="003E2B4A" w:rsidP="005B4647">
      <w:pPr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E1795">
        <w:rPr>
          <w:rFonts w:ascii="Arial" w:eastAsia="Times New Roman" w:hAnsi="Arial" w:cs="Arial"/>
          <w:b/>
          <w:bCs/>
          <w:lang w:eastAsia="es-CO"/>
        </w:rPr>
        <w:t>Tipo de proceso: </w:t>
      </w:r>
      <w:r w:rsidR="00901E57" w:rsidRPr="00CE1795">
        <w:rPr>
          <w:rFonts w:ascii="Arial" w:eastAsia="Times New Roman" w:hAnsi="Arial" w:cs="Arial"/>
          <w:b/>
          <w:bCs/>
          <w:lang w:eastAsia="es-CO"/>
        </w:rPr>
        <w:tab/>
      </w:r>
      <w:r w:rsidR="00901E57" w:rsidRPr="00CE1795">
        <w:rPr>
          <w:rFonts w:ascii="Arial" w:eastAsia="Times New Roman" w:hAnsi="Arial" w:cs="Arial"/>
          <w:b/>
          <w:bCs/>
          <w:lang w:eastAsia="es-CO"/>
        </w:rPr>
        <w:tab/>
      </w:r>
      <w:r w:rsidR="002F3D5F" w:rsidRPr="00CE1795">
        <w:rPr>
          <w:rFonts w:ascii="Arial" w:eastAsia="Times New Roman" w:hAnsi="Arial" w:cs="Arial"/>
          <w:lang w:eastAsia="es-CO"/>
        </w:rPr>
        <w:t xml:space="preserve">Ejecutivo </w:t>
      </w:r>
    </w:p>
    <w:p w14:paraId="5CC88748" w14:textId="17B2B9B4" w:rsidR="003E2B4A" w:rsidRPr="00CE1795" w:rsidRDefault="003E2B4A" w:rsidP="005B4647">
      <w:pPr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E1795">
        <w:rPr>
          <w:rFonts w:ascii="Arial" w:eastAsia="Times New Roman" w:hAnsi="Arial" w:cs="Arial"/>
          <w:b/>
          <w:bCs/>
          <w:lang w:eastAsia="es-CO"/>
        </w:rPr>
        <w:t>Demandante: </w:t>
      </w:r>
      <w:r w:rsidR="00901E57" w:rsidRPr="00CE1795">
        <w:rPr>
          <w:rFonts w:ascii="Arial" w:eastAsia="Times New Roman" w:hAnsi="Arial" w:cs="Arial"/>
          <w:b/>
          <w:bCs/>
          <w:lang w:eastAsia="es-CO"/>
        </w:rPr>
        <w:tab/>
      </w:r>
      <w:r w:rsidR="00901E57" w:rsidRPr="00CE1795">
        <w:rPr>
          <w:rFonts w:ascii="Arial" w:eastAsia="Times New Roman" w:hAnsi="Arial" w:cs="Arial"/>
          <w:b/>
          <w:bCs/>
          <w:lang w:eastAsia="es-CO"/>
        </w:rPr>
        <w:tab/>
      </w:r>
      <w:r w:rsidR="00901E57" w:rsidRPr="00CE1795">
        <w:rPr>
          <w:rFonts w:ascii="Arial" w:eastAsia="Times New Roman" w:hAnsi="Arial" w:cs="Arial"/>
          <w:bdr w:val="none" w:sz="0" w:space="0" w:color="auto" w:frame="1"/>
          <w:lang w:eastAsia="es-CO"/>
        </w:rPr>
        <w:t>CAVV Abogados Consultores S.A.S.</w:t>
      </w:r>
    </w:p>
    <w:p w14:paraId="13FAB717" w14:textId="4791F3A0" w:rsidR="003E2B4A" w:rsidRPr="00CE1795" w:rsidRDefault="00901E57" w:rsidP="005B4647">
      <w:pPr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E1795">
        <w:rPr>
          <w:rFonts w:ascii="Arial" w:eastAsia="Times New Roman" w:hAnsi="Arial" w:cs="Arial"/>
          <w:b/>
          <w:bCs/>
          <w:lang w:eastAsia="es-CO"/>
        </w:rPr>
        <w:t>Demandado: </w:t>
      </w:r>
      <w:r w:rsidRPr="00CE1795">
        <w:rPr>
          <w:rFonts w:ascii="Arial" w:eastAsia="Times New Roman" w:hAnsi="Arial" w:cs="Arial"/>
          <w:b/>
          <w:bCs/>
          <w:lang w:eastAsia="es-CO"/>
        </w:rPr>
        <w:tab/>
      </w:r>
      <w:r w:rsidRPr="00CE1795">
        <w:rPr>
          <w:rFonts w:ascii="Arial" w:eastAsia="Times New Roman" w:hAnsi="Arial" w:cs="Arial"/>
          <w:b/>
          <w:bCs/>
          <w:lang w:eastAsia="es-CO"/>
        </w:rPr>
        <w:tab/>
      </w:r>
      <w:r w:rsidRPr="00CE1795">
        <w:rPr>
          <w:rFonts w:ascii="Arial" w:eastAsia="Times New Roman" w:hAnsi="Arial" w:cs="Arial"/>
          <w:b/>
          <w:bCs/>
          <w:lang w:eastAsia="es-CO"/>
        </w:rPr>
        <w:tab/>
      </w:r>
      <w:r w:rsidRPr="00CE1795">
        <w:rPr>
          <w:rFonts w:ascii="Arial" w:eastAsia="Times New Roman" w:hAnsi="Arial" w:cs="Arial"/>
          <w:lang w:eastAsia="es-CO"/>
        </w:rPr>
        <w:t>Allianz Seguros S.A.</w:t>
      </w:r>
    </w:p>
    <w:p w14:paraId="144EB058" w14:textId="1337B467" w:rsidR="003E2B4A" w:rsidRPr="00CE1795" w:rsidRDefault="003E2B4A" w:rsidP="009A7545">
      <w:pPr>
        <w:spacing w:line="276" w:lineRule="auto"/>
        <w:ind w:left="2832" w:hanging="2832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E1795">
        <w:rPr>
          <w:rFonts w:ascii="Arial" w:eastAsia="Times New Roman" w:hAnsi="Arial" w:cs="Arial"/>
          <w:b/>
          <w:bCs/>
          <w:lang w:eastAsia="es-CO"/>
        </w:rPr>
        <w:t>Juzgado: </w:t>
      </w:r>
      <w:r w:rsidR="00901E57" w:rsidRPr="00CE1795">
        <w:rPr>
          <w:rFonts w:ascii="Arial" w:eastAsia="Times New Roman" w:hAnsi="Arial" w:cs="Arial"/>
          <w:b/>
          <w:bCs/>
          <w:lang w:eastAsia="es-CO"/>
        </w:rPr>
        <w:tab/>
      </w:r>
      <w:r w:rsidRPr="00CE1795">
        <w:rPr>
          <w:rFonts w:ascii="Arial" w:eastAsia="Times New Roman" w:hAnsi="Arial" w:cs="Arial"/>
          <w:lang w:eastAsia="es-CO"/>
        </w:rPr>
        <w:t xml:space="preserve">Juzgado </w:t>
      </w:r>
      <w:r w:rsidR="009A7545" w:rsidRPr="00CE1795">
        <w:rPr>
          <w:rFonts w:ascii="Arial" w:eastAsia="Times New Roman" w:hAnsi="Arial" w:cs="Arial"/>
          <w:lang w:eastAsia="es-CO"/>
        </w:rPr>
        <w:t>82 Civil Municipal</w:t>
      </w:r>
      <w:r w:rsidR="00901E57" w:rsidRPr="00CE1795">
        <w:rPr>
          <w:rFonts w:ascii="Arial" w:eastAsia="Times New Roman" w:hAnsi="Arial" w:cs="Arial"/>
          <w:lang w:eastAsia="es-CO"/>
        </w:rPr>
        <w:t xml:space="preserve"> de </w:t>
      </w:r>
      <w:r w:rsidRPr="00CE1795">
        <w:rPr>
          <w:rFonts w:ascii="Arial" w:eastAsia="Times New Roman" w:hAnsi="Arial" w:cs="Arial"/>
          <w:lang w:eastAsia="es-CO"/>
        </w:rPr>
        <w:t>Bogotá</w:t>
      </w:r>
      <w:r w:rsidR="009A7545" w:rsidRPr="00CE1795">
        <w:rPr>
          <w:rFonts w:ascii="Arial" w:eastAsia="Times New Roman" w:hAnsi="Arial" w:cs="Arial"/>
          <w:lang w:eastAsia="es-CO"/>
        </w:rPr>
        <w:t xml:space="preserve"> (Transitoriamente Juzgado 64 de Pequeñas Causas y Competencias Múltiple de Bogotá)</w:t>
      </w:r>
    </w:p>
    <w:p w14:paraId="3A897FF0" w14:textId="77777777" w:rsidR="009A7545" w:rsidRPr="00CE1795" w:rsidRDefault="003E2B4A" w:rsidP="005B4647">
      <w:pPr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es-CO"/>
        </w:rPr>
      </w:pPr>
      <w:r w:rsidRPr="00CE1795">
        <w:rPr>
          <w:rFonts w:ascii="Arial" w:eastAsia="Times New Roman" w:hAnsi="Arial" w:cs="Arial"/>
          <w:b/>
          <w:bCs/>
          <w:lang w:eastAsia="es-CO"/>
        </w:rPr>
        <w:t>Radicado: </w:t>
      </w:r>
      <w:r w:rsidR="00901E57" w:rsidRPr="00CE1795">
        <w:rPr>
          <w:rFonts w:ascii="Arial" w:eastAsia="Times New Roman" w:hAnsi="Arial" w:cs="Arial"/>
          <w:b/>
          <w:bCs/>
          <w:lang w:eastAsia="es-CO"/>
        </w:rPr>
        <w:tab/>
      </w:r>
      <w:r w:rsidR="00901E57" w:rsidRPr="00CE1795">
        <w:rPr>
          <w:rFonts w:ascii="Arial" w:eastAsia="Times New Roman" w:hAnsi="Arial" w:cs="Arial"/>
          <w:b/>
          <w:bCs/>
          <w:lang w:eastAsia="es-CO"/>
        </w:rPr>
        <w:tab/>
      </w:r>
      <w:r w:rsidR="00901E57" w:rsidRPr="00CE1795">
        <w:rPr>
          <w:rFonts w:ascii="Arial" w:eastAsia="Times New Roman" w:hAnsi="Arial" w:cs="Arial"/>
          <w:b/>
          <w:bCs/>
          <w:lang w:eastAsia="es-CO"/>
        </w:rPr>
        <w:tab/>
      </w:r>
      <w:r w:rsidR="009A7545" w:rsidRPr="00CE1795">
        <w:rPr>
          <w:rFonts w:ascii="Arial" w:eastAsia="Times New Roman" w:hAnsi="Arial" w:cs="Arial"/>
          <w:b/>
          <w:bCs/>
          <w:lang w:eastAsia="es-CO"/>
        </w:rPr>
        <w:t>110014003082-2024-01451-00</w:t>
      </w:r>
    </w:p>
    <w:p w14:paraId="2728B47B" w14:textId="2A41D4B2" w:rsidR="003E2B4A" w:rsidRPr="00CE1795" w:rsidRDefault="003E2B4A" w:rsidP="005B4647">
      <w:pPr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E1795">
        <w:rPr>
          <w:rFonts w:ascii="Arial" w:eastAsia="Times New Roman" w:hAnsi="Arial" w:cs="Arial"/>
          <w:b/>
          <w:bCs/>
          <w:lang w:eastAsia="es-CO"/>
        </w:rPr>
        <w:t>Tipo de vinculación: </w:t>
      </w:r>
      <w:r w:rsidR="00901E57" w:rsidRPr="00CE1795">
        <w:rPr>
          <w:rFonts w:ascii="Arial" w:eastAsia="Times New Roman" w:hAnsi="Arial" w:cs="Arial"/>
          <w:b/>
          <w:bCs/>
          <w:lang w:eastAsia="es-CO"/>
        </w:rPr>
        <w:tab/>
      </w:r>
      <w:r w:rsidRPr="00CE1795">
        <w:rPr>
          <w:rFonts w:ascii="Arial" w:eastAsia="Times New Roman" w:hAnsi="Arial" w:cs="Arial"/>
          <w:lang w:eastAsia="es-CO"/>
        </w:rPr>
        <w:t>Demandado</w:t>
      </w:r>
    </w:p>
    <w:p w14:paraId="5FA0A1BB" w14:textId="77777777" w:rsidR="003E2B4A" w:rsidRPr="00CE1795" w:rsidRDefault="003E2B4A" w:rsidP="005B4647">
      <w:pPr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CE1795">
        <w:rPr>
          <w:rFonts w:ascii="Arial" w:eastAsia="Times New Roman" w:hAnsi="Arial" w:cs="Arial"/>
          <w:b/>
          <w:bCs/>
          <w:lang w:eastAsia="es-CO"/>
        </w:rPr>
        <w:t> </w:t>
      </w:r>
    </w:p>
    <w:p w14:paraId="306974FA" w14:textId="77777777" w:rsidR="003E2B4A" w:rsidRPr="006D147C" w:rsidRDefault="003E2B4A" w:rsidP="005B4647">
      <w:pPr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6D147C">
        <w:rPr>
          <w:rFonts w:ascii="Arial" w:eastAsia="Times New Roman" w:hAnsi="Arial" w:cs="Arial"/>
          <w:u w:val="single"/>
          <w:lang w:eastAsia="es-CO"/>
        </w:rPr>
        <w:t>HECHOS BREVES:</w:t>
      </w:r>
    </w:p>
    <w:p w14:paraId="58B95FD4" w14:textId="77777777" w:rsidR="003E2B4A" w:rsidRPr="006D147C" w:rsidRDefault="003E2B4A" w:rsidP="005B4647">
      <w:pPr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2B112D85" w14:textId="3121D45C" w:rsidR="00006661" w:rsidRPr="006D147C" w:rsidRDefault="00901E57" w:rsidP="005B4647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6D147C">
        <w:rPr>
          <w:rFonts w:ascii="Arial" w:eastAsia="Times New Roman" w:hAnsi="Arial" w:cs="Arial"/>
          <w:lang w:eastAsia="es-CO"/>
        </w:rPr>
        <w:t>La sociedad CAVV Abogados Consultores S.A.S.</w:t>
      </w:r>
      <w:r w:rsidR="00006661" w:rsidRPr="006D147C">
        <w:rPr>
          <w:rFonts w:ascii="Arial" w:eastAsia="Times New Roman" w:hAnsi="Arial" w:cs="Arial"/>
          <w:lang w:eastAsia="es-CO"/>
        </w:rPr>
        <w:t xml:space="preserve"> </w:t>
      </w:r>
      <w:r w:rsidRPr="006D147C">
        <w:rPr>
          <w:rFonts w:ascii="Arial" w:eastAsia="Times New Roman" w:hAnsi="Arial" w:cs="Arial"/>
          <w:lang w:eastAsia="es-CO"/>
        </w:rPr>
        <w:t xml:space="preserve">promovió proceso ejecutivo en contra de Allianz Seguros S.A, </w:t>
      </w:r>
      <w:r w:rsidR="00006661" w:rsidRPr="006D147C">
        <w:rPr>
          <w:rFonts w:ascii="Arial" w:eastAsia="Times New Roman" w:hAnsi="Arial" w:cs="Arial"/>
          <w:lang w:eastAsia="es-CO"/>
        </w:rPr>
        <w:t>en el cual se pretende el pago</w:t>
      </w:r>
      <w:r w:rsidR="00CE1795" w:rsidRPr="006D147C">
        <w:rPr>
          <w:rFonts w:ascii="Arial" w:eastAsia="Times New Roman" w:hAnsi="Arial" w:cs="Arial"/>
          <w:lang w:eastAsia="es-CO"/>
        </w:rPr>
        <w:t xml:space="preserve"> de cuatro (4) facturas 1564, 1565, 1566, 1586</w:t>
      </w:r>
      <w:r w:rsidR="00CE1795" w:rsidRPr="006D147C">
        <w:rPr>
          <w:rFonts w:ascii="Arial" w:hAnsi="Arial" w:cs="Arial"/>
        </w:rPr>
        <w:t xml:space="preserve">, </w:t>
      </w:r>
      <w:r w:rsidR="00006661" w:rsidRPr="006D147C">
        <w:rPr>
          <w:rFonts w:ascii="Arial" w:eastAsia="Times New Roman" w:hAnsi="Arial" w:cs="Arial"/>
          <w:lang w:eastAsia="es-CO"/>
        </w:rPr>
        <w:t>expedida</w:t>
      </w:r>
      <w:r w:rsidR="00CE1795" w:rsidRPr="006D147C">
        <w:rPr>
          <w:rFonts w:ascii="Arial" w:eastAsia="Times New Roman" w:hAnsi="Arial" w:cs="Arial"/>
          <w:lang w:eastAsia="es-CO"/>
        </w:rPr>
        <w:t>s</w:t>
      </w:r>
      <w:r w:rsidR="00006661" w:rsidRPr="006D147C">
        <w:rPr>
          <w:rFonts w:ascii="Arial" w:eastAsia="Times New Roman" w:hAnsi="Arial" w:cs="Arial"/>
          <w:lang w:eastAsia="es-CO"/>
        </w:rPr>
        <w:t xml:space="preserve"> con ocasión de la prestación de</w:t>
      </w:r>
      <w:r w:rsidR="00CE1795" w:rsidRPr="006D147C">
        <w:rPr>
          <w:rFonts w:ascii="Arial" w:eastAsia="Times New Roman" w:hAnsi="Arial" w:cs="Arial"/>
          <w:lang w:eastAsia="es-CO"/>
        </w:rPr>
        <w:t xml:space="preserve"> servicios</w:t>
      </w:r>
      <w:r w:rsidR="00006661" w:rsidRPr="006D147C">
        <w:rPr>
          <w:rFonts w:ascii="Arial" w:eastAsia="Times New Roman" w:hAnsi="Arial" w:cs="Arial"/>
          <w:lang w:eastAsia="es-CO"/>
        </w:rPr>
        <w:t xml:space="preserve"> derivados del ejercicio de la profesión de abogado, la</w:t>
      </w:r>
      <w:r w:rsidR="00CE1795" w:rsidRPr="006D147C">
        <w:rPr>
          <w:rFonts w:ascii="Arial" w:eastAsia="Times New Roman" w:hAnsi="Arial" w:cs="Arial"/>
          <w:lang w:eastAsia="es-CO"/>
        </w:rPr>
        <w:t xml:space="preserve">s cuales fueron radicadas el 11 de </w:t>
      </w:r>
      <w:r w:rsidR="006D147C" w:rsidRPr="006D147C">
        <w:rPr>
          <w:rFonts w:ascii="Arial" w:eastAsia="Times New Roman" w:hAnsi="Arial" w:cs="Arial"/>
          <w:lang w:eastAsia="es-CO"/>
        </w:rPr>
        <w:t>septiembre</w:t>
      </w:r>
      <w:r w:rsidR="00CE1795" w:rsidRPr="006D147C">
        <w:rPr>
          <w:rFonts w:ascii="Arial" w:eastAsia="Times New Roman" w:hAnsi="Arial" w:cs="Arial"/>
          <w:lang w:eastAsia="es-CO"/>
        </w:rPr>
        <w:t xml:space="preserve"> de 2021 las tres primeras facturas y el 16 de </w:t>
      </w:r>
      <w:r w:rsidR="006D147C" w:rsidRPr="006D147C">
        <w:rPr>
          <w:rFonts w:ascii="Arial" w:eastAsia="Times New Roman" w:hAnsi="Arial" w:cs="Arial"/>
          <w:lang w:eastAsia="es-CO"/>
        </w:rPr>
        <w:t>septiembre</w:t>
      </w:r>
      <w:r w:rsidR="00CE1795" w:rsidRPr="006D147C">
        <w:rPr>
          <w:rFonts w:ascii="Arial" w:eastAsia="Times New Roman" w:hAnsi="Arial" w:cs="Arial"/>
          <w:lang w:eastAsia="es-CO"/>
        </w:rPr>
        <w:t xml:space="preserve"> de 2021 la factura 1586, </w:t>
      </w:r>
      <w:r w:rsidR="00006661" w:rsidRPr="006D147C">
        <w:rPr>
          <w:rFonts w:ascii="Arial" w:eastAsia="Times New Roman" w:hAnsi="Arial" w:cs="Arial"/>
          <w:lang w:eastAsia="es-CO"/>
        </w:rPr>
        <w:t xml:space="preserve">sin </w:t>
      </w:r>
      <w:r w:rsidR="00CE1795" w:rsidRPr="006D147C">
        <w:rPr>
          <w:rFonts w:ascii="Arial" w:eastAsia="Times New Roman" w:hAnsi="Arial" w:cs="Arial"/>
          <w:lang w:eastAsia="es-CO"/>
        </w:rPr>
        <w:t>que fuesen</w:t>
      </w:r>
      <w:r w:rsidR="00006661" w:rsidRPr="006D147C">
        <w:rPr>
          <w:rFonts w:ascii="Arial" w:eastAsia="Times New Roman" w:hAnsi="Arial" w:cs="Arial"/>
          <w:lang w:eastAsia="es-CO"/>
        </w:rPr>
        <w:t xml:space="preserve"> objetada</w:t>
      </w:r>
      <w:r w:rsidR="00CE1795" w:rsidRPr="006D147C">
        <w:rPr>
          <w:rFonts w:ascii="Arial" w:eastAsia="Times New Roman" w:hAnsi="Arial" w:cs="Arial"/>
          <w:lang w:eastAsia="es-CO"/>
        </w:rPr>
        <w:t>s</w:t>
      </w:r>
      <w:r w:rsidR="00006661" w:rsidRPr="006D147C">
        <w:rPr>
          <w:rFonts w:ascii="Arial" w:eastAsia="Times New Roman" w:hAnsi="Arial" w:cs="Arial"/>
          <w:lang w:eastAsia="es-CO"/>
        </w:rPr>
        <w:t xml:space="preserve"> o pagada</w:t>
      </w:r>
      <w:r w:rsidR="00CE1795" w:rsidRPr="006D147C">
        <w:rPr>
          <w:rFonts w:ascii="Arial" w:eastAsia="Times New Roman" w:hAnsi="Arial" w:cs="Arial"/>
          <w:lang w:eastAsia="es-CO"/>
        </w:rPr>
        <w:t>s</w:t>
      </w:r>
      <w:r w:rsidR="00731C8D" w:rsidRPr="006D147C">
        <w:rPr>
          <w:rFonts w:ascii="Arial" w:eastAsia="Times New Roman" w:hAnsi="Arial" w:cs="Arial"/>
          <w:lang w:eastAsia="es-CO"/>
        </w:rPr>
        <w:t>, por lo que se solicita su ejecución.</w:t>
      </w:r>
    </w:p>
    <w:p w14:paraId="4D0C062E" w14:textId="77777777" w:rsidR="00006661" w:rsidRPr="006D147C" w:rsidRDefault="00006661" w:rsidP="005B4647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0131ECF7" w14:textId="7BDBE62D" w:rsidR="003E2B4A" w:rsidRPr="006D147C" w:rsidRDefault="00006661" w:rsidP="005B4647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6D147C">
        <w:rPr>
          <w:rFonts w:ascii="Arial" w:eastAsia="Times New Roman" w:hAnsi="Arial" w:cs="Arial"/>
          <w:lang w:eastAsia="es-CO"/>
        </w:rPr>
        <w:t xml:space="preserve">El despacho libró mandamiento de pago por $ </w:t>
      </w:r>
      <w:r w:rsidR="00CE1795" w:rsidRPr="006D147C">
        <w:rPr>
          <w:rFonts w:ascii="Arial" w:eastAsia="Times New Roman" w:hAnsi="Arial" w:cs="Arial"/>
          <w:lang w:eastAsia="es-CO"/>
        </w:rPr>
        <w:t xml:space="preserve">1.806.420 </w:t>
      </w:r>
      <w:r w:rsidRPr="006D147C">
        <w:rPr>
          <w:rFonts w:ascii="Arial" w:eastAsia="Times New Roman" w:hAnsi="Arial" w:cs="Arial"/>
          <w:lang w:eastAsia="es-CO"/>
        </w:rPr>
        <w:t xml:space="preserve">y sus intereses de mora desde el </w:t>
      </w:r>
      <w:r w:rsidR="006D147C" w:rsidRPr="006D147C">
        <w:rPr>
          <w:rFonts w:ascii="Arial" w:eastAsia="Times New Roman" w:hAnsi="Arial" w:cs="Arial"/>
          <w:lang w:eastAsia="es-CO"/>
        </w:rPr>
        <w:t xml:space="preserve">11 de octubre de 2021 las tres primeras facturas y el 16 de octubre de 2021 la factura 1586, </w:t>
      </w:r>
      <w:r w:rsidRPr="006D147C">
        <w:rPr>
          <w:rFonts w:ascii="Arial" w:eastAsia="Times New Roman" w:hAnsi="Arial" w:cs="Arial"/>
          <w:lang w:eastAsia="es-CO"/>
        </w:rPr>
        <w:t xml:space="preserve">hasta la verificación del pago. </w:t>
      </w:r>
    </w:p>
    <w:p w14:paraId="735C7287" w14:textId="77777777" w:rsidR="003E2B4A" w:rsidRPr="006D147C" w:rsidRDefault="003E2B4A" w:rsidP="005B4647">
      <w:pPr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6D147C">
        <w:rPr>
          <w:rFonts w:ascii="Arial" w:eastAsia="Times New Roman" w:hAnsi="Arial" w:cs="Arial"/>
          <w:lang w:eastAsia="es-CO"/>
        </w:rPr>
        <w:t> </w:t>
      </w:r>
    </w:p>
    <w:p w14:paraId="3CA2AB17" w14:textId="77777777" w:rsidR="003E2B4A" w:rsidRPr="006D147C" w:rsidRDefault="003E2B4A" w:rsidP="005B4647">
      <w:pPr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6D147C">
        <w:rPr>
          <w:rFonts w:ascii="Arial" w:eastAsia="Times New Roman" w:hAnsi="Arial" w:cs="Arial"/>
          <w:u w:val="single"/>
          <w:lang w:eastAsia="es-CO"/>
        </w:rPr>
        <w:t>PRETENSIONES:</w:t>
      </w:r>
    </w:p>
    <w:p w14:paraId="478A7516" w14:textId="77777777" w:rsidR="003E2B4A" w:rsidRPr="006D147C" w:rsidRDefault="003E2B4A" w:rsidP="005B4647">
      <w:pPr>
        <w:spacing w:line="276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0F199BF6" w14:textId="2D5ED00C" w:rsidR="00731C8D" w:rsidRPr="003F24F2" w:rsidRDefault="00731C8D" w:rsidP="005B4647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="Arial" w:hAnsi="Arial" w:cs="Arial"/>
        </w:rPr>
      </w:pPr>
      <w:r w:rsidRPr="006D147C">
        <w:rPr>
          <w:rFonts w:ascii="Arial" w:hAnsi="Arial" w:cs="Arial"/>
        </w:rPr>
        <w:t xml:space="preserve">Que se libre </w:t>
      </w:r>
      <w:r w:rsidRPr="003F24F2">
        <w:rPr>
          <w:rFonts w:ascii="Arial" w:hAnsi="Arial" w:cs="Arial"/>
        </w:rPr>
        <w:t xml:space="preserve">mandamiento de pago por </w:t>
      </w:r>
      <w:r w:rsidR="006D147C" w:rsidRPr="003F24F2">
        <w:rPr>
          <w:rFonts w:ascii="Arial" w:eastAsia="Times New Roman" w:hAnsi="Arial" w:cs="Arial"/>
          <w:lang w:eastAsia="es-CO"/>
        </w:rPr>
        <w:t xml:space="preserve">1.806.420 </w:t>
      </w:r>
      <w:r w:rsidRPr="003F24F2">
        <w:rPr>
          <w:rFonts w:ascii="Arial" w:hAnsi="Arial" w:cs="Arial"/>
        </w:rPr>
        <w:t>por concepto de capital</w:t>
      </w:r>
      <w:r w:rsidR="006D147C" w:rsidRPr="003F24F2">
        <w:rPr>
          <w:rFonts w:ascii="Arial" w:hAnsi="Arial" w:cs="Arial"/>
        </w:rPr>
        <w:t xml:space="preserve"> de las </w:t>
      </w:r>
      <w:r w:rsidR="006D147C" w:rsidRPr="003F24F2">
        <w:rPr>
          <w:rFonts w:ascii="Arial" w:eastAsia="Times New Roman" w:hAnsi="Arial" w:cs="Arial"/>
          <w:lang w:eastAsia="es-CO"/>
        </w:rPr>
        <w:t>cuatro (4) facturas 1564, 1565, 1566, 1586.</w:t>
      </w:r>
    </w:p>
    <w:p w14:paraId="3569DDCD" w14:textId="3C67CB78" w:rsidR="00731C8D" w:rsidRPr="003F24F2" w:rsidRDefault="00731C8D" w:rsidP="005B4647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="Arial" w:hAnsi="Arial" w:cs="Arial"/>
        </w:rPr>
      </w:pPr>
      <w:r w:rsidRPr="003F24F2">
        <w:rPr>
          <w:rFonts w:ascii="Arial" w:hAnsi="Arial" w:cs="Arial"/>
        </w:rPr>
        <w:t xml:space="preserve">Que se conde a pagar sus respectivos intereses moratorios desde el </w:t>
      </w:r>
      <w:r w:rsidR="006D147C" w:rsidRPr="003F24F2">
        <w:rPr>
          <w:rFonts w:ascii="Arial" w:hAnsi="Arial" w:cs="Arial"/>
        </w:rPr>
        <w:t>17 de octubre de 2021</w:t>
      </w:r>
    </w:p>
    <w:p w14:paraId="6AB2B6D2" w14:textId="67FAEF8D" w:rsidR="00731C8D" w:rsidRPr="003F24F2" w:rsidRDefault="00731C8D" w:rsidP="005B4647">
      <w:pPr>
        <w:pStyle w:val="Prrafodelista"/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="Arial" w:hAnsi="Arial" w:cs="Arial"/>
        </w:rPr>
      </w:pPr>
      <w:r w:rsidRPr="003F24F2">
        <w:rPr>
          <w:rFonts w:ascii="Arial" w:hAnsi="Arial" w:cs="Arial"/>
        </w:rPr>
        <w:t>Que se condene en costas y agencias en derecho</w:t>
      </w:r>
    </w:p>
    <w:p w14:paraId="57462F1B" w14:textId="77777777" w:rsidR="00D20508" w:rsidRPr="003F24F2" w:rsidRDefault="00D20508" w:rsidP="005B4647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lang w:val="es-CO" w:eastAsia="es-CO"/>
        </w:rPr>
      </w:pPr>
    </w:p>
    <w:p w14:paraId="3A89F74D" w14:textId="77777777" w:rsidR="00D20508" w:rsidRPr="003F24F2" w:rsidRDefault="00D20508" w:rsidP="005B4647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u w:val="single"/>
          <w:lang w:val="es-CO" w:eastAsia="es-CO"/>
        </w:rPr>
      </w:pPr>
      <w:r w:rsidRPr="003F24F2">
        <w:rPr>
          <w:rFonts w:ascii="Arial" w:eastAsia="Times New Roman" w:hAnsi="Arial" w:cs="Arial"/>
          <w:u w:val="single"/>
          <w:lang w:val="es-CO" w:eastAsia="es-CO"/>
        </w:rPr>
        <w:t>CALIFICACIÓN DE LA CONTINGENCIA:</w:t>
      </w:r>
    </w:p>
    <w:p w14:paraId="59E10C4E" w14:textId="77777777" w:rsidR="00D20508" w:rsidRPr="003F24F2" w:rsidRDefault="00D20508" w:rsidP="005B4647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</w:p>
    <w:p w14:paraId="29A1E32E" w14:textId="6C410278" w:rsidR="00D20508" w:rsidRPr="003F24F2" w:rsidRDefault="00D20508" w:rsidP="005B4647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  <w:r w:rsidRPr="003F24F2">
        <w:rPr>
          <w:rFonts w:ascii="Arial" w:eastAsia="Times New Roman" w:hAnsi="Arial" w:cs="Arial"/>
          <w:lang w:val="es-CO" w:eastAsia="es-CO"/>
        </w:rPr>
        <w:t xml:space="preserve">La contingencia se califica </w:t>
      </w:r>
      <w:r w:rsidR="004739B5" w:rsidRPr="003F24F2">
        <w:rPr>
          <w:rFonts w:ascii="Arial" w:eastAsia="Times New Roman" w:hAnsi="Arial" w:cs="Arial"/>
          <w:lang w:val="es-CO" w:eastAsia="es-CO"/>
        </w:rPr>
        <w:t>como PROABLE teniendo en cuenta que las facturas cumplen con los presupuestos de la facturación electrónica y hasta la fecha, no se cuenta con soporte de pago que extinga la obligación.</w:t>
      </w:r>
    </w:p>
    <w:p w14:paraId="7FEC36D9" w14:textId="77777777" w:rsidR="006D147C" w:rsidRPr="003F24F2" w:rsidRDefault="006D147C" w:rsidP="006D147C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lang w:val="es-CO" w:eastAsia="es-CO"/>
        </w:rPr>
      </w:pPr>
    </w:p>
    <w:p w14:paraId="2A0CAADD" w14:textId="3A9A6D72" w:rsidR="00731C8D" w:rsidRPr="003F24F2" w:rsidRDefault="006D147C" w:rsidP="006D147C">
      <w:pPr>
        <w:widowControl/>
        <w:autoSpaceDE/>
        <w:autoSpaceDN/>
        <w:spacing w:line="276" w:lineRule="auto"/>
        <w:jc w:val="both"/>
        <w:rPr>
          <w:rFonts w:ascii="Arial" w:hAnsi="Arial" w:cs="Arial"/>
        </w:rPr>
      </w:pPr>
      <w:r w:rsidRPr="003F24F2">
        <w:rPr>
          <w:rFonts w:ascii="Arial" w:eastAsia="Times New Roman" w:hAnsi="Arial" w:cs="Arial"/>
          <w:lang w:val="es-CO" w:eastAsia="es-CO"/>
        </w:rPr>
        <w:t xml:space="preserve">Lo </w:t>
      </w:r>
      <w:r w:rsidR="00D20508" w:rsidRPr="003F24F2">
        <w:rPr>
          <w:rFonts w:ascii="Arial" w:eastAsia="Times New Roman" w:hAnsi="Arial" w:cs="Arial"/>
          <w:lang w:eastAsia="es-CO"/>
        </w:rPr>
        <w:t>primero que debe tomarse en consideración</w:t>
      </w:r>
      <w:r w:rsidR="00901E57" w:rsidRPr="003F24F2">
        <w:rPr>
          <w:rFonts w:ascii="Arial" w:eastAsia="Times New Roman" w:hAnsi="Arial" w:cs="Arial"/>
          <w:lang w:eastAsia="es-CO"/>
        </w:rPr>
        <w:t xml:space="preserve"> es que </w:t>
      </w:r>
      <w:r w:rsidRPr="003F24F2">
        <w:rPr>
          <w:rFonts w:ascii="Arial" w:hAnsi="Arial" w:cs="Arial"/>
        </w:rPr>
        <w:t xml:space="preserve">las </w:t>
      </w:r>
      <w:r w:rsidRPr="003F24F2">
        <w:rPr>
          <w:rFonts w:ascii="Arial" w:eastAsia="Times New Roman" w:hAnsi="Arial" w:cs="Arial"/>
          <w:lang w:eastAsia="es-CO"/>
        </w:rPr>
        <w:t xml:space="preserve">cuatro (4) facturas 1564, 1565, 1566, 1586 </w:t>
      </w:r>
      <w:r w:rsidR="00901E57" w:rsidRPr="003F24F2">
        <w:rPr>
          <w:rFonts w:ascii="Arial" w:hAnsi="Arial" w:cs="Arial"/>
        </w:rPr>
        <w:t>presentada</w:t>
      </w:r>
      <w:r w:rsidRPr="003F24F2">
        <w:rPr>
          <w:rFonts w:ascii="Arial" w:hAnsi="Arial" w:cs="Arial"/>
        </w:rPr>
        <w:t>s</w:t>
      </w:r>
      <w:r w:rsidR="00901E57" w:rsidRPr="003F24F2">
        <w:rPr>
          <w:rFonts w:ascii="Arial" w:hAnsi="Arial" w:cs="Arial"/>
        </w:rPr>
        <w:t xml:space="preserve"> por CAVV Abogados Consultores S.A.S fue</w:t>
      </w:r>
      <w:r w:rsidR="00695678">
        <w:rPr>
          <w:rFonts w:ascii="Arial" w:hAnsi="Arial" w:cs="Arial"/>
        </w:rPr>
        <w:t>ron</w:t>
      </w:r>
      <w:r w:rsidR="00901E57" w:rsidRPr="003F24F2">
        <w:rPr>
          <w:rFonts w:ascii="Arial" w:hAnsi="Arial" w:cs="Arial"/>
        </w:rPr>
        <w:t xml:space="preserve"> radicada</w:t>
      </w:r>
      <w:r w:rsidR="00695678">
        <w:rPr>
          <w:rFonts w:ascii="Arial" w:hAnsi="Arial" w:cs="Arial"/>
        </w:rPr>
        <w:t>s</w:t>
      </w:r>
      <w:r w:rsidR="00901E57" w:rsidRPr="003F24F2">
        <w:rPr>
          <w:rFonts w:ascii="Arial" w:hAnsi="Arial" w:cs="Arial"/>
        </w:rPr>
        <w:t xml:space="preserve"> ante la aseguradora</w:t>
      </w:r>
      <w:r w:rsidR="00695678">
        <w:rPr>
          <w:rFonts w:ascii="Arial" w:hAnsi="Arial" w:cs="Arial"/>
        </w:rPr>
        <w:t>,</w:t>
      </w:r>
      <w:r w:rsidR="00901E57" w:rsidRPr="003F24F2">
        <w:rPr>
          <w:rFonts w:ascii="Arial" w:hAnsi="Arial" w:cs="Arial"/>
        </w:rPr>
        <w:t xml:space="preserve"> </w:t>
      </w:r>
      <w:r w:rsidR="00695678" w:rsidRPr="003F24F2">
        <w:rPr>
          <w:rFonts w:ascii="Arial" w:eastAsia="Times New Roman" w:hAnsi="Arial" w:cs="Arial"/>
          <w:lang w:eastAsia="es-CO"/>
        </w:rPr>
        <w:t xml:space="preserve">las tres primeras facturas </w:t>
      </w:r>
      <w:r w:rsidRPr="003F24F2">
        <w:rPr>
          <w:rFonts w:ascii="Arial" w:eastAsia="Times New Roman" w:hAnsi="Arial" w:cs="Arial"/>
          <w:lang w:eastAsia="es-CO"/>
        </w:rPr>
        <w:t>el 11 de septiembre de 2021 y</w:t>
      </w:r>
      <w:r w:rsidR="00695678">
        <w:rPr>
          <w:rFonts w:ascii="Arial" w:eastAsia="Times New Roman" w:hAnsi="Arial" w:cs="Arial"/>
          <w:lang w:eastAsia="es-CO"/>
        </w:rPr>
        <w:t>,</w:t>
      </w:r>
      <w:r w:rsidRPr="003F24F2">
        <w:rPr>
          <w:rFonts w:ascii="Arial" w:eastAsia="Times New Roman" w:hAnsi="Arial" w:cs="Arial"/>
          <w:lang w:eastAsia="es-CO"/>
        </w:rPr>
        <w:t xml:space="preserve"> el 16 de septiembre de 2021 la factura 1586</w:t>
      </w:r>
      <w:r w:rsidR="00695678">
        <w:rPr>
          <w:rFonts w:ascii="Arial" w:eastAsia="Times New Roman" w:hAnsi="Arial" w:cs="Arial"/>
          <w:lang w:eastAsia="es-CO"/>
        </w:rPr>
        <w:t xml:space="preserve">, </w:t>
      </w:r>
      <w:r w:rsidR="00901E57" w:rsidRPr="003F24F2">
        <w:rPr>
          <w:rFonts w:ascii="Arial" w:hAnsi="Arial" w:cs="Arial"/>
        </w:rPr>
        <w:t>sin ser objetada</w:t>
      </w:r>
      <w:r w:rsidR="00695678">
        <w:rPr>
          <w:rFonts w:ascii="Arial" w:hAnsi="Arial" w:cs="Arial"/>
        </w:rPr>
        <w:t>s</w:t>
      </w:r>
      <w:r w:rsidR="00901E57" w:rsidRPr="003F24F2">
        <w:rPr>
          <w:rFonts w:ascii="Arial" w:hAnsi="Arial" w:cs="Arial"/>
        </w:rPr>
        <w:t xml:space="preserve"> o pagada</w:t>
      </w:r>
      <w:r w:rsidR="00695678">
        <w:rPr>
          <w:rFonts w:ascii="Arial" w:hAnsi="Arial" w:cs="Arial"/>
        </w:rPr>
        <w:t>s</w:t>
      </w:r>
      <w:r w:rsidR="00901E57" w:rsidRPr="003F24F2">
        <w:rPr>
          <w:rFonts w:ascii="Arial" w:hAnsi="Arial" w:cs="Arial"/>
        </w:rPr>
        <w:t>. Dicha</w:t>
      </w:r>
      <w:r w:rsidRPr="003F24F2">
        <w:rPr>
          <w:rFonts w:ascii="Arial" w:hAnsi="Arial" w:cs="Arial"/>
        </w:rPr>
        <w:t>s</w:t>
      </w:r>
      <w:r w:rsidR="00901E57" w:rsidRPr="003F24F2">
        <w:rPr>
          <w:rFonts w:ascii="Arial" w:hAnsi="Arial" w:cs="Arial"/>
        </w:rPr>
        <w:t xml:space="preserve"> factura</w:t>
      </w:r>
      <w:r w:rsidRPr="003F24F2">
        <w:rPr>
          <w:rFonts w:ascii="Arial" w:hAnsi="Arial" w:cs="Arial"/>
        </w:rPr>
        <w:t>s</w:t>
      </w:r>
      <w:r w:rsidR="00F51C9A" w:rsidRPr="003F24F2">
        <w:rPr>
          <w:rFonts w:ascii="Arial" w:hAnsi="Arial" w:cs="Arial"/>
        </w:rPr>
        <w:t xml:space="preserve"> cumplen con </w:t>
      </w:r>
      <w:r w:rsidR="00901E57" w:rsidRPr="003F24F2">
        <w:rPr>
          <w:rFonts w:ascii="Arial" w:hAnsi="Arial" w:cs="Arial"/>
        </w:rPr>
        <w:t xml:space="preserve">los requisitos establecidos tanto en el Código de </w:t>
      </w:r>
      <w:r w:rsidR="00901E57" w:rsidRPr="003F24F2">
        <w:rPr>
          <w:rFonts w:ascii="Arial" w:hAnsi="Arial" w:cs="Arial"/>
        </w:rPr>
        <w:lastRenderedPageBreak/>
        <w:t xml:space="preserve">Comercio y el Estatuto Tributario; además, </w:t>
      </w:r>
      <w:r w:rsidR="00695678">
        <w:rPr>
          <w:rFonts w:ascii="Arial" w:hAnsi="Arial" w:cs="Arial"/>
        </w:rPr>
        <w:t>son claras</w:t>
      </w:r>
      <w:r w:rsidR="00901E57" w:rsidRPr="003F24F2">
        <w:rPr>
          <w:rFonts w:ascii="Arial" w:hAnsi="Arial" w:cs="Arial"/>
        </w:rPr>
        <w:t xml:space="preserve"> por cuanto contiene</w:t>
      </w:r>
      <w:r w:rsidR="00494DD8">
        <w:rPr>
          <w:rFonts w:ascii="Arial" w:hAnsi="Arial" w:cs="Arial"/>
        </w:rPr>
        <w:t>n</w:t>
      </w:r>
      <w:r w:rsidR="00901E57" w:rsidRPr="003F24F2">
        <w:rPr>
          <w:rFonts w:ascii="Arial" w:hAnsi="Arial" w:cs="Arial"/>
        </w:rPr>
        <w:t xml:space="preserve"> una obligación inequívoca a favor de CAVV Abogados Consultores S.A.S, que debió ser cumplida por Allianz Seguros S.A. como receptor. Por otro lado, </w:t>
      </w:r>
      <w:r w:rsidR="00695678">
        <w:rPr>
          <w:rFonts w:ascii="Arial" w:hAnsi="Arial" w:cs="Arial"/>
        </w:rPr>
        <w:t>son</w:t>
      </w:r>
      <w:r w:rsidR="00901E57" w:rsidRPr="003F24F2">
        <w:rPr>
          <w:rFonts w:ascii="Arial" w:hAnsi="Arial" w:cs="Arial"/>
        </w:rPr>
        <w:t xml:space="preserve"> expresa</w:t>
      </w:r>
      <w:r w:rsidR="00695678">
        <w:rPr>
          <w:rFonts w:ascii="Arial" w:hAnsi="Arial" w:cs="Arial"/>
        </w:rPr>
        <w:t>s de</w:t>
      </w:r>
      <w:r w:rsidR="00901E57" w:rsidRPr="003F24F2">
        <w:rPr>
          <w:rFonts w:ascii="Arial" w:hAnsi="Arial" w:cs="Arial"/>
        </w:rPr>
        <w:t xml:space="preserve"> la acreencia contenida en la</w:t>
      </w:r>
      <w:r w:rsidR="00695678">
        <w:rPr>
          <w:rFonts w:ascii="Arial" w:hAnsi="Arial" w:cs="Arial"/>
        </w:rPr>
        <w:t>s</w:t>
      </w:r>
      <w:r w:rsidR="00901E57" w:rsidRPr="003F24F2">
        <w:rPr>
          <w:rFonts w:ascii="Arial" w:hAnsi="Arial" w:cs="Arial"/>
        </w:rPr>
        <w:t xml:space="preserve"> misma</w:t>
      </w:r>
      <w:r w:rsidR="00695678">
        <w:rPr>
          <w:rFonts w:ascii="Arial" w:hAnsi="Arial" w:cs="Arial"/>
        </w:rPr>
        <w:t>s</w:t>
      </w:r>
      <w:r w:rsidR="00901E57" w:rsidRPr="003F24F2">
        <w:rPr>
          <w:rFonts w:ascii="Arial" w:hAnsi="Arial" w:cs="Arial"/>
        </w:rPr>
        <w:t>, así como también a la parte acreedora y deudora, de modo que satisface</w:t>
      </w:r>
      <w:r w:rsidR="00695678">
        <w:rPr>
          <w:rFonts w:ascii="Arial" w:hAnsi="Arial" w:cs="Arial"/>
        </w:rPr>
        <w:t>n</w:t>
      </w:r>
      <w:r w:rsidR="00901E57" w:rsidRPr="003F24F2">
        <w:rPr>
          <w:rFonts w:ascii="Arial" w:hAnsi="Arial" w:cs="Arial"/>
        </w:rPr>
        <w:t xml:space="preserve"> </w:t>
      </w:r>
      <w:r w:rsidR="00731C8D" w:rsidRPr="003F24F2">
        <w:rPr>
          <w:rFonts w:ascii="Arial" w:hAnsi="Arial" w:cs="Arial"/>
        </w:rPr>
        <w:t xml:space="preserve">la normativa vigente y la jurisprudencia aplicable (sentencia STC11618-2023 de 27 de octubre de 2023 Radicación </w:t>
      </w:r>
      <w:proofErr w:type="spellStart"/>
      <w:r w:rsidR="00731C8D" w:rsidRPr="003F24F2">
        <w:rPr>
          <w:rFonts w:ascii="Arial" w:hAnsi="Arial" w:cs="Arial"/>
        </w:rPr>
        <w:t>nº</w:t>
      </w:r>
      <w:proofErr w:type="spellEnd"/>
      <w:r w:rsidR="00731C8D" w:rsidRPr="003F24F2">
        <w:rPr>
          <w:rFonts w:ascii="Arial" w:hAnsi="Arial" w:cs="Arial"/>
        </w:rPr>
        <w:t xml:space="preserve"> 05000-22-03-000-2023-00087-01 M.P., </w:t>
      </w:r>
      <w:proofErr w:type="spellStart"/>
      <w:r w:rsidR="00731C8D" w:rsidRPr="003F24F2">
        <w:rPr>
          <w:rFonts w:ascii="Arial" w:hAnsi="Arial" w:cs="Arial"/>
        </w:rPr>
        <w:t>Dr</w:t>
      </w:r>
      <w:proofErr w:type="spellEnd"/>
      <w:r w:rsidR="00731C8D" w:rsidRPr="003F24F2">
        <w:rPr>
          <w:rFonts w:ascii="Arial" w:hAnsi="Arial" w:cs="Arial"/>
        </w:rPr>
        <w:t xml:space="preserve"> OCTAVIO AUGUSTO TEJEIRO DUQUE) para acreditar la existencia, cuantía y exigibilidad de la obligación. En ese orden, </w:t>
      </w:r>
      <w:r w:rsidR="00695678">
        <w:rPr>
          <w:rFonts w:ascii="Arial" w:hAnsi="Arial" w:cs="Arial"/>
        </w:rPr>
        <w:t xml:space="preserve">las cuatro facturas </w:t>
      </w:r>
      <w:r w:rsidR="00731C8D" w:rsidRPr="003F24F2">
        <w:rPr>
          <w:rFonts w:ascii="Arial" w:hAnsi="Arial" w:cs="Arial"/>
        </w:rPr>
        <w:t>cumplen con los requisitos establecidos</w:t>
      </w:r>
      <w:r w:rsidR="00F652B5" w:rsidRPr="003F24F2">
        <w:rPr>
          <w:rFonts w:ascii="Arial" w:hAnsi="Arial" w:cs="Arial"/>
        </w:rPr>
        <w:t xml:space="preserve"> tanto en el Código de Comercio y el Estatuto Tributario; y </w:t>
      </w:r>
      <w:r w:rsidR="00494DD8">
        <w:rPr>
          <w:rFonts w:ascii="Arial" w:hAnsi="Arial" w:cs="Arial"/>
        </w:rPr>
        <w:t>han transcurrido las fechas de vencimiento establecidas en cada una</w:t>
      </w:r>
      <w:r w:rsidR="00F652B5" w:rsidRPr="003F24F2">
        <w:rPr>
          <w:rFonts w:ascii="Arial" w:hAnsi="Arial" w:cs="Arial"/>
        </w:rPr>
        <w:t xml:space="preserve">, </w:t>
      </w:r>
      <w:r w:rsidR="00494DD8">
        <w:rPr>
          <w:rFonts w:ascii="Arial" w:hAnsi="Arial" w:cs="Arial"/>
        </w:rPr>
        <w:t xml:space="preserve">sin contarse </w:t>
      </w:r>
      <w:r w:rsidR="00F652B5" w:rsidRPr="003F24F2">
        <w:rPr>
          <w:rFonts w:ascii="Arial" w:hAnsi="Arial" w:cs="Arial"/>
        </w:rPr>
        <w:t>con soporte de pago que extinga la obligación, además, la</w:t>
      </w:r>
      <w:r w:rsidR="00695678">
        <w:rPr>
          <w:rFonts w:ascii="Arial" w:hAnsi="Arial" w:cs="Arial"/>
        </w:rPr>
        <w:t>s</w:t>
      </w:r>
      <w:r w:rsidR="00F652B5" w:rsidRPr="003F24F2">
        <w:rPr>
          <w:rFonts w:ascii="Arial" w:hAnsi="Arial" w:cs="Arial"/>
        </w:rPr>
        <w:t xml:space="preserve"> misma</w:t>
      </w:r>
      <w:r w:rsidR="00695678">
        <w:rPr>
          <w:rFonts w:ascii="Arial" w:hAnsi="Arial" w:cs="Arial"/>
        </w:rPr>
        <w:t>s</w:t>
      </w:r>
      <w:r w:rsidR="00F652B5" w:rsidRPr="003F24F2">
        <w:rPr>
          <w:rFonts w:ascii="Arial" w:hAnsi="Arial" w:cs="Arial"/>
        </w:rPr>
        <w:t xml:space="preserve"> fue</w:t>
      </w:r>
      <w:r w:rsidR="00695678">
        <w:rPr>
          <w:rFonts w:ascii="Arial" w:hAnsi="Arial" w:cs="Arial"/>
        </w:rPr>
        <w:t>ron</w:t>
      </w:r>
      <w:r w:rsidR="00F652B5" w:rsidRPr="003F24F2">
        <w:rPr>
          <w:rFonts w:ascii="Arial" w:hAnsi="Arial" w:cs="Arial"/>
        </w:rPr>
        <w:t xml:space="preserve"> debidamente cargada</w:t>
      </w:r>
      <w:r w:rsidR="00695678">
        <w:rPr>
          <w:rFonts w:ascii="Arial" w:hAnsi="Arial" w:cs="Arial"/>
        </w:rPr>
        <w:t>s</w:t>
      </w:r>
      <w:r w:rsidR="00F652B5" w:rsidRPr="003F24F2">
        <w:rPr>
          <w:rFonts w:ascii="Arial" w:hAnsi="Arial" w:cs="Arial"/>
        </w:rPr>
        <w:t xml:space="preserve"> en la plataforma RADIAN, por lo que </w:t>
      </w:r>
      <w:r w:rsidR="00695678">
        <w:rPr>
          <w:rFonts w:ascii="Arial" w:hAnsi="Arial" w:cs="Arial"/>
        </w:rPr>
        <w:t>son</w:t>
      </w:r>
      <w:r w:rsidR="00F652B5" w:rsidRPr="003F24F2">
        <w:rPr>
          <w:rFonts w:ascii="Arial" w:hAnsi="Arial" w:cs="Arial"/>
        </w:rPr>
        <w:t xml:space="preserve"> apta</w:t>
      </w:r>
      <w:r w:rsidR="00695678">
        <w:rPr>
          <w:rFonts w:ascii="Arial" w:hAnsi="Arial" w:cs="Arial"/>
        </w:rPr>
        <w:t>s</w:t>
      </w:r>
      <w:r w:rsidR="00F652B5" w:rsidRPr="003F24F2">
        <w:rPr>
          <w:rFonts w:ascii="Arial" w:hAnsi="Arial" w:cs="Arial"/>
        </w:rPr>
        <w:t xml:space="preserve"> para</w:t>
      </w:r>
      <w:r w:rsidR="00731C8D" w:rsidRPr="003F24F2">
        <w:rPr>
          <w:rFonts w:ascii="Arial" w:hAnsi="Arial" w:cs="Arial"/>
        </w:rPr>
        <w:t xml:space="preserve"> constituir título ejecutivo </w:t>
      </w:r>
      <w:r w:rsidR="00901E57" w:rsidRPr="003F24F2">
        <w:rPr>
          <w:rFonts w:ascii="Arial" w:hAnsi="Arial" w:cs="Arial"/>
        </w:rPr>
        <w:t>exigible</w:t>
      </w:r>
      <w:r w:rsidR="00731C8D" w:rsidRPr="003F24F2">
        <w:rPr>
          <w:rFonts w:ascii="Arial" w:hAnsi="Arial" w:cs="Arial"/>
        </w:rPr>
        <w:t xml:space="preserve"> en los términos del artículo 422 del Código General del Proceso.</w:t>
      </w:r>
    </w:p>
    <w:p w14:paraId="5CE2A47B" w14:textId="77777777" w:rsidR="003E2B4A" w:rsidRPr="003F24F2" w:rsidRDefault="003E2B4A" w:rsidP="005B4647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</w:p>
    <w:p w14:paraId="7DCCEC54" w14:textId="7E69730D" w:rsidR="003E2B4A" w:rsidRPr="003F24F2" w:rsidRDefault="003E2B4A" w:rsidP="005B4647">
      <w:pPr>
        <w:widowControl/>
        <w:autoSpaceDE/>
        <w:autoSpaceDN/>
        <w:spacing w:line="276" w:lineRule="auto"/>
        <w:jc w:val="both"/>
        <w:rPr>
          <w:rFonts w:ascii="Arial" w:eastAsia="Arial" w:hAnsi="Arial" w:cs="Arial"/>
          <w:lang w:eastAsia="es-CO"/>
        </w:rPr>
      </w:pPr>
      <w:r w:rsidRPr="003F24F2">
        <w:rPr>
          <w:rFonts w:ascii="Arial" w:eastAsia="Times New Roman" w:hAnsi="Arial" w:cs="Arial"/>
          <w:lang w:val="es-CO" w:eastAsia="es-CO"/>
        </w:rPr>
        <w:t>Frente a la obligación de pago de la compañía, debe decirse que en este caso</w:t>
      </w:r>
      <w:r w:rsidR="004739B5" w:rsidRPr="003F24F2">
        <w:rPr>
          <w:rFonts w:ascii="Arial" w:eastAsia="Times New Roman" w:hAnsi="Arial" w:cs="Arial"/>
          <w:lang w:val="es-CO" w:eastAsia="es-CO"/>
        </w:rPr>
        <w:t xml:space="preserve"> no</w:t>
      </w:r>
      <w:r w:rsidRPr="003F24F2">
        <w:rPr>
          <w:rFonts w:ascii="Arial" w:eastAsia="Times New Roman" w:hAnsi="Arial" w:cs="Arial"/>
          <w:lang w:val="es-CO" w:eastAsia="es-CO"/>
        </w:rPr>
        <w:t xml:space="preserve"> se encuentra acreditada la prescripción de la acción </w:t>
      </w:r>
      <w:r w:rsidR="00F652B5" w:rsidRPr="003F24F2">
        <w:rPr>
          <w:rFonts w:ascii="Arial" w:eastAsia="Times New Roman" w:hAnsi="Arial" w:cs="Arial"/>
          <w:lang w:val="es-CO" w:eastAsia="es-CO"/>
        </w:rPr>
        <w:t xml:space="preserve">cambiara del artículo 779 y 789 del Código de comercio. </w:t>
      </w:r>
      <w:r w:rsidRPr="003F24F2">
        <w:rPr>
          <w:rFonts w:ascii="Arial" w:eastAsia="Times New Roman" w:hAnsi="Arial" w:cs="Arial"/>
          <w:lang w:val="es-CO" w:eastAsia="es-CO"/>
        </w:rPr>
        <w:t xml:space="preserve">Lo anterior, considerando que la parte demandante contaba con el término de </w:t>
      </w:r>
      <w:r w:rsidR="00F652B5" w:rsidRPr="003F24F2">
        <w:rPr>
          <w:rFonts w:ascii="Arial" w:eastAsia="Times New Roman" w:hAnsi="Arial" w:cs="Arial"/>
          <w:lang w:val="es-CO" w:eastAsia="es-CO"/>
        </w:rPr>
        <w:t>tres</w:t>
      </w:r>
      <w:r w:rsidRPr="003F24F2">
        <w:rPr>
          <w:rFonts w:ascii="Arial" w:eastAsia="Times New Roman" w:hAnsi="Arial" w:cs="Arial"/>
          <w:lang w:val="es-CO" w:eastAsia="es-CO"/>
        </w:rPr>
        <w:t xml:space="preserve"> años para presentar la demanda, término que se cuenta desde </w:t>
      </w:r>
      <w:r w:rsidR="00F652B5" w:rsidRPr="003F24F2">
        <w:rPr>
          <w:rFonts w:ascii="Arial" w:eastAsia="Times New Roman" w:hAnsi="Arial" w:cs="Arial"/>
          <w:lang w:val="es-CO" w:eastAsia="es-CO"/>
        </w:rPr>
        <w:t>l</w:t>
      </w:r>
      <w:r w:rsidR="00F652B5" w:rsidRPr="003F24F2">
        <w:rPr>
          <w:rFonts w:ascii="Arial" w:eastAsia="Arial" w:hAnsi="Arial" w:cs="Arial"/>
          <w:lang w:eastAsia="es-CO"/>
        </w:rPr>
        <w:t xml:space="preserve">a fecha que se aduce vencimiento de </w:t>
      </w:r>
      <w:r w:rsidR="00695678">
        <w:rPr>
          <w:rFonts w:ascii="Arial" w:eastAsia="Arial" w:hAnsi="Arial" w:cs="Arial"/>
          <w:lang w:eastAsia="es-CO"/>
        </w:rPr>
        <w:t>cada</w:t>
      </w:r>
      <w:r w:rsidR="00F652B5" w:rsidRPr="003F24F2">
        <w:rPr>
          <w:rFonts w:ascii="Arial" w:eastAsia="Arial" w:hAnsi="Arial" w:cs="Arial"/>
          <w:lang w:eastAsia="es-CO"/>
        </w:rPr>
        <w:t xml:space="preserve"> factura esto es el</w:t>
      </w:r>
      <w:r w:rsidR="003F24F2" w:rsidRPr="003F24F2">
        <w:rPr>
          <w:rFonts w:ascii="Arial" w:eastAsia="Arial" w:hAnsi="Arial" w:cs="Arial"/>
          <w:lang w:eastAsia="es-CO"/>
        </w:rPr>
        <w:t xml:space="preserve"> 11 de octubre de 2021 para las tres primeras facturas y el 16 de octubre de 2021</w:t>
      </w:r>
      <w:r w:rsidR="00695678">
        <w:rPr>
          <w:rFonts w:ascii="Arial" w:eastAsia="Arial" w:hAnsi="Arial" w:cs="Arial"/>
          <w:lang w:eastAsia="es-CO"/>
        </w:rPr>
        <w:t xml:space="preserve"> para</w:t>
      </w:r>
      <w:r w:rsidR="003F24F2" w:rsidRPr="003F24F2">
        <w:rPr>
          <w:rFonts w:ascii="Arial" w:eastAsia="Arial" w:hAnsi="Arial" w:cs="Arial"/>
          <w:lang w:eastAsia="es-CO"/>
        </w:rPr>
        <w:t xml:space="preserve"> la factura 1586</w:t>
      </w:r>
      <w:r w:rsidR="00F652B5" w:rsidRPr="003F24F2">
        <w:rPr>
          <w:rFonts w:ascii="Arial" w:eastAsia="Arial" w:hAnsi="Arial" w:cs="Arial"/>
          <w:lang w:eastAsia="es-CO"/>
        </w:rPr>
        <w:t xml:space="preserve">, </w:t>
      </w:r>
      <w:r w:rsidR="00901E57" w:rsidRPr="003F24F2">
        <w:rPr>
          <w:rFonts w:ascii="Arial" w:hAnsi="Arial" w:cs="Arial"/>
        </w:rPr>
        <w:t>mientras</w:t>
      </w:r>
      <w:r w:rsidR="00F652B5" w:rsidRPr="003F24F2">
        <w:rPr>
          <w:rFonts w:ascii="Arial" w:hAnsi="Arial" w:cs="Arial"/>
        </w:rPr>
        <w:t xml:space="preserve"> </w:t>
      </w:r>
      <w:r w:rsidR="00901E57" w:rsidRPr="003F24F2">
        <w:rPr>
          <w:rFonts w:ascii="Arial" w:hAnsi="Arial" w:cs="Arial"/>
        </w:rPr>
        <w:t xml:space="preserve">que </w:t>
      </w:r>
      <w:r w:rsidR="00497D62" w:rsidRPr="003F24F2">
        <w:rPr>
          <w:rFonts w:ascii="Arial" w:hAnsi="Arial" w:cs="Arial"/>
        </w:rPr>
        <w:t xml:space="preserve">la demanda fue radicada </w:t>
      </w:r>
      <w:r w:rsidR="004739B5" w:rsidRPr="003F24F2">
        <w:rPr>
          <w:rFonts w:ascii="Arial" w:hAnsi="Arial" w:cs="Arial"/>
        </w:rPr>
        <w:t xml:space="preserve">el </w:t>
      </w:r>
      <w:r w:rsidR="003F24F2" w:rsidRPr="003F24F2">
        <w:rPr>
          <w:rFonts w:ascii="Arial" w:hAnsi="Arial" w:cs="Arial"/>
        </w:rPr>
        <w:t>16 de septiembre</w:t>
      </w:r>
      <w:r w:rsidR="00497D62" w:rsidRPr="003F24F2">
        <w:rPr>
          <w:rFonts w:ascii="Arial" w:hAnsi="Arial" w:cs="Arial"/>
        </w:rPr>
        <w:t xml:space="preserve"> de 202</w:t>
      </w:r>
      <w:r w:rsidR="00901E57" w:rsidRPr="003F24F2">
        <w:rPr>
          <w:rFonts w:ascii="Arial" w:hAnsi="Arial" w:cs="Arial"/>
        </w:rPr>
        <w:t>4; de modo que se interrumpió adecuadamente el término prescriptivo en los términos del artículo 94 del Código General del Proceso.</w:t>
      </w:r>
      <w:r w:rsidR="004739B5" w:rsidRPr="003F24F2">
        <w:rPr>
          <w:rFonts w:ascii="Arial" w:hAnsi="Arial" w:cs="Arial"/>
        </w:rPr>
        <w:t xml:space="preserve"> </w:t>
      </w:r>
      <w:r w:rsidR="00901E57" w:rsidRPr="003F24F2">
        <w:rPr>
          <w:rFonts w:ascii="Arial" w:hAnsi="Arial" w:cs="Arial"/>
        </w:rPr>
        <w:t>Aunado a lo anterior</w:t>
      </w:r>
      <w:r w:rsidR="004739B5" w:rsidRPr="003F24F2">
        <w:rPr>
          <w:rFonts w:ascii="Arial" w:hAnsi="Arial" w:cs="Arial"/>
        </w:rPr>
        <w:t xml:space="preserve">, se debe tener en cuenta que los términos judiciales fueron suspendidos del 14 al 20 de septiembre de 2023 (Acuerdo PCSJA23-12089 del 13 de septiembre de 2023), </w:t>
      </w:r>
      <w:r w:rsidR="00901E57" w:rsidRPr="003F24F2">
        <w:rPr>
          <w:rFonts w:ascii="Arial" w:hAnsi="Arial" w:cs="Arial"/>
        </w:rPr>
        <w:t xml:space="preserve">otorgando en cualquier escenario una semana adicional para la radicación del escrito </w:t>
      </w:r>
      <w:proofErr w:type="spellStart"/>
      <w:r w:rsidR="00901E57" w:rsidRPr="003F24F2">
        <w:rPr>
          <w:rFonts w:ascii="Arial" w:hAnsi="Arial" w:cs="Arial"/>
        </w:rPr>
        <w:t>demandatorio</w:t>
      </w:r>
      <w:proofErr w:type="spellEnd"/>
      <w:r w:rsidR="00901E57" w:rsidRPr="003F24F2">
        <w:rPr>
          <w:rFonts w:ascii="Arial" w:hAnsi="Arial" w:cs="Arial"/>
        </w:rPr>
        <w:t xml:space="preserve">. Así las cosas, </w:t>
      </w:r>
      <w:r w:rsidR="00695678">
        <w:rPr>
          <w:rFonts w:ascii="Arial" w:hAnsi="Arial" w:cs="Arial"/>
        </w:rPr>
        <w:t>los títulos valores son</w:t>
      </w:r>
      <w:r w:rsidR="00901E57" w:rsidRPr="003F24F2">
        <w:rPr>
          <w:rFonts w:ascii="Arial" w:hAnsi="Arial" w:cs="Arial"/>
        </w:rPr>
        <w:t xml:space="preserve"> claro</w:t>
      </w:r>
      <w:r w:rsidR="00695678">
        <w:rPr>
          <w:rFonts w:ascii="Arial" w:hAnsi="Arial" w:cs="Arial"/>
        </w:rPr>
        <w:t>s</w:t>
      </w:r>
      <w:r w:rsidR="00901E57" w:rsidRPr="003F24F2">
        <w:rPr>
          <w:rFonts w:ascii="Arial" w:hAnsi="Arial" w:cs="Arial"/>
        </w:rPr>
        <w:t>, expreso</w:t>
      </w:r>
      <w:r w:rsidR="00695678">
        <w:rPr>
          <w:rFonts w:ascii="Arial" w:hAnsi="Arial" w:cs="Arial"/>
        </w:rPr>
        <w:t>s</w:t>
      </w:r>
      <w:r w:rsidR="00901E57" w:rsidRPr="003F24F2">
        <w:rPr>
          <w:rFonts w:ascii="Arial" w:hAnsi="Arial" w:cs="Arial"/>
        </w:rPr>
        <w:t xml:space="preserve"> y exigible</w:t>
      </w:r>
      <w:r w:rsidR="00695678">
        <w:rPr>
          <w:rFonts w:ascii="Arial" w:hAnsi="Arial" w:cs="Arial"/>
        </w:rPr>
        <w:t>s</w:t>
      </w:r>
      <w:r w:rsidR="00901E57" w:rsidRPr="003F24F2">
        <w:rPr>
          <w:rFonts w:ascii="Arial" w:hAnsi="Arial" w:cs="Arial"/>
        </w:rPr>
        <w:t>, razón por la que la contingencia se califica como PROBABLE.</w:t>
      </w:r>
    </w:p>
    <w:p w14:paraId="19D134E0" w14:textId="77777777" w:rsidR="00D20508" w:rsidRPr="003F24F2" w:rsidRDefault="00D20508" w:rsidP="005B4647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lang w:val="es-CO" w:eastAsia="es-CO"/>
        </w:rPr>
      </w:pPr>
    </w:p>
    <w:p w14:paraId="09E62ED9" w14:textId="77777777" w:rsidR="00D20508" w:rsidRPr="003F24F2" w:rsidRDefault="00D20508" w:rsidP="005B4647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  <w:r w:rsidRPr="003F24F2">
        <w:rPr>
          <w:rFonts w:ascii="Arial" w:eastAsia="Times New Roman" w:hAnsi="Arial" w:cs="Arial"/>
          <w:lang w:val="es-CO" w:eastAsia="es-CO"/>
        </w:rPr>
        <w:t>Todo lo anterior sin perjuicio del carácter contingente del proceso.</w:t>
      </w:r>
    </w:p>
    <w:p w14:paraId="5E9FFA85" w14:textId="77777777" w:rsidR="00EF15EA" w:rsidRPr="003F24F2" w:rsidRDefault="00EF15EA" w:rsidP="005B4647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</w:p>
    <w:p w14:paraId="3A5AA94B" w14:textId="77777777" w:rsidR="00D20508" w:rsidRPr="00AD31BB" w:rsidRDefault="00D20508" w:rsidP="005B4647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u w:val="single"/>
          <w:lang w:val="es-CO" w:eastAsia="es-CO"/>
        </w:rPr>
      </w:pPr>
      <w:r w:rsidRPr="003F24F2">
        <w:rPr>
          <w:rFonts w:ascii="Arial" w:eastAsia="Times New Roman" w:hAnsi="Arial" w:cs="Arial"/>
          <w:lang w:val="es-CO" w:eastAsia="es-CO"/>
        </w:rPr>
        <w:t> </w:t>
      </w:r>
      <w:r w:rsidRPr="003F24F2">
        <w:rPr>
          <w:rFonts w:ascii="Arial" w:eastAsia="Times New Roman" w:hAnsi="Arial" w:cs="Arial"/>
          <w:u w:val="single"/>
          <w:lang w:val="es-CO" w:eastAsia="es-CO"/>
        </w:rPr>
        <w:t xml:space="preserve">LIQUIDACIÓN OBJETIVADA DE LAS </w:t>
      </w:r>
      <w:r w:rsidRPr="00AD31BB">
        <w:rPr>
          <w:rFonts w:ascii="Arial" w:eastAsia="Times New Roman" w:hAnsi="Arial" w:cs="Arial"/>
          <w:u w:val="single"/>
          <w:lang w:val="es-CO" w:eastAsia="es-CO"/>
        </w:rPr>
        <w:t>PRETENSIONES:</w:t>
      </w:r>
    </w:p>
    <w:p w14:paraId="431D6814" w14:textId="77777777" w:rsidR="00D20508" w:rsidRPr="00AD31BB" w:rsidRDefault="00D20508" w:rsidP="005B4647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lang w:val="es-CO" w:eastAsia="es-CO"/>
        </w:rPr>
      </w:pPr>
    </w:p>
    <w:p w14:paraId="3ED7FAB7" w14:textId="431B8E87" w:rsidR="00731C8D" w:rsidRPr="00AD31BB" w:rsidRDefault="00731C8D" w:rsidP="005B4647">
      <w:pPr>
        <w:spacing w:line="276" w:lineRule="auto"/>
        <w:jc w:val="both"/>
        <w:rPr>
          <w:rFonts w:ascii="Arial" w:hAnsi="Arial" w:cs="Arial"/>
        </w:rPr>
      </w:pPr>
      <w:r w:rsidRPr="00AD31BB">
        <w:rPr>
          <w:rFonts w:ascii="Arial" w:hAnsi="Arial" w:cs="Arial"/>
        </w:rPr>
        <w:t xml:space="preserve">Como liquidación objetiva se tasa la suma de </w:t>
      </w:r>
      <w:r w:rsidRPr="00AD31BB">
        <w:rPr>
          <w:rFonts w:ascii="Arial" w:hAnsi="Arial" w:cs="Arial"/>
          <w:b/>
          <w:bCs/>
        </w:rPr>
        <w:t>$</w:t>
      </w:r>
      <w:r w:rsidR="00AD31BB" w:rsidRPr="00AD31BB">
        <w:rPr>
          <w:rFonts w:ascii="Arial" w:hAnsi="Arial" w:cs="Arial"/>
          <w:b/>
          <w:bCs/>
        </w:rPr>
        <w:t xml:space="preserve">3.828.714 </w:t>
      </w:r>
      <w:r w:rsidR="00AD31BB" w:rsidRPr="00AD31BB">
        <w:rPr>
          <w:rFonts w:ascii="Arial" w:hAnsi="Arial" w:cs="Arial"/>
        </w:rPr>
        <w:t xml:space="preserve">a </w:t>
      </w:r>
      <w:r w:rsidRPr="00AD31BB">
        <w:rPr>
          <w:rFonts w:ascii="Arial" w:hAnsi="Arial" w:cs="Arial"/>
        </w:rPr>
        <w:t>la fecha de este informe. Lo anterior, con base en los siguientes fundamentos:</w:t>
      </w:r>
    </w:p>
    <w:p w14:paraId="7EBA2727" w14:textId="77777777" w:rsidR="00731C8D" w:rsidRPr="00AD31BB" w:rsidRDefault="00731C8D" w:rsidP="005B4647">
      <w:pPr>
        <w:spacing w:line="276" w:lineRule="auto"/>
        <w:jc w:val="both"/>
        <w:rPr>
          <w:rFonts w:ascii="Arial" w:hAnsi="Arial" w:cs="Arial"/>
        </w:rPr>
      </w:pPr>
    </w:p>
    <w:p w14:paraId="247ACB95" w14:textId="77777777" w:rsidR="003F24F2" w:rsidRPr="00494DD8" w:rsidRDefault="003F24F2" w:rsidP="003F24F2">
      <w:pPr>
        <w:spacing w:line="360" w:lineRule="auto"/>
        <w:jc w:val="both"/>
        <w:rPr>
          <w:rFonts w:ascii="Arial" w:hAnsi="Arial" w:cs="Arial"/>
          <w:b/>
          <w:bCs/>
        </w:rPr>
      </w:pPr>
      <w:r w:rsidRPr="00494DD8">
        <w:rPr>
          <w:rFonts w:ascii="Arial" w:hAnsi="Arial" w:cs="Arial"/>
          <w:b/>
          <w:bCs/>
        </w:rPr>
        <w:t>Por la factura FE 1564:</w:t>
      </w:r>
    </w:p>
    <w:p w14:paraId="15E0DF2F" w14:textId="77777777" w:rsidR="003F24F2" w:rsidRPr="00E67B44" w:rsidRDefault="003F24F2" w:rsidP="003F24F2">
      <w:pPr>
        <w:spacing w:line="360" w:lineRule="auto"/>
        <w:jc w:val="both"/>
        <w:rPr>
          <w:rFonts w:ascii="Arial" w:hAnsi="Arial" w:cs="Arial"/>
        </w:rPr>
      </w:pPr>
    </w:p>
    <w:p w14:paraId="6EDECF8F" w14:textId="77777777" w:rsidR="003F24F2" w:rsidRPr="00E67B44" w:rsidRDefault="003F24F2" w:rsidP="003F24F2">
      <w:pPr>
        <w:pStyle w:val="Prrafodelista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E67B44">
        <w:rPr>
          <w:rFonts w:ascii="Arial" w:hAnsi="Arial" w:cs="Arial"/>
          <w:b/>
          <w:bCs/>
        </w:rPr>
        <w:t>Por valor de capital:</w:t>
      </w:r>
      <w:r w:rsidRPr="00E67B44">
        <w:rPr>
          <w:rFonts w:ascii="Arial" w:hAnsi="Arial" w:cs="Arial"/>
        </w:rPr>
        <w:t xml:space="preserve"> $ 297.500</w:t>
      </w:r>
    </w:p>
    <w:p w14:paraId="5C283BE5" w14:textId="77777777" w:rsidR="00AD31BB" w:rsidRPr="00E67B44" w:rsidRDefault="00AD31BB" w:rsidP="00AD31BB">
      <w:pPr>
        <w:pStyle w:val="Prrafodelista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E67B44">
        <w:rPr>
          <w:rFonts w:ascii="Arial" w:hAnsi="Arial" w:cs="Arial"/>
          <w:b/>
          <w:bCs/>
        </w:rPr>
        <w:t xml:space="preserve">Por concepto de intereses moratorios </w:t>
      </w:r>
      <w:r w:rsidRPr="00E67B44">
        <w:rPr>
          <w:rFonts w:ascii="Arial" w:hAnsi="Arial" w:cs="Arial"/>
        </w:rPr>
        <w:t>desde la fecha de vencimiento de la factura (11 de octubre de 2021) hasta la presentación de este informe (</w:t>
      </w:r>
      <w:r>
        <w:rPr>
          <w:rFonts w:ascii="Arial" w:hAnsi="Arial" w:cs="Arial"/>
        </w:rPr>
        <w:t>28</w:t>
      </w:r>
      <w:r w:rsidRPr="00E67B44">
        <w:rPr>
          <w:rFonts w:ascii="Arial" w:hAnsi="Arial" w:cs="Arial"/>
        </w:rPr>
        <w:t xml:space="preserve"> de agosto de 2025) se calculan: $ 33</w:t>
      </w:r>
      <w:r>
        <w:rPr>
          <w:rFonts w:ascii="Arial" w:hAnsi="Arial" w:cs="Arial"/>
        </w:rPr>
        <w:t>3.534</w:t>
      </w:r>
    </w:p>
    <w:p w14:paraId="0E8EAF8A" w14:textId="77777777" w:rsidR="00AD31BB" w:rsidRPr="00E67B44" w:rsidRDefault="00AD31BB" w:rsidP="00AD31BB">
      <w:pPr>
        <w:pStyle w:val="Prrafodelista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E67B44">
        <w:rPr>
          <w:rFonts w:ascii="Arial" w:hAnsi="Arial" w:cs="Arial"/>
        </w:rPr>
        <w:t xml:space="preserve">Para un total de </w:t>
      </w:r>
      <w:r w:rsidRPr="00E67B44">
        <w:rPr>
          <w:rFonts w:ascii="Arial" w:hAnsi="Arial" w:cs="Arial"/>
          <w:b/>
          <w:bCs/>
        </w:rPr>
        <w:t>$6</w:t>
      </w:r>
      <w:r>
        <w:rPr>
          <w:rFonts w:ascii="Arial" w:hAnsi="Arial" w:cs="Arial"/>
          <w:b/>
          <w:bCs/>
        </w:rPr>
        <w:t>31.034</w:t>
      </w:r>
    </w:p>
    <w:p w14:paraId="13B5A138" w14:textId="77777777" w:rsidR="003F24F2" w:rsidRPr="00E67B44" w:rsidRDefault="003F24F2" w:rsidP="003F24F2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39F6A993" w14:textId="77777777" w:rsidR="003F24F2" w:rsidRPr="00494DD8" w:rsidRDefault="003F24F2" w:rsidP="003F24F2">
      <w:pPr>
        <w:spacing w:line="360" w:lineRule="auto"/>
        <w:jc w:val="both"/>
        <w:rPr>
          <w:rFonts w:ascii="Arial" w:hAnsi="Arial" w:cs="Arial"/>
          <w:b/>
          <w:bCs/>
        </w:rPr>
      </w:pPr>
      <w:r w:rsidRPr="00494DD8">
        <w:rPr>
          <w:rFonts w:ascii="Arial" w:hAnsi="Arial" w:cs="Arial"/>
          <w:b/>
          <w:bCs/>
        </w:rPr>
        <w:t>Por la factura FE 1565:</w:t>
      </w:r>
    </w:p>
    <w:p w14:paraId="46D44A23" w14:textId="77777777" w:rsidR="003F24F2" w:rsidRPr="00E67B44" w:rsidRDefault="003F24F2" w:rsidP="003F24F2">
      <w:pPr>
        <w:spacing w:line="360" w:lineRule="auto"/>
        <w:jc w:val="both"/>
        <w:rPr>
          <w:rFonts w:ascii="Arial" w:hAnsi="Arial" w:cs="Arial"/>
        </w:rPr>
      </w:pPr>
    </w:p>
    <w:p w14:paraId="592D0378" w14:textId="77777777" w:rsidR="003F24F2" w:rsidRPr="00E67B44" w:rsidRDefault="003F24F2" w:rsidP="003F24F2">
      <w:pPr>
        <w:pStyle w:val="Prrafodelista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E67B44">
        <w:rPr>
          <w:rFonts w:ascii="Arial" w:hAnsi="Arial" w:cs="Arial"/>
          <w:b/>
          <w:bCs/>
        </w:rPr>
        <w:lastRenderedPageBreak/>
        <w:t>Por valor de capital:</w:t>
      </w:r>
      <w:r w:rsidRPr="00E67B44">
        <w:rPr>
          <w:rFonts w:ascii="Arial" w:hAnsi="Arial" w:cs="Arial"/>
        </w:rPr>
        <w:t xml:space="preserve"> $ 297.500</w:t>
      </w:r>
    </w:p>
    <w:p w14:paraId="684A9381" w14:textId="77777777" w:rsidR="00AD31BB" w:rsidRPr="00E67B44" w:rsidRDefault="00AD31BB" w:rsidP="00AD31BB">
      <w:pPr>
        <w:pStyle w:val="Prrafodelista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E67B44">
        <w:rPr>
          <w:rFonts w:ascii="Arial" w:hAnsi="Arial" w:cs="Arial"/>
          <w:b/>
          <w:bCs/>
        </w:rPr>
        <w:t xml:space="preserve">Por concepto de intereses moratorios </w:t>
      </w:r>
      <w:r w:rsidRPr="00E67B44">
        <w:rPr>
          <w:rFonts w:ascii="Arial" w:hAnsi="Arial" w:cs="Arial"/>
        </w:rPr>
        <w:t>desde la fecha de vencimiento de la factura (11 de octubre de 2021) hasta la presentación de este informe (</w:t>
      </w:r>
      <w:r>
        <w:rPr>
          <w:rFonts w:ascii="Arial" w:hAnsi="Arial" w:cs="Arial"/>
        </w:rPr>
        <w:t>28</w:t>
      </w:r>
      <w:r w:rsidRPr="00E67B44">
        <w:rPr>
          <w:rFonts w:ascii="Arial" w:hAnsi="Arial" w:cs="Arial"/>
        </w:rPr>
        <w:t xml:space="preserve"> de agosto de 2025) se calculan: $ 33</w:t>
      </w:r>
      <w:r>
        <w:rPr>
          <w:rFonts w:ascii="Arial" w:hAnsi="Arial" w:cs="Arial"/>
        </w:rPr>
        <w:t>3.534</w:t>
      </w:r>
    </w:p>
    <w:p w14:paraId="10099F12" w14:textId="77777777" w:rsidR="00AD31BB" w:rsidRPr="00E67B44" w:rsidRDefault="00AD31BB" w:rsidP="00AD31BB">
      <w:pPr>
        <w:pStyle w:val="Prrafodelista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E67B44">
        <w:rPr>
          <w:rFonts w:ascii="Arial" w:hAnsi="Arial" w:cs="Arial"/>
        </w:rPr>
        <w:t xml:space="preserve">Para un total de </w:t>
      </w:r>
      <w:r w:rsidRPr="00E67B44">
        <w:rPr>
          <w:rFonts w:ascii="Arial" w:hAnsi="Arial" w:cs="Arial"/>
          <w:b/>
          <w:bCs/>
        </w:rPr>
        <w:t>$6</w:t>
      </w:r>
      <w:r>
        <w:rPr>
          <w:rFonts w:ascii="Arial" w:hAnsi="Arial" w:cs="Arial"/>
          <w:b/>
          <w:bCs/>
        </w:rPr>
        <w:t>31.034</w:t>
      </w:r>
    </w:p>
    <w:p w14:paraId="6B505880" w14:textId="77777777" w:rsidR="003F24F2" w:rsidRPr="00E67B44" w:rsidRDefault="003F24F2" w:rsidP="003F24F2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04601B8B" w14:textId="77777777" w:rsidR="003F24F2" w:rsidRPr="00494DD8" w:rsidRDefault="003F24F2" w:rsidP="003F24F2">
      <w:pPr>
        <w:spacing w:line="360" w:lineRule="auto"/>
        <w:jc w:val="both"/>
        <w:rPr>
          <w:rFonts w:ascii="Arial" w:hAnsi="Arial" w:cs="Arial"/>
          <w:b/>
          <w:bCs/>
        </w:rPr>
      </w:pPr>
      <w:r w:rsidRPr="00494DD8">
        <w:rPr>
          <w:rFonts w:ascii="Arial" w:hAnsi="Arial" w:cs="Arial"/>
          <w:b/>
          <w:bCs/>
        </w:rPr>
        <w:t>Por la factura FE 1566:</w:t>
      </w:r>
    </w:p>
    <w:p w14:paraId="760D4C7B" w14:textId="77777777" w:rsidR="003F24F2" w:rsidRPr="00E67B44" w:rsidRDefault="003F24F2" w:rsidP="003F24F2">
      <w:pPr>
        <w:spacing w:line="360" w:lineRule="auto"/>
        <w:jc w:val="both"/>
        <w:rPr>
          <w:rFonts w:ascii="Arial" w:hAnsi="Arial" w:cs="Arial"/>
        </w:rPr>
      </w:pPr>
    </w:p>
    <w:p w14:paraId="773BF23B" w14:textId="77777777" w:rsidR="003F24F2" w:rsidRPr="00E67B44" w:rsidRDefault="003F24F2" w:rsidP="003F24F2">
      <w:pPr>
        <w:pStyle w:val="Prrafodelista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E67B44">
        <w:rPr>
          <w:rFonts w:ascii="Arial" w:hAnsi="Arial" w:cs="Arial"/>
          <w:b/>
          <w:bCs/>
        </w:rPr>
        <w:t>Por valor de capital:</w:t>
      </w:r>
      <w:r w:rsidRPr="00E67B44">
        <w:rPr>
          <w:rFonts w:ascii="Arial" w:hAnsi="Arial" w:cs="Arial"/>
        </w:rPr>
        <w:t xml:space="preserve"> $ 297.500</w:t>
      </w:r>
    </w:p>
    <w:p w14:paraId="51C8C2D6" w14:textId="469974CA" w:rsidR="003F24F2" w:rsidRPr="00E67B44" w:rsidRDefault="003F24F2" w:rsidP="003F24F2">
      <w:pPr>
        <w:pStyle w:val="Prrafodelista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E67B44">
        <w:rPr>
          <w:rFonts w:ascii="Arial" w:hAnsi="Arial" w:cs="Arial"/>
          <w:b/>
          <w:bCs/>
        </w:rPr>
        <w:t xml:space="preserve">Por concepto de intereses moratorios </w:t>
      </w:r>
      <w:r w:rsidRPr="00E67B44">
        <w:rPr>
          <w:rFonts w:ascii="Arial" w:hAnsi="Arial" w:cs="Arial"/>
        </w:rPr>
        <w:t>desde la fecha de vencimiento de la factura (11 de octubre de 2021) hasta la presentación de este informe (</w:t>
      </w:r>
      <w:r>
        <w:rPr>
          <w:rFonts w:ascii="Arial" w:hAnsi="Arial" w:cs="Arial"/>
        </w:rPr>
        <w:t>28</w:t>
      </w:r>
      <w:r w:rsidRPr="00E67B44">
        <w:rPr>
          <w:rFonts w:ascii="Arial" w:hAnsi="Arial" w:cs="Arial"/>
        </w:rPr>
        <w:t xml:space="preserve"> de agosto de 2025) se calculan: $ 33</w:t>
      </w:r>
      <w:r w:rsidR="00AD31BB">
        <w:rPr>
          <w:rFonts w:ascii="Arial" w:hAnsi="Arial" w:cs="Arial"/>
        </w:rPr>
        <w:t>3.534</w:t>
      </w:r>
    </w:p>
    <w:p w14:paraId="1DE759E5" w14:textId="7B622D19" w:rsidR="003F24F2" w:rsidRPr="00E67B44" w:rsidRDefault="003F24F2" w:rsidP="003F24F2">
      <w:pPr>
        <w:pStyle w:val="Prrafodelista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E67B44">
        <w:rPr>
          <w:rFonts w:ascii="Arial" w:hAnsi="Arial" w:cs="Arial"/>
        </w:rPr>
        <w:t xml:space="preserve">Para un total de </w:t>
      </w:r>
      <w:r w:rsidRPr="00E67B44">
        <w:rPr>
          <w:rFonts w:ascii="Arial" w:hAnsi="Arial" w:cs="Arial"/>
          <w:b/>
          <w:bCs/>
        </w:rPr>
        <w:t>$6</w:t>
      </w:r>
      <w:r w:rsidR="00AD31BB">
        <w:rPr>
          <w:rFonts w:ascii="Arial" w:hAnsi="Arial" w:cs="Arial"/>
          <w:b/>
          <w:bCs/>
        </w:rPr>
        <w:t>31.034</w:t>
      </w:r>
    </w:p>
    <w:p w14:paraId="4F706AFA" w14:textId="77777777" w:rsidR="003F24F2" w:rsidRPr="00E67B44" w:rsidRDefault="003F24F2" w:rsidP="003F24F2">
      <w:pPr>
        <w:spacing w:line="360" w:lineRule="auto"/>
        <w:jc w:val="both"/>
        <w:rPr>
          <w:rFonts w:ascii="Arial" w:hAnsi="Arial" w:cs="Arial"/>
        </w:rPr>
      </w:pPr>
    </w:p>
    <w:p w14:paraId="26C4C8EC" w14:textId="77777777" w:rsidR="003F24F2" w:rsidRPr="00494DD8" w:rsidRDefault="003F24F2" w:rsidP="003F24F2">
      <w:pPr>
        <w:spacing w:line="360" w:lineRule="auto"/>
        <w:jc w:val="both"/>
        <w:rPr>
          <w:rFonts w:ascii="Arial" w:hAnsi="Arial" w:cs="Arial"/>
          <w:b/>
          <w:bCs/>
        </w:rPr>
      </w:pPr>
      <w:r w:rsidRPr="00494DD8">
        <w:rPr>
          <w:rFonts w:ascii="Arial" w:hAnsi="Arial" w:cs="Arial"/>
          <w:b/>
          <w:bCs/>
        </w:rPr>
        <w:t>Por la factura FE 1586:</w:t>
      </w:r>
    </w:p>
    <w:p w14:paraId="665CBFE0" w14:textId="77777777" w:rsidR="003F24F2" w:rsidRPr="00E67B44" w:rsidRDefault="003F24F2" w:rsidP="003F24F2">
      <w:pPr>
        <w:spacing w:line="360" w:lineRule="auto"/>
        <w:jc w:val="both"/>
        <w:rPr>
          <w:rFonts w:ascii="Arial" w:hAnsi="Arial" w:cs="Arial"/>
        </w:rPr>
      </w:pPr>
    </w:p>
    <w:p w14:paraId="0F39F2C8" w14:textId="77777777" w:rsidR="003F24F2" w:rsidRPr="00E67B44" w:rsidRDefault="003F24F2" w:rsidP="003F24F2">
      <w:pPr>
        <w:pStyle w:val="Prrafodelista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E67B44">
        <w:rPr>
          <w:rFonts w:ascii="Arial" w:hAnsi="Arial" w:cs="Arial"/>
          <w:b/>
          <w:bCs/>
        </w:rPr>
        <w:t>Por valor de capital:</w:t>
      </w:r>
      <w:r w:rsidRPr="00E67B44">
        <w:rPr>
          <w:rFonts w:ascii="Arial" w:hAnsi="Arial" w:cs="Arial"/>
        </w:rPr>
        <w:t xml:space="preserve"> $ 913.920</w:t>
      </w:r>
    </w:p>
    <w:p w14:paraId="3D23A68B" w14:textId="0867EC59" w:rsidR="003F24F2" w:rsidRPr="00E67B44" w:rsidRDefault="003F24F2" w:rsidP="003F24F2">
      <w:pPr>
        <w:pStyle w:val="Prrafodelista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E67B44">
        <w:rPr>
          <w:rFonts w:ascii="Arial" w:hAnsi="Arial" w:cs="Arial"/>
          <w:b/>
          <w:bCs/>
        </w:rPr>
        <w:t xml:space="preserve">Por concepto de intereses moratorios </w:t>
      </w:r>
      <w:r w:rsidRPr="00E67B44">
        <w:rPr>
          <w:rFonts w:ascii="Arial" w:hAnsi="Arial" w:cs="Arial"/>
        </w:rPr>
        <w:t>desde la fecha de vencimiento de la factura (16 de octubre de 2021) hasta la presentación de este informe (</w:t>
      </w:r>
      <w:r>
        <w:rPr>
          <w:rFonts w:ascii="Arial" w:hAnsi="Arial" w:cs="Arial"/>
        </w:rPr>
        <w:t>28</w:t>
      </w:r>
      <w:r w:rsidRPr="00E67B44">
        <w:rPr>
          <w:rFonts w:ascii="Arial" w:hAnsi="Arial" w:cs="Arial"/>
        </w:rPr>
        <w:t xml:space="preserve"> de agosto de 2025) se calculan: $ </w:t>
      </w:r>
      <w:r w:rsidR="00AD31BB">
        <w:rPr>
          <w:rFonts w:ascii="Arial" w:hAnsi="Arial" w:cs="Arial"/>
        </w:rPr>
        <w:t>1.021.692</w:t>
      </w:r>
    </w:p>
    <w:p w14:paraId="1BB8EBB4" w14:textId="5A656ED9" w:rsidR="003F24F2" w:rsidRPr="00E67B44" w:rsidRDefault="003F24F2" w:rsidP="003F24F2">
      <w:pPr>
        <w:pStyle w:val="Prrafodelista"/>
        <w:widowControl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ascii="Arial" w:hAnsi="Arial" w:cs="Arial"/>
        </w:rPr>
      </w:pPr>
      <w:r w:rsidRPr="00E67B44">
        <w:rPr>
          <w:rFonts w:ascii="Arial" w:hAnsi="Arial" w:cs="Arial"/>
        </w:rPr>
        <w:t xml:space="preserve">Para un total de </w:t>
      </w:r>
      <w:r w:rsidRPr="00E67B44">
        <w:rPr>
          <w:rFonts w:ascii="Arial" w:hAnsi="Arial" w:cs="Arial"/>
          <w:b/>
          <w:bCs/>
        </w:rPr>
        <w:t>$1.</w:t>
      </w:r>
      <w:r>
        <w:rPr>
          <w:rFonts w:ascii="Arial" w:hAnsi="Arial" w:cs="Arial"/>
          <w:b/>
          <w:bCs/>
        </w:rPr>
        <w:t>935.612</w:t>
      </w:r>
    </w:p>
    <w:p w14:paraId="20371DA0" w14:textId="77777777" w:rsidR="003F24F2" w:rsidRPr="00E67B44" w:rsidRDefault="003F24F2" w:rsidP="003F24F2">
      <w:pPr>
        <w:spacing w:line="360" w:lineRule="auto"/>
        <w:jc w:val="both"/>
        <w:rPr>
          <w:rFonts w:ascii="Arial" w:hAnsi="Arial" w:cs="Arial"/>
        </w:rPr>
      </w:pPr>
    </w:p>
    <w:p w14:paraId="0070FF1C" w14:textId="56AB3BB8" w:rsidR="00CD3B19" w:rsidRPr="00494DD8" w:rsidRDefault="003F24F2" w:rsidP="00494DD8">
      <w:pPr>
        <w:spacing w:line="360" w:lineRule="auto"/>
        <w:jc w:val="both"/>
        <w:rPr>
          <w:rFonts w:ascii="Arial" w:eastAsia="Times New Roman" w:hAnsi="Arial" w:cs="Arial"/>
          <w:b/>
          <w:bCs/>
          <w:lang w:val="es-CO" w:eastAsia="es-CO"/>
        </w:rPr>
      </w:pPr>
      <w:r w:rsidRPr="00E67B44">
        <w:rPr>
          <w:rFonts w:ascii="Arial" w:eastAsia="Times New Roman" w:hAnsi="Arial" w:cs="Arial"/>
          <w:lang w:val="es-CO" w:eastAsia="es-CO"/>
        </w:rPr>
        <w:t xml:space="preserve">Las cuatro (4) facturas ascienden capital e interés a </w:t>
      </w:r>
      <w:r w:rsidRPr="00E67B44">
        <w:rPr>
          <w:rFonts w:ascii="Arial" w:eastAsia="Times New Roman" w:hAnsi="Arial" w:cs="Arial"/>
          <w:b/>
          <w:bCs/>
          <w:lang w:val="es-CO" w:eastAsia="es-CO"/>
        </w:rPr>
        <w:t>$</w:t>
      </w:r>
      <w:r w:rsidRPr="00E67B44">
        <w:rPr>
          <w:rFonts w:ascii="Arial" w:hAnsi="Arial" w:cs="Arial"/>
          <w:b/>
          <w:bCs/>
        </w:rPr>
        <w:t xml:space="preserve"> </w:t>
      </w:r>
      <w:r w:rsidR="00AD31BB" w:rsidRPr="00AD31BB">
        <w:rPr>
          <w:rFonts w:ascii="Arial" w:hAnsi="Arial" w:cs="Arial"/>
          <w:b/>
          <w:bCs/>
        </w:rPr>
        <w:t>3.828.714</w:t>
      </w:r>
    </w:p>
    <w:sectPr w:rsidR="00CD3B19" w:rsidRPr="00494DD8" w:rsidSect="00457E6B">
      <w:headerReference w:type="default" r:id="rId8"/>
      <w:footerReference w:type="default" r:id="rId9"/>
      <w:pgSz w:w="12240" w:h="15840" w:code="1"/>
      <w:pgMar w:top="1701" w:right="964" w:bottom="1588" w:left="964" w:header="283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9797" w14:textId="77777777" w:rsidR="00470C7C" w:rsidRDefault="00470C7C" w:rsidP="0025591F">
      <w:r>
        <w:separator/>
      </w:r>
    </w:p>
  </w:endnote>
  <w:endnote w:type="continuationSeparator" w:id="0">
    <w:p w14:paraId="0C4212AA" w14:textId="77777777" w:rsidR="00470C7C" w:rsidRDefault="00470C7C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ADC7" w14:textId="77777777" w:rsidR="003F26B0" w:rsidRPr="00957ECF" w:rsidRDefault="00457E6B" w:rsidP="00957ECF">
    <w:pPr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6B67121" wp14:editId="201EBB9C">
              <wp:simplePos x="0" y="0"/>
              <wp:positionH relativeFrom="margin">
                <wp:posOffset>3838575</wp:posOffset>
              </wp:positionH>
              <wp:positionV relativeFrom="bottomMargin">
                <wp:posOffset>144145</wp:posOffset>
              </wp:positionV>
              <wp:extent cx="1872615" cy="627380"/>
              <wp:effectExtent l="0" t="0" r="0" b="12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7473C3" w14:textId="77777777" w:rsidR="00957ECF" w:rsidRPr="00A20704" w:rsidRDefault="00957ECF" w:rsidP="00957ECF">
                          <w:pPr>
                            <w:spacing w:after="240"/>
                            <w:jc w:val="right"/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</w:pP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Bogotá – </w:t>
                          </w:r>
                          <w:proofErr w:type="spellStart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Cra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11A No.94A-23 Of. 201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E</w:t>
                          </w:r>
                          <w:r w:rsidRPr="00157E13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dificio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94ª</w:t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  <w:t>+57 3173795688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Cali - Av 6A Bis #35N-100, Of. 212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 xml:space="preserve">Centro Empresarial Chipichape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>+57 315 577 6200 - 602-6594075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06B67121" id="Rectángulo 4" o:spid="_x0000_s1026" style="position:absolute;margin-left:302.25pt;margin-top:11.35pt;width:147.45pt;height:49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" filled="f" stroked="f" strokeweight="1pt">
              <v:textbox>
                <w:txbxContent>
                  <w:p w14:paraId="297473C3" w14:textId="77777777" w:rsidR="00957ECF" w:rsidRPr="00A20704" w:rsidRDefault="00957ECF" w:rsidP="00957ECF">
                    <w:pPr>
                      <w:spacing w:after="240"/>
                      <w:jc w:val="right"/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</w:pP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Bogotá – </w:t>
                    </w:r>
                    <w:proofErr w:type="spellStart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Cra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11A No.94A-23 Of. 201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proofErr w:type="spellStart"/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E</w:t>
                    </w:r>
                    <w:r w:rsidRPr="00157E13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dificio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94ª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  <w:t>+57 3173795688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Cali - Av 6A Bis #35N-100, Of. 212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 xml:space="preserve">Centro Empresarial Chipichape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>+57 315 577 6200 - 602-6594075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56100120" wp14:editId="3F07FDF8">
          <wp:simplePos x="0" y="0"/>
          <wp:positionH relativeFrom="margin">
            <wp:posOffset>5692140</wp:posOffset>
          </wp:positionH>
          <wp:positionV relativeFrom="paragraph">
            <wp:posOffset>-434975</wp:posOffset>
          </wp:positionV>
          <wp:extent cx="729615" cy="408305"/>
          <wp:effectExtent l="0" t="0" r="0" b="0"/>
          <wp:wrapNone/>
          <wp:docPr id="547965456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6545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9" t="28892" r="12515" b="28812"/>
                  <a:stretch/>
                </pic:blipFill>
                <pic:spPr bwMode="auto">
                  <a:xfrm>
                    <a:off x="0" y="0"/>
                    <a:ext cx="72961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0A6E8AA" wp14:editId="0E3885DF">
              <wp:simplePos x="0" y="0"/>
              <wp:positionH relativeFrom="margin">
                <wp:posOffset>475615</wp:posOffset>
              </wp:positionH>
              <wp:positionV relativeFrom="bottomMargin">
                <wp:posOffset>325755</wp:posOffset>
              </wp:positionV>
              <wp:extent cx="704850" cy="283210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7FF2CA" w14:textId="77777777" w:rsidR="006B3568" w:rsidRPr="006B3568" w:rsidRDefault="006B3568" w:rsidP="000B00A8">
                          <w:pPr>
                            <w:spacing w:before="1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30A6E8AA" id="Rectángulo 5" o:spid="_x0000_s1027" style="position:absolute;margin-left:37.45pt;margin-top:25.65pt;width:55.5pt;height:22.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" filled="f" stroked="f" strokeweight="1pt">
              <v:textbox>
                <w:txbxContent>
                  <w:p w14:paraId="057FF2CA" w14:textId="77777777" w:rsidR="006B3568" w:rsidRPr="006B3568" w:rsidRDefault="006B3568" w:rsidP="000B00A8">
                    <w:pPr>
                      <w:spacing w:before="10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  <w:t>YVJD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57ECF">
      <w:rPr>
        <w:color w:val="222A35" w:themeColor="text2" w:themeShade="80"/>
      </w:rPr>
      <w:t xml:space="preserve">                                         </w:t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  <w:t xml:space="preserve">          </w:t>
    </w:r>
    <w:r w:rsidR="00E23DED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P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ágina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PAGE 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 |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NUMPAGES  \* Arabic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77DF" w14:textId="77777777" w:rsidR="00470C7C" w:rsidRDefault="00470C7C" w:rsidP="0025591F">
      <w:r>
        <w:separator/>
      </w:r>
    </w:p>
  </w:footnote>
  <w:footnote w:type="continuationSeparator" w:id="0">
    <w:p w14:paraId="013B06AF" w14:textId="77777777" w:rsidR="00470C7C" w:rsidRDefault="00470C7C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1345" w14:textId="77777777" w:rsidR="00FA4FFB" w:rsidRDefault="00957EC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B67F330" wp14:editId="4DE93581">
          <wp:simplePos x="0" y="0"/>
          <wp:positionH relativeFrom="margin">
            <wp:posOffset>4686300</wp:posOffset>
          </wp:positionH>
          <wp:positionV relativeFrom="paragraph">
            <wp:posOffset>-635</wp:posOffset>
          </wp:positionV>
          <wp:extent cx="2134159" cy="900638"/>
          <wp:effectExtent l="0" t="0" r="0" b="0"/>
          <wp:wrapNone/>
          <wp:docPr id="1713112743" name="Imagen 4" descr="Un letrero azul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12743" name="Imagen 4" descr="Un letrero azul con letras blanc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9" cy="90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E8"/>
    <w:multiLevelType w:val="hybridMultilevel"/>
    <w:tmpl w:val="D4BA60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F83"/>
    <w:multiLevelType w:val="hybridMultilevel"/>
    <w:tmpl w:val="7F02D5F0"/>
    <w:lvl w:ilvl="0" w:tplc="25361650">
      <w:start w:val="1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981464"/>
    <w:multiLevelType w:val="hybridMultilevel"/>
    <w:tmpl w:val="E74630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641B"/>
    <w:multiLevelType w:val="multilevel"/>
    <w:tmpl w:val="B9DC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MT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F9032F"/>
    <w:multiLevelType w:val="multilevel"/>
    <w:tmpl w:val="9984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785CDF"/>
    <w:multiLevelType w:val="hybridMultilevel"/>
    <w:tmpl w:val="417CA702"/>
    <w:lvl w:ilvl="0" w:tplc="7FA8F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528AC"/>
    <w:multiLevelType w:val="hybridMultilevel"/>
    <w:tmpl w:val="7EBC65BE"/>
    <w:lvl w:ilvl="0" w:tplc="83C230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E4356"/>
    <w:multiLevelType w:val="multilevel"/>
    <w:tmpl w:val="1B4E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764962"/>
    <w:multiLevelType w:val="hybridMultilevel"/>
    <w:tmpl w:val="E74630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D3BB1"/>
    <w:multiLevelType w:val="hybridMultilevel"/>
    <w:tmpl w:val="A4E0C1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40D72"/>
    <w:multiLevelType w:val="hybridMultilevel"/>
    <w:tmpl w:val="1514E330"/>
    <w:lvl w:ilvl="0" w:tplc="89063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5"/>
    <w:rsid w:val="00006661"/>
    <w:rsid w:val="0003111F"/>
    <w:rsid w:val="00036FCE"/>
    <w:rsid w:val="00044B6C"/>
    <w:rsid w:val="000557D7"/>
    <w:rsid w:val="00070626"/>
    <w:rsid w:val="000B00A8"/>
    <w:rsid w:val="000B29A2"/>
    <w:rsid w:val="000C1715"/>
    <w:rsid w:val="000C2815"/>
    <w:rsid w:val="00121366"/>
    <w:rsid w:val="00130AAC"/>
    <w:rsid w:val="00131B8E"/>
    <w:rsid w:val="00141E8F"/>
    <w:rsid w:val="00146788"/>
    <w:rsid w:val="0017502A"/>
    <w:rsid w:val="001925A0"/>
    <w:rsid w:val="00194DAC"/>
    <w:rsid w:val="001B5CFE"/>
    <w:rsid w:val="001C3804"/>
    <w:rsid w:val="0020681D"/>
    <w:rsid w:val="002339DB"/>
    <w:rsid w:val="00234F3F"/>
    <w:rsid w:val="002364EB"/>
    <w:rsid w:val="00254E27"/>
    <w:rsid w:val="0025591F"/>
    <w:rsid w:val="00264AC1"/>
    <w:rsid w:val="00267DDC"/>
    <w:rsid w:val="00281D90"/>
    <w:rsid w:val="00284297"/>
    <w:rsid w:val="002B07F1"/>
    <w:rsid w:val="002B5E76"/>
    <w:rsid w:val="002C38D2"/>
    <w:rsid w:val="002C4B5B"/>
    <w:rsid w:val="002C6A83"/>
    <w:rsid w:val="002F3D5F"/>
    <w:rsid w:val="00306CDF"/>
    <w:rsid w:val="003141B0"/>
    <w:rsid w:val="003168CE"/>
    <w:rsid w:val="0037043E"/>
    <w:rsid w:val="00374FB5"/>
    <w:rsid w:val="00375AFE"/>
    <w:rsid w:val="00395D72"/>
    <w:rsid w:val="003A306A"/>
    <w:rsid w:val="003B2583"/>
    <w:rsid w:val="003C5BCE"/>
    <w:rsid w:val="003D2930"/>
    <w:rsid w:val="003E2B4A"/>
    <w:rsid w:val="003F24F2"/>
    <w:rsid w:val="003F26B0"/>
    <w:rsid w:val="00416F84"/>
    <w:rsid w:val="0042497F"/>
    <w:rsid w:val="00424DB6"/>
    <w:rsid w:val="00457E6B"/>
    <w:rsid w:val="00470810"/>
    <w:rsid w:val="00470C7C"/>
    <w:rsid w:val="004739B5"/>
    <w:rsid w:val="0048616E"/>
    <w:rsid w:val="00494DD8"/>
    <w:rsid w:val="00497D62"/>
    <w:rsid w:val="004A356B"/>
    <w:rsid w:val="004A6AD7"/>
    <w:rsid w:val="004B2DD1"/>
    <w:rsid w:val="004C01CE"/>
    <w:rsid w:val="00505F3C"/>
    <w:rsid w:val="00543F6F"/>
    <w:rsid w:val="00594D47"/>
    <w:rsid w:val="005950C7"/>
    <w:rsid w:val="005A0A03"/>
    <w:rsid w:val="005A27BB"/>
    <w:rsid w:val="005A3F2C"/>
    <w:rsid w:val="005B4647"/>
    <w:rsid w:val="005C5EE0"/>
    <w:rsid w:val="005D7117"/>
    <w:rsid w:val="00602848"/>
    <w:rsid w:val="00612C4A"/>
    <w:rsid w:val="00637020"/>
    <w:rsid w:val="006459E7"/>
    <w:rsid w:val="00672FA0"/>
    <w:rsid w:val="00680F54"/>
    <w:rsid w:val="00695678"/>
    <w:rsid w:val="006A0FDA"/>
    <w:rsid w:val="006A68EE"/>
    <w:rsid w:val="006B3568"/>
    <w:rsid w:val="006C3935"/>
    <w:rsid w:val="006D147C"/>
    <w:rsid w:val="006F3F7B"/>
    <w:rsid w:val="00731C8D"/>
    <w:rsid w:val="00757E28"/>
    <w:rsid w:val="00762B3A"/>
    <w:rsid w:val="00783103"/>
    <w:rsid w:val="007838F9"/>
    <w:rsid w:val="00793C8E"/>
    <w:rsid w:val="007B5788"/>
    <w:rsid w:val="007C1A65"/>
    <w:rsid w:val="007F632D"/>
    <w:rsid w:val="007F6A39"/>
    <w:rsid w:val="00826B2F"/>
    <w:rsid w:val="008830A7"/>
    <w:rsid w:val="008A3EE5"/>
    <w:rsid w:val="008D5B3A"/>
    <w:rsid w:val="008E4E08"/>
    <w:rsid w:val="008F01B3"/>
    <w:rsid w:val="008F1E2F"/>
    <w:rsid w:val="00901E57"/>
    <w:rsid w:val="00905ACC"/>
    <w:rsid w:val="00934146"/>
    <w:rsid w:val="00937A07"/>
    <w:rsid w:val="00957ECF"/>
    <w:rsid w:val="00997C0E"/>
    <w:rsid w:val="009A7545"/>
    <w:rsid w:val="00A0243B"/>
    <w:rsid w:val="00A413F5"/>
    <w:rsid w:val="00A575C0"/>
    <w:rsid w:val="00A6726C"/>
    <w:rsid w:val="00A7220B"/>
    <w:rsid w:val="00A877E6"/>
    <w:rsid w:val="00A91056"/>
    <w:rsid w:val="00AA0EF8"/>
    <w:rsid w:val="00AA15B1"/>
    <w:rsid w:val="00AB3A2C"/>
    <w:rsid w:val="00AD03AA"/>
    <w:rsid w:val="00AD31BB"/>
    <w:rsid w:val="00B20189"/>
    <w:rsid w:val="00B54DCC"/>
    <w:rsid w:val="00B56807"/>
    <w:rsid w:val="00B61DF1"/>
    <w:rsid w:val="00B90EDF"/>
    <w:rsid w:val="00B935CF"/>
    <w:rsid w:val="00B9473D"/>
    <w:rsid w:val="00BA33E1"/>
    <w:rsid w:val="00BB7105"/>
    <w:rsid w:val="00BD192A"/>
    <w:rsid w:val="00BE6214"/>
    <w:rsid w:val="00BF1A90"/>
    <w:rsid w:val="00C11816"/>
    <w:rsid w:val="00C254FB"/>
    <w:rsid w:val="00C53500"/>
    <w:rsid w:val="00C70FF5"/>
    <w:rsid w:val="00CA5051"/>
    <w:rsid w:val="00CB20BF"/>
    <w:rsid w:val="00CD3B19"/>
    <w:rsid w:val="00CD5446"/>
    <w:rsid w:val="00CE1795"/>
    <w:rsid w:val="00D20508"/>
    <w:rsid w:val="00D23A48"/>
    <w:rsid w:val="00D51986"/>
    <w:rsid w:val="00D92836"/>
    <w:rsid w:val="00DB34C9"/>
    <w:rsid w:val="00DF71AF"/>
    <w:rsid w:val="00E034A7"/>
    <w:rsid w:val="00E23DED"/>
    <w:rsid w:val="00E43BA7"/>
    <w:rsid w:val="00E52B3B"/>
    <w:rsid w:val="00E63CC0"/>
    <w:rsid w:val="00EB06B6"/>
    <w:rsid w:val="00EC2B3D"/>
    <w:rsid w:val="00EC434B"/>
    <w:rsid w:val="00EE40E3"/>
    <w:rsid w:val="00EF15EA"/>
    <w:rsid w:val="00F04B59"/>
    <w:rsid w:val="00F51C9A"/>
    <w:rsid w:val="00F652B5"/>
    <w:rsid w:val="00F95354"/>
    <w:rsid w:val="00FA146F"/>
    <w:rsid w:val="00FA4FFB"/>
    <w:rsid w:val="00FC1907"/>
    <w:rsid w:val="00FC4670"/>
    <w:rsid w:val="00FE10B5"/>
    <w:rsid w:val="00FE5E2E"/>
    <w:rsid w:val="00FF305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FE4A9"/>
  <w15:chartTrackingRefBased/>
  <w15:docId w15:val="{789A8236-101D-4F95-98FE-5D3A78F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styleId="Prrafodelista">
    <w:name w:val="List Paragraph"/>
    <w:aliases w:val="Bullets,titulo 3,List Paragraph,Ha,List Paragraph1,Betulia Título 1,Lista HD,Titulo 5,Chulito,Bolita,Párrafo de lista3,BOLA,Párrafo de lista21,Párrafo de lista1,BOLADEF,HOJA,Nivel 1,Titulo 7,Párrafo de lista11,Párrafo de lista ANEXO,lp1"/>
    <w:basedOn w:val="Normal"/>
    <w:link w:val="PrrafodelistaCar"/>
    <w:uiPriority w:val="34"/>
    <w:qFormat/>
    <w:rsid w:val="00D20508"/>
    <w:pPr>
      <w:ind w:left="720"/>
      <w:contextualSpacing/>
    </w:pPr>
  </w:style>
  <w:style w:type="character" w:customStyle="1" w:styleId="PrrafodelistaCar">
    <w:name w:val="Párrafo de lista Car"/>
    <w:aliases w:val="Bullets Car,titulo 3 Car,List Paragraph Car,Ha Car,List Paragraph1 Car,Betulia Título 1 Car,Lista HD Car,Titulo 5 Car,Chulito Car,Bolita Car,Párrafo de lista3 Car,BOLA Car,Párrafo de lista21 Car,Párrafo de lista1 Car,BOLADEF Car"/>
    <w:link w:val="Prrafodelista"/>
    <w:uiPriority w:val="34"/>
    <w:locked/>
    <w:rsid w:val="00D20508"/>
    <w:rPr>
      <w:rFonts w:ascii="Arial MT" w:eastAsia="Arial MT" w:hAnsi="Arial MT" w:cs="Arial MT"/>
      <w:lang w:val="es-ES"/>
    </w:rPr>
  </w:style>
  <w:style w:type="paragraph" w:styleId="Revisin">
    <w:name w:val="Revision"/>
    <w:hidden/>
    <w:uiPriority w:val="99"/>
    <w:semiHidden/>
    <w:rsid w:val="001B5CFE"/>
    <w:pPr>
      <w:spacing w:after="0" w:line="240" w:lineRule="auto"/>
    </w:pPr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206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94D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94D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4DD8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4D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4DD8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869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JACOME</dc:creator>
  <cp:keywords/>
  <dc:description/>
  <cp:lastModifiedBy>Yuliana Valentina Jacome Duran</cp:lastModifiedBy>
  <cp:revision>14</cp:revision>
  <dcterms:created xsi:type="dcterms:W3CDTF">2025-08-11T21:52:00Z</dcterms:created>
  <dcterms:modified xsi:type="dcterms:W3CDTF">2025-08-28T21:10:00Z</dcterms:modified>
</cp:coreProperties>
</file>