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969BF" w14:textId="77777777" w:rsidR="00A34C98" w:rsidRPr="00A34C98" w:rsidRDefault="00A34C98" w:rsidP="00A34C98">
      <w:pPr>
        <w:jc w:val="center"/>
        <w:rPr>
          <w:rFonts w:ascii="Arial" w:hAnsi="Arial" w:cs="Arial"/>
          <w:b/>
          <w:bCs/>
          <w:sz w:val="20"/>
          <w:szCs w:val="20"/>
        </w:rPr>
      </w:pPr>
      <w:r w:rsidRPr="00A34C98">
        <w:rPr>
          <w:rFonts w:ascii="Arial" w:hAnsi="Arial" w:cs="Arial"/>
          <w:b/>
          <w:bCs/>
          <w:sz w:val="20"/>
          <w:szCs w:val="20"/>
        </w:rPr>
        <w:t>FORMATO PROCESO NUEVO – RESUMEN INICIAL</w:t>
      </w:r>
    </w:p>
    <w:p w14:paraId="700A7B9B" w14:textId="77777777" w:rsidR="00A34C98" w:rsidRPr="00A34C98" w:rsidRDefault="00A34C98" w:rsidP="00A34C98">
      <w:pPr>
        <w:jc w:val="center"/>
        <w:rPr>
          <w:rFonts w:ascii="Arial" w:hAnsi="Arial" w:cs="Arial"/>
          <w:b/>
          <w:bCs/>
          <w:sz w:val="20"/>
          <w:szCs w:val="20"/>
        </w:rPr>
      </w:pPr>
      <w:r w:rsidRPr="00A34C98">
        <w:rPr>
          <w:rFonts w:ascii="Arial" w:hAnsi="Arial" w:cs="Arial"/>
          <w:b/>
          <w:bCs/>
          <w:sz w:val="20"/>
          <w:szCs w:val="20"/>
        </w:rPr>
        <w:br/>
      </w:r>
    </w:p>
    <w:p w14:paraId="5D34E47D" w14:textId="77777777" w:rsidR="00A34C98" w:rsidRPr="00A34C98" w:rsidRDefault="00A34C98" w:rsidP="00A34C98">
      <w:pPr>
        <w:rPr>
          <w:rFonts w:ascii="Arial" w:hAnsi="Arial" w:cs="Arial"/>
          <w:sz w:val="20"/>
          <w:szCs w:val="20"/>
        </w:rPr>
      </w:pPr>
      <w:r w:rsidRPr="00A34C98">
        <w:rPr>
          <w:rFonts w:ascii="Arial" w:hAnsi="Arial" w:cs="Arial"/>
          <w:b/>
          <w:bCs/>
          <w:sz w:val="20"/>
          <w:szCs w:val="20"/>
        </w:rPr>
        <w:t xml:space="preserve">Destinatario: </w:t>
      </w:r>
      <w:r w:rsidRPr="00A34C98">
        <w:rPr>
          <w:rFonts w:ascii="Arial" w:hAnsi="Arial" w:cs="Arial"/>
          <w:b/>
          <w:bCs/>
          <w:sz w:val="20"/>
          <w:szCs w:val="20"/>
        </w:rPr>
        <w:tab/>
      </w:r>
      <w:r w:rsidRPr="00A34C98">
        <w:rPr>
          <w:rFonts w:ascii="Arial" w:hAnsi="Arial" w:cs="Arial"/>
          <w:b/>
          <w:bCs/>
          <w:sz w:val="20"/>
          <w:szCs w:val="20"/>
        </w:rPr>
        <w:tab/>
      </w:r>
      <w:r w:rsidRPr="00A34C98">
        <w:rPr>
          <w:rFonts w:ascii="Arial" w:hAnsi="Arial" w:cs="Arial"/>
          <w:b/>
          <w:bCs/>
          <w:sz w:val="20"/>
          <w:szCs w:val="20"/>
        </w:rPr>
        <w:tab/>
      </w:r>
      <w:r w:rsidRPr="00A34C98">
        <w:rPr>
          <w:rFonts w:ascii="Arial" w:hAnsi="Arial" w:cs="Arial"/>
          <w:b/>
          <w:bCs/>
          <w:sz w:val="20"/>
          <w:szCs w:val="20"/>
        </w:rPr>
        <w:tab/>
      </w:r>
      <w:r w:rsidRPr="00A34C98">
        <w:rPr>
          <w:rFonts w:ascii="Arial" w:hAnsi="Arial" w:cs="Arial"/>
          <w:sz w:val="20"/>
          <w:szCs w:val="20"/>
        </w:rPr>
        <w:t xml:space="preserve">Dirección Asuntos Legales Occidente </w:t>
      </w:r>
    </w:p>
    <w:p w14:paraId="512E80ED" w14:textId="77777777" w:rsidR="00A34C98" w:rsidRPr="00A34C98" w:rsidRDefault="00A34C98" w:rsidP="00A34C98">
      <w:pPr>
        <w:rPr>
          <w:rFonts w:ascii="Arial" w:hAnsi="Arial" w:cs="Arial"/>
          <w:sz w:val="20"/>
          <w:szCs w:val="20"/>
        </w:rPr>
      </w:pPr>
      <w:r w:rsidRPr="00A34C98">
        <w:rPr>
          <w:rFonts w:ascii="Arial" w:hAnsi="Arial" w:cs="Arial"/>
          <w:b/>
          <w:bCs/>
          <w:sz w:val="20"/>
          <w:szCs w:val="20"/>
        </w:rPr>
        <w:t>Abogado externo responsable:</w:t>
      </w:r>
      <w:r w:rsidRPr="00A34C98">
        <w:rPr>
          <w:rFonts w:ascii="Arial" w:hAnsi="Arial" w:cs="Arial"/>
          <w:b/>
          <w:bCs/>
          <w:sz w:val="20"/>
          <w:szCs w:val="20"/>
        </w:rPr>
        <w:tab/>
      </w:r>
      <w:r w:rsidRPr="00A34C98">
        <w:rPr>
          <w:rFonts w:ascii="Arial" w:hAnsi="Arial" w:cs="Arial"/>
          <w:sz w:val="20"/>
          <w:szCs w:val="20"/>
          <w:lang w:val="es-ES"/>
        </w:rPr>
        <w:t>GHA</w:t>
      </w:r>
    </w:p>
    <w:p w14:paraId="0014E50F" w14:textId="77777777" w:rsidR="00A34C98" w:rsidRPr="00A34C98" w:rsidRDefault="00A34C98" w:rsidP="00A34C98">
      <w:pPr>
        <w:rPr>
          <w:rFonts w:ascii="Arial" w:hAnsi="Arial" w:cs="Arial"/>
          <w:sz w:val="20"/>
          <w:szCs w:val="20"/>
        </w:rPr>
      </w:pPr>
    </w:p>
    <w:p w14:paraId="3CA42593" w14:textId="77777777" w:rsidR="00A34C98" w:rsidRPr="00A34C98" w:rsidRDefault="00A34C98" w:rsidP="00A34C98">
      <w:pPr>
        <w:rPr>
          <w:rFonts w:ascii="Arial" w:hAnsi="Arial" w:cs="Arial"/>
          <w:sz w:val="20"/>
          <w:szCs w:val="20"/>
        </w:rPr>
      </w:pPr>
    </w:p>
    <w:p w14:paraId="004249EE" w14:textId="77777777" w:rsidR="00A34C98" w:rsidRPr="00A34C98" w:rsidRDefault="00A34C98" w:rsidP="00A34C98">
      <w:pPr>
        <w:rPr>
          <w:rFonts w:ascii="Arial" w:hAnsi="Arial" w:cs="Arial"/>
          <w:b/>
          <w:bCs/>
          <w:sz w:val="20"/>
          <w:szCs w:val="20"/>
        </w:rPr>
      </w:pPr>
      <w:r w:rsidRPr="00A34C98">
        <w:rPr>
          <w:rFonts w:ascii="Arial" w:hAnsi="Arial" w:cs="Arial"/>
          <w:b/>
          <w:bCs/>
          <w:sz w:val="20"/>
          <w:szCs w:val="20"/>
        </w:rPr>
        <w:t>Datos generales del proceso</w:t>
      </w:r>
    </w:p>
    <w:p w14:paraId="0A1AE231" w14:textId="77777777" w:rsidR="00A34C98" w:rsidRPr="00A34C98" w:rsidRDefault="00A34C98" w:rsidP="00A34C98">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34C98" w:rsidRPr="00A34C98" w14:paraId="36FB936B" w14:textId="77777777" w:rsidTr="00EC630B">
        <w:trPr>
          <w:trHeight w:val="340"/>
        </w:trPr>
        <w:tc>
          <w:tcPr>
            <w:tcW w:w="2338" w:type="dxa"/>
            <w:shd w:val="clear" w:color="auto" w:fill="0033A0"/>
            <w:vAlign w:val="center"/>
          </w:tcPr>
          <w:p w14:paraId="44642427" w14:textId="77777777" w:rsidR="00A34C98" w:rsidRPr="00A34C98" w:rsidRDefault="00A34C98" w:rsidP="00EC630B">
            <w:pPr>
              <w:rPr>
                <w:rFonts w:ascii="Arial" w:hAnsi="Arial" w:cs="Arial"/>
                <w:b/>
                <w:sz w:val="20"/>
                <w:szCs w:val="20"/>
              </w:rPr>
            </w:pPr>
            <w:r w:rsidRPr="00A34C98">
              <w:rPr>
                <w:rFonts w:ascii="Arial" w:hAnsi="Arial" w:cs="Arial"/>
                <w:b/>
                <w:sz w:val="20"/>
                <w:szCs w:val="20"/>
              </w:rPr>
              <w:t>Compañía vinculada</w:t>
            </w:r>
          </w:p>
        </w:tc>
        <w:tc>
          <w:tcPr>
            <w:tcW w:w="7512" w:type="dxa"/>
            <w:gridSpan w:val="3"/>
            <w:vAlign w:val="center"/>
          </w:tcPr>
          <w:p w14:paraId="50CBD6C8" w14:textId="77777777" w:rsidR="00A34C98" w:rsidRPr="00A34C98" w:rsidRDefault="00A34C98" w:rsidP="00EC630B">
            <w:pPr>
              <w:pStyle w:val="Ttulo4"/>
              <w:rPr>
                <w:rFonts w:ascii="Arial" w:hAnsi="Arial" w:cs="Arial"/>
                <w:b/>
                <w:i w:val="0"/>
                <w:iCs w:val="0"/>
                <w:color w:val="auto"/>
                <w:sz w:val="20"/>
              </w:rPr>
            </w:pPr>
            <w:r w:rsidRPr="00A34C98">
              <w:rPr>
                <w:rFonts w:ascii="Arial" w:hAnsi="Arial" w:cs="Arial"/>
                <w:i w:val="0"/>
                <w:iCs w:val="0"/>
                <w:color w:val="auto"/>
                <w:sz w:val="20"/>
              </w:rPr>
              <w:t xml:space="preserve">SEGUROS GENERALES SURAMERICANA S.A. </w:t>
            </w:r>
          </w:p>
        </w:tc>
      </w:tr>
      <w:tr w:rsidR="00A34C98" w:rsidRPr="00A34C98" w14:paraId="7F477DFC" w14:textId="77777777" w:rsidTr="00EC630B">
        <w:trPr>
          <w:trHeight w:val="340"/>
        </w:trPr>
        <w:tc>
          <w:tcPr>
            <w:tcW w:w="2338" w:type="dxa"/>
            <w:shd w:val="clear" w:color="auto" w:fill="0033A0"/>
            <w:vAlign w:val="center"/>
          </w:tcPr>
          <w:p w14:paraId="6C5344C3" w14:textId="77777777" w:rsidR="00A34C98" w:rsidRPr="00A34C98" w:rsidRDefault="00A34C98" w:rsidP="00EC630B">
            <w:pPr>
              <w:rPr>
                <w:rFonts w:ascii="Arial" w:hAnsi="Arial" w:cs="Arial"/>
                <w:b/>
                <w:sz w:val="20"/>
                <w:szCs w:val="20"/>
              </w:rPr>
            </w:pPr>
            <w:r w:rsidRPr="00A34C98">
              <w:rPr>
                <w:rFonts w:ascii="Arial" w:hAnsi="Arial" w:cs="Arial"/>
                <w:b/>
                <w:sz w:val="20"/>
                <w:szCs w:val="20"/>
              </w:rPr>
              <w:t>Tipo de vinculación</w:t>
            </w:r>
          </w:p>
        </w:tc>
        <w:tc>
          <w:tcPr>
            <w:tcW w:w="7512" w:type="dxa"/>
            <w:gridSpan w:val="3"/>
            <w:vAlign w:val="center"/>
          </w:tcPr>
          <w:p w14:paraId="5181E553" w14:textId="77777777" w:rsidR="00A34C98" w:rsidRPr="00A34C98" w:rsidRDefault="00A34C98" w:rsidP="00EC630B">
            <w:pPr>
              <w:pStyle w:val="Ttulo4"/>
              <w:rPr>
                <w:rFonts w:ascii="Arial" w:hAnsi="Arial" w:cs="Arial"/>
                <w:b/>
                <w:i w:val="0"/>
                <w:iCs w:val="0"/>
                <w:color w:val="auto"/>
                <w:sz w:val="20"/>
              </w:rPr>
            </w:pPr>
            <w:r w:rsidRPr="00A34C98">
              <w:rPr>
                <w:rFonts w:ascii="Arial" w:hAnsi="Arial" w:cs="Arial"/>
                <w:i w:val="0"/>
                <w:iCs w:val="0"/>
                <w:color w:val="auto"/>
                <w:sz w:val="20"/>
              </w:rPr>
              <w:t>Demanda directa</w:t>
            </w:r>
          </w:p>
        </w:tc>
      </w:tr>
      <w:tr w:rsidR="00A34C98" w:rsidRPr="00A34C98" w14:paraId="0C5BB8A8" w14:textId="77777777" w:rsidTr="00EC630B">
        <w:trPr>
          <w:trHeight w:val="340"/>
        </w:trPr>
        <w:tc>
          <w:tcPr>
            <w:tcW w:w="2338" w:type="dxa"/>
            <w:shd w:val="clear" w:color="auto" w:fill="0033A0"/>
            <w:vAlign w:val="center"/>
          </w:tcPr>
          <w:p w14:paraId="74B92EC5" w14:textId="77777777" w:rsidR="00A34C98" w:rsidRPr="00A34C98" w:rsidRDefault="00A34C98" w:rsidP="00EC630B">
            <w:pPr>
              <w:rPr>
                <w:rFonts w:ascii="Arial" w:hAnsi="Arial" w:cs="Arial"/>
                <w:b/>
                <w:sz w:val="20"/>
                <w:szCs w:val="20"/>
              </w:rPr>
            </w:pPr>
            <w:r w:rsidRPr="00A34C98">
              <w:rPr>
                <w:rFonts w:ascii="Arial" w:hAnsi="Arial" w:cs="Arial"/>
                <w:b/>
                <w:sz w:val="20"/>
                <w:szCs w:val="20"/>
              </w:rPr>
              <w:t>Jurisdicción</w:t>
            </w:r>
          </w:p>
        </w:tc>
        <w:tc>
          <w:tcPr>
            <w:tcW w:w="3402" w:type="dxa"/>
            <w:vAlign w:val="center"/>
          </w:tcPr>
          <w:p w14:paraId="7F443014"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Civil</w:t>
            </w:r>
          </w:p>
        </w:tc>
        <w:tc>
          <w:tcPr>
            <w:tcW w:w="1701" w:type="dxa"/>
            <w:tcBorders>
              <w:top w:val="single" w:sz="4" w:space="0" w:color="auto"/>
            </w:tcBorders>
            <w:shd w:val="clear" w:color="auto" w:fill="0033A0"/>
            <w:vAlign w:val="center"/>
          </w:tcPr>
          <w:p w14:paraId="75F55A7C" w14:textId="77777777" w:rsidR="00A34C98" w:rsidRPr="00A34C98" w:rsidRDefault="00A34C98" w:rsidP="00EC630B">
            <w:pPr>
              <w:rPr>
                <w:rFonts w:ascii="Arial" w:hAnsi="Arial" w:cs="Arial"/>
                <w:b/>
                <w:sz w:val="20"/>
                <w:szCs w:val="20"/>
                <w:highlight w:val="yellow"/>
              </w:rPr>
            </w:pPr>
            <w:r w:rsidRPr="00A34C98">
              <w:rPr>
                <w:rFonts w:ascii="Arial" w:hAnsi="Arial" w:cs="Arial"/>
                <w:b/>
                <w:sz w:val="20"/>
                <w:szCs w:val="20"/>
              </w:rPr>
              <w:t>Tipo de proceso</w:t>
            </w:r>
          </w:p>
        </w:tc>
        <w:tc>
          <w:tcPr>
            <w:tcW w:w="2409" w:type="dxa"/>
            <w:vAlign w:val="center"/>
          </w:tcPr>
          <w:p w14:paraId="609D448D"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 xml:space="preserve">Ordinario </w:t>
            </w:r>
          </w:p>
        </w:tc>
      </w:tr>
      <w:tr w:rsidR="00A34C98" w:rsidRPr="00A34C98" w14:paraId="651440DD" w14:textId="77777777" w:rsidTr="00EC630B">
        <w:trPr>
          <w:trHeight w:val="340"/>
        </w:trPr>
        <w:tc>
          <w:tcPr>
            <w:tcW w:w="2338" w:type="dxa"/>
            <w:shd w:val="clear" w:color="auto" w:fill="0033A0"/>
            <w:vAlign w:val="center"/>
          </w:tcPr>
          <w:p w14:paraId="35C7B9EE" w14:textId="77777777" w:rsidR="00A34C98" w:rsidRPr="00A34C98" w:rsidRDefault="00A34C98" w:rsidP="00EC630B">
            <w:pPr>
              <w:rPr>
                <w:rFonts w:ascii="Arial" w:hAnsi="Arial" w:cs="Arial"/>
                <w:b/>
                <w:sz w:val="20"/>
                <w:szCs w:val="20"/>
              </w:rPr>
            </w:pPr>
            <w:r w:rsidRPr="00A34C98">
              <w:rPr>
                <w:rFonts w:ascii="Arial" w:hAnsi="Arial" w:cs="Arial"/>
                <w:b/>
                <w:sz w:val="20"/>
                <w:szCs w:val="20"/>
              </w:rPr>
              <w:t>Instancia</w:t>
            </w:r>
          </w:p>
        </w:tc>
        <w:tc>
          <w:tcPr>
            <w:tcW w:w="7512" w:type="dxa"/>
            <w:gridSpan w:val="3"/>
            <w:vAlign w:val="center"/>
          </w:tcPr>
          <w:p w14:paraId="4A34C271" w14:textId="77777777" w:rsidR="00A34C98" w:rsidRPr="00A34C98" w:rsidRDefault="00A34C98" w:rsidP="00EC630B">
            <w:pPr>
              <w:pStyle w:val="Ttulo4"/>
              <w:rPr>
                <w:rFonts w:ascii="Arial" w:hAnsi="Arial" w:cs="Arial"/>
                <w:b/>
                <w:i w:val="0"/>
                <w:iCs w:val="0"/>
                <w:color w:val="auto"/>
                <w:sz w:val="20"/>
              </w:rPr>
            </w:pPr>
            <w:r w:rsidRPr="00A34C98">
              <w:rPr>
                <w:rFonts w:ascii="Arial" w:hAnsi="Arial" w:cs="Arial"/>
                <w:i w:val="0"/>
                <w:iCs w:val="0"/>
                <w:color w:val="auto"/>
                <w:sz w:val="20"/>
              </w:rPr>
              <w:t xml:space="preserve">Primera Instancia </w:t>
            </w:r>
          </w:p>
        </w:tc>
      </w:tr>
      <w:tr w:rsidR="00A34C98" w:rsidRPr="00A34C98" w14:paraId="1CB43495" w14:textId="77777777" w:rsidTr="00EC630B">
        <w:trPr>
          <w:trHeight w:val="340"/>
        </w:trPr>
        <w:tc>
          <w:tcPr>
            <w:tcW w:w="2338" w:type="dxa"/>
            <w:shd w:val="clear" w:color="auto" w:fill="0033A0"/>
            <w:vAlign w:val="center"/>
          </w:tcPr>
          <w:p w14:paraId="550959FE" w14:textId="77777777" w:rsidR="00A34C98" w:rsidRPr="00A34C98" w:rsidRDefault="00A34C98" w:rsidP="00EC630B">
            <w:pPr>
              <w:rPr>
                <w:rFonts w:ascii="Arial" w:hAnsi="Arial" w:cs="Arial"/>
                <w:b/>
                <w:sz w:val="20"/>
                <w:szCs w:val="20"/>
              </w:rPr>
            </w:pPr>
            <w:r w:rsidRPr="00A34C98">
              <w:rPr>
                <w:rFonts w:ascii="Arial" w:hAnsi="Arial" w:cs="Arial"/>
                <w:b/>
                <w:sz w:val="20"/>
                <w:szCs w:val="20"/>
              </w:rPr>
              <w:t>Fecha de notificación</w:t>
            </w:r>
          </w:p>
        </w:tc>
        <w:tc>
          <w:tcPr>
            <w:tcW w:w="7512" w:type="dxa"/>
            <w:gridSpan w:val="3"/>
            <w:vAlign w:val="center"/>
          </w:tcPr>
          <w:p w14:paraId="62CE3AD7"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07 de mayo de 2025 se allega notificación del auto que admite la demanda al buzón electrónico de SURA.</w:t>
            </w:r>
          </w:p>
        </w:tc>
      </w:tr>
      <w:tr w:rsidR="00A34C98" w:rsidRPr="00A34C98" w14:paraId="63B0F959" w14:textId="77777777" w:rsidTr="00EC630B">
        <w:trPr>
          <w:trHeight w:val="340"/>
        </w:trPr>
        <w:tc>
          <w:tcPr>
            <w:tcW w:w="2338" w:type="dxa"/>
            <w:shd w:val="clear" w:color="auto" w:fill="0033A0"/>
            <w:vAlign w:val="center"/>
          </w:tcPr>
          <w:p w14:paraId="4851EFE0" w14:textId="77777777" w:rsidR="00A34C98" w:rsidRPr="00A34C98" w:rsidRDefault="00A34C98" w:rsidP="00EC630B">
            <w:pPr>
              <w:rPr>
                <w:rFonts w:ascii="Arial" w:hAnsi="Arial" w:cs="Arial"/>
                <w:b/>
                <w:sz w:val="20"/>
                <w:szCs w:val="20"/>
              </w:rPr>
            </w:pPr>
            <w:r w:rsidRPr="00A34C98">
              <w:rPr>
                <w:rFonts w:ascii="Arial" w:hAnsi="Arial" w:cs="Arial"/>
                <w:b/>
                <w:sz w:val="20"/>
                <w:szCs w:val="20"/>
              </w:rPr>
              <w:t>Abogado demandante</w:t>
            </w:r>
          </w:p>
        </w:tc>
        <w:tc>
          <w:tcPr>
            <w:tcW w:w="3402" w:type="dxa"/>
            <w:vAlign w:val="center"/>
          </w:tcPr>
          <w:p w14:paraId="0A6C439D" w14:textId="77777777" w:rsidR="00A34C98" w:rsidRPr="00A34C98" w:rsidRDefault="00A34C98" w:rsidP="00EC630B">
            <w:pPr>
              <w:jc w:val="both"/>
              <w:rPr>
                <w:rFonts w:ascii="Arial" w:hAnsi="Arial" w:cs="Arial"/>
                <w:sz w:val="20"/>
                <w:szCs w:val="20"/>
                <w:lang w:val="es-ES"/>
              </w:rPr>
            </w:pPr>
            <w:r w:rsidRPr="00A34C98">
              <w:rPr>
                <w:rFonts w:ascii="Arial" w:hAnsi="Arial" w:cs="Arial"/>
                <w:sz w:val="20"/>
                <w:szCs w:val="20"/>
                <w:lang w:val="es-ES"/>
              </w:rPr>
              <w:t xml:space="preserve">Fernando López Carrera </w:t>
            </w:r>
          </w:p>
        </w:tc>
        <w:tc>
          <w:tcPr>
            <w:tcW w:w="1701" w:type="dxa"/>
            <w:shd w:val="clear" w:color="auto" w:fill="0033A0"/>
            <w:vAlign w:val="center"/>
          </w:tcPr>
          <w:p w14:paraId="766A8C56" w14:textId="77777777" w:rsidR="00A34C98" w:rsidRPr="00A34C98" w:rsidRDefault="00A34C98" w:rsidP="00EC630B">
            <w:pPr>
              <w:jc w:val="both"/>
              <w:rPr>
                <w:rFonts w:ascii="Arial" w:hAnsi="Arial" w:cs="Arial"/>
                <w:b/>
                <w:bCs/>
                <w:sz w:val="20"/>
                <w:szCs w:val="20"/>
                <w:lang w:val="es-ES"/>
              </w:rPr>
            </w:pPr>
            <w:r w:rsidRPr="00A34C98">
              <w:rPr>
                <w:rFonts w:ascii="Arial" w:hAnsi="Arial" w:cs="Arial"/>
                <w:b/>
                <w:bCs/>
                <w:sz w:val="20"/>
                <w:szCs w:val="20"/>
                <w:lang w:val="es-ES"/>
              </w:rPr>
              <w:t>Identificación</w:t>
            </w:r>
          </w:p>
        </w:tc>
        <w:tc>
          <w:tcPr>
            <w:tcW w:w="2409" w:type="dxa"/>
            <w:vAlign w:val="center"/>
          </w:tcPr>
          <w:p w14:paraId="7096C92F" w14:textId="77777777" w:rsidR="00A34C98" w:rsidRPr="00A34C98" w:rsidRDefault="00A34C98" w:rsidP="00EC630B">
            <w:pPr>
              <w:jc w:val="both"/>
              <w:rPr>
                <w:rFonts w:ascii="Arial" w:hAnsi="Arial" w:cs="Arial"/>
                <w:sz w:val="20"/>
                <w:szCs w:val="20"/>
                <w:lang w:val="es-ES"/>
              </w:rPr>
            </w:pPr>
            <w:r w:rsidRPr="00A34C98">
              <w:rPr>
                <w:rFonts w:ascii="Arial" w:hAnsi="Arial" w:cs="Arial"/>
                <w:sz w:val="20"/>
                <w:szCs w:val="20"/>
                <w:lang w:val="es-ES"/>
              </w:rPr>
              <w:t>76.325.878</w:t>
            </w:r>
          </w:p>
        </w:tc>
      </w:tr>
    </w:tbl>
    <w:p w14:paraId="175AAD1E" w14:textId="77777777" w:rsidR="00A34C98" w:rsidRPr="00A34C98" w:rsidRDefault="00A34C98" w:rsidP="00A34C98">
      <w:pPr>
        <w:rPr>
          <w:rFonts w:ascii="Arial" w:hAnsi="Arial" w:cs="Arial"/>
          <w:b/>
          <w:sz w:val="20"/>
          <w:szCs w:val="20"/>
          <w:u w:val="single"/>
        </w:rPr>
      </w:pPr>
    </w:p>
    <w:p w14:paraId="0CB00CF3" w14:textId="77777777" w:rsidR="00A34C98" w:rsidRPr="00A34C98" w:rsidRDefault="00A34C98" w:rsidP="00A34C98">
      <w:pPr>
        <w:rPr>
          <w:rFonts w:ascii="Arial" w:hAnsi="Arial" w:cs="Arial"/>
          <w:b/>
          <w:sz w:val="20"/>
          <w:szCs w:val="20"/>
        </w:rPr>
      </w:pPr>
    </w:p>
    <w:p w14:paraId="58ED90D4" w14:textId="77777777" w:rsidR="00A34C98" w:rsidRPr="00A34C98" w:rsidRDefault="00A34C98" w:rsidP="00A34C98">
      <w:pPr>
        <w:rPr>
          <w:rFonts w:ascii="Arial" w:hAnsi="Arial" w:cs="Arial"/>
          <w:b/>
          <w:sz w:val="20"/>
          <w:szCs w:val="20"/>
        </w:rPr>
      </w:pPr>
      <w:r w:rsidRPr="00A34C98">
        <w:rPr>
          <w:rFonts w:ascii="Arial" w:hAnsi="Arial" w:cs="Arial"/>
          <w:b/>
          <w:sz w:val="20"/>
          <w:szCs w:val="20"/>
        </w:rPr>
        <w:t>Seguro afectado</w:t>
      </w:r>
    </w:p>
    <w:p w14:paraId="2CDA0AF4" w14:textId="77777777" w:rsidR="00A34C98" w:rsidRPr="00A34C98" w:rsidRDefault="00A34C98" w:rsidP="00A34C98">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A34C98" w:rsidRPr="00A34C98" w14:paraId="702FCB9C" w14:textId="77777777" w:rsidTr="00EC630B">
        <w:trPr>
          <w:trHeight w:val="340"/>
        </w:trPr>
        <w:tc>
          <w:tcPr>
            <w:tcW w:w="2353" w:type="dxa"/>
            <w:shd w:val="clear" w:color="auto" w:fill="0033A0"/>
            <w:vAlign w:val="center"/>
          </w:tcPr>
          <w:p w14:paraId="43E308BC" w14:textId="77777777" w:rsidR="00A34C98" w:rsidRPr="00A34C98" w:rsidRDefault="00A34C98" w:rsidP="00EC630B">
            <w:pPr>
              <w:jc w:val="both"/>
              <w:rPr>
                <w:rFonts w:ascii="Arial" w:hAnsi="Arial" w:cs="Arial"/>
                <w:b/>
                <w:sz w:val="20"/>
                <w:szCs w:val="20"/>
              </w:rPr>
            </w:pPr>
            <w:r w:rsidRPr="00A34C98">
              <w:rPr>
                <w:rFonts w:ascii="Arial" w:hAnsi="Arial" w:cs="Arial"/>
                <w:b/>
                <w:sz w:val="20"/>
                <w:szCs w:val="20"/>
              </w:rPr>
              <w:t>Asegurado / afiliado</w:t>
            </w:r>
          </w:p>
        </w:tc>
        <w:tc>
          <w:tcPr>
            <w:tcW w:w="3386" w:type="dxa"/>
            <w:vAlign w:val="center"/>
          </w:tcPr>
          <w:p w14:paraId="77D2E2D2" w14:textId="77777777" w:rsidR="00A34C98" w:rsidRPr="00A34C98" w:rsidRDefault="00A34C98" w:rsidP="00EC630B">
            <w:pPr>
              <w:jc w:val="both"/>
              <w:rPr>
                <w:rFonts w:ascii="Arial" w:hAnsi="Arial" w:cs="Arial"/>
                <w:sz w:val="20"/>
                <w:szCs w:val="20"/>
              </w:rPr>
            </w:pPr>
            <w:r w:rsidRPr="00A34C98">
              <w:rPr>
                <w:rFonts w:ascii="Arial" w:hAnsi="Arial" w:cs="Arial"/>
                <w:bCs/>
                <w:sz w:val="20"/>
                <w:szCs w:val="20"/>
                <w:lang w:val="es-ES_tradnl"/>
              </w:rPr>
              <w:t xml:space="preserve">Compañía Energética de Occidente SA ESP </w:t>
            </w:r>
          </w:p>
        </w:tc>
        <w:tc>
          <w:tcPr>
            <w:tcW w:w="1702" w:type="dxa"/>
            <w:shd w:val="clear" w:color="auto" w:fill="0033A0"/>
            <w:vAlign w:val="center"/>
          </w:tcPr>
          <w:p w14:paraId="705479EA" w14:textId="77777777" w:rsidR="00A34C98" w:rsidRPr="00A34C98" w:rsidRDefault="00A34C98" w:rsidP="00EC630B">
            <w:pPr>
              <w:jc w:val="both"/>
              <w:rPr>
                <w:rFonts w:ascii="Arial" w:hAnsi="Arial" w:cs="Arial"/>
                <w:b/>
                <w:sz w:val="20"/>
                <w:szCs w:val="20"/>
              </w:rPr>
            </w:pPr>
            <w:r w:rsidRPr="00A34C98">
              <w:rPr>
                <w:rFonts w:ascii="Arial" w:hAnsi="Arial" w:cs="Arial"/>
                <w:b/>
                <w:bCs/>
                <w:sz w:val="20"/>
                <w:szCs w:val="20"/>
                <w:lang w:val="es-ES"/>
              </w:rPr>
              <w:t>Identificación</w:t>
            </w:r>
          </w:p>
        </w:tc>
        <w:tc>
          <w:tcPr>
            <w:tcW w:w="2408" w:type="dxa"/>
            <w:gridSpan w:val="2"/>
            <w:vAlign w:val="center"/>
          </w:tcPr>
          <w:p w14:paraId="73D5E7F0"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NIT 9003660101</w:t>
            </w:r>
          </w:p>
        </w:tc>
      </w:tr>
      <w:tr w:rsidR="00A34C98" w:rsidRPr="00A34C98" w14:paraId="3C10D3C0" w14:textId="77777777" w:rsidTr="00EC630B">
        <w:trPr>
          <w:trHeight w:val="340"/>
        </w:trPr>
        <w:tc>
          <w:tcPr>
            <w:tcW w:w="2353" w:type="dxa"/>
            <w:shd w:val="clear" w:color="auto" w:fill="0033A0"/>
            <w:vAlign w:val="center"/>
          </w:tcPr>
          <w:p w14:paraId="74A30F63" w14:textId="77777777" w:rsidR="00A34C98" w:rsidRPr="00A34C98" w:rsidRDefault="00A34C98" w:rsidP="00EC630B">
            <w:pPr>
              <w:jc w:val="both"/>
              <w:rPr>
                <w:rFonts w:ascii="Arial" w:hAnsi="Arial" w:cs="Arial"/>
                <w:b/>
                <w:sz w:val="20"/>
                <w:szCs w:val="20"/>
              </w:rPr>
            </w:pPr>
            <w:r w:rsidRPr="00A34C98">
              <w:rPr>
                <w:rFonts w:ascii="Arial" w:hAnsi="Arial" w:cs="Arial"/>
                <w:b/>
                <w:sz w:val="20"/>
                <w:szCs w:val="20"/>
              </w:rPr>
              <w:t>Fecha del siniestro</w:t>
            </w:r>
          </w:p>
        </w:tc>
        <w:tc>
          <w:tcPr>
            <w:tcW w:w="7496" w:type="dxa"/>
            <w:gridSpan w:val="4"/>
            <w:vAlign w:val="center"/>
          </w:tcPr>
          <w:p w14:paraId="2E924293"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22 de agosto de 2017</w:t>
            </w:r>
          </w:p>
        </w:tc>
      </w:tr>
      <w:tr w:rsidR="00A34C98" w:rsidRPr="00A34C98" w14:paraId="4270BCA7" w14:textId="77777777" w:rsidTr="00EC630B">
        <w:trPr>
          <w:trHeight w:val="292"/>
        </w:trPr>
        <w:tc>
          <w:tcPr>
            <w:tcW w:w="2353" w:type="dxa"/>
            <w:shd w:val="clear" w:color="auto" w:fill="0033A0"/>
            <w:vAlign w:val="center"/>
          </w:tcPr>
          <w:p w14:paraId="6C983820" w14:textId="77777777" w:rsidR="00A34C98" w:rsidRPr="00A34C98" w:rsidRDefault="00A34C98" w:rsidP="00EC630B">
            <w:pPr>
              <w:rPr>
                <w:rFonts w:ascii="Arial" w:hAnsi="Arial" w:cs="Arial"/>
                <w:b/>
                <w:sz w:val="20"/>
                <w:szCs w:val="20"/>
              </w:rPr>
            </w:pPr>
            <w:r w:rsidRPr="00A34C98">
              <w:rPr>
                <w:rFonts w:ascii="Arial" w:hAnsi="Arial" w:cs="Arial"/>
                <w:b/>
                <w:sz w:val="20"/>
                <w:szCs w:val="20"/>
              </w:rPr>
              <w:t>Nro. póliza afectada</w:t>
            </w:r>
          </w:p>
        </w:tc>
        <w:tc>
          <w:tcPr>
            <w:tcW w:w="3386" w:type="dxa"/>
            <w:vAlign w:val="center"/>
          </w:tcPr>
          <w:p w14:paraId="26AE197D" w14:textId="08F430B0" w:rsidR="00A34C98" w:rsidRPr="00A34C98" w:rsidRDefault="00A34C98" w:rsidP="00EC630B">
            <w:pPr>
              <w:jc w:val="both"/>
              <w:rPr>
                <w:rFonts w:ascii="Arial" w:hAnsi="Arial" w:cs="Arial"/>
                <w:sz w:val="20"/>
                <w:szCs w:val="20"/>
              </w:rPr>
            </w:pPr>
            <w:r w:rsidRPr="00A34C98">
              <w:rPr>
                <w:rFonts w:ascii="Arial" w:hAnsi="Arial" w:cs="Arial"/>
                <w:sz w:val="20"/>
                <w:szCs w:val="20"/>
              </w:rPr>
              <w:t xml:space="preserve">No. </w:t>
            </w:r>
            <w:r w:rsidR="00E36F9A">
              <w:rPr>
                <w:rFonts w:ascii="Arial" w:hAnsi="Arial" w:cs="Arial"/>
                <w:sz w:val="20"/>
                <w:szCs w:val="20"/>
              </w:rPr>
              <w:t>0</w:t>
            </w:r>
            <w:r w:rsidRPr="00A34C98">
              <w:rPr>
                <w:rFonts w:ascii="Arial" w:hAnsi="Arial" w:cs="Arial"/>
                <w:sz w:val="20"/>
                <w:szCs w:val="20"/>
              </w:rPr>
              <w:t>150450</w:t>
            </w:r>
            <w:r w:rsidR="00E36F9A">
              <w:rPr>
                <w:rFonts w:ascii="Arial" w:hAnsi="Arial" w:cs="Arial"/>
                <w:sz w:val="20"/>
                <w:szCs w:val="20"/>
              </w:rPr>
              <w:t>-4</w:t>
            </w:r>
          </w:p>
        </w:tc>
        <w:tc>
          <w:tcPr>
            <w:tcW w:w="1702" w:type="dxa"/>
            <w:shd w:val="clear" w:color="auto" w:fill="0033A0"/>
            <w:vAlign w:val="center"/>
          </w:tcPr>
          <w:p w14:paraId="00149F9D" w14:textId="77777777" w:rsidR="00A34C98" w:rsidRPr="00A34C98" w:rsidRDefault="00A34C98" w:rsidP="00EC630B">
            <w:pPr>
              <w:autoSpaceDE w:val="0"/>
              <w:autoSpaceDN w:val="0"/>
              <w:adjustRightInd w:val="0"/>
              <w:jc w:val="both"/>
              <w:rPr>
                <w:rFonts w:ascii="Arial" w:hAnsi="Arial" w:cs="Arial"/>
                <w:sz w:val="20"/>
                <w:szCs w:val="20"/>
              </w:rPr>
            </w:pPr>
            <w:r w:rsidRPr="00A34C98">
              <w:rPr>
                <w:rFonts w:ascii="Arial" w:hAnsi="Arial" w:cs="Arial"/>
                <w:sz w:val="20"/>
                <w:szCs w:val="20"/>
              </w:rPr>
              <w:t>Ramo</w:t>
            </w:r>
          </w:p>
        </w:tc>
        <w:tc>
          <w:tcPr>
            <w:tcW w:w="2408" w:type="dxa"/>
            <w:gridSpan w:val="2"/>
            <w:vAlign w:val="center"/>
          </w:tcPr>
          <w:p w14:paraId="323BFD4A"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Responsabilidad Civil Daños a Terceros</w:t>
            </w:r>
          </w:p>
        </w:tc>
      </w:tr>
      <w:tr w:rsidR="00A34C98" w:rsidRPr="00A34C98" w14:paraId="525ABDB7" w14:textId="77777777" w:rsidTr="00EC630B">
        <w:trPr>
          <w:cantSplit/>
          <w:trHeight w:val="340"/>
        </w:trPr>
        <w:tc>
          <w:tcPr>
            <w:tcW w:w="2353" w:type="dxa"/>
            <w:shd w:val="clear" w:color="auto" w:fill="0033A0"/>
            <w:vAlign w:val="center"/>
          </w:tcPr>
          <w:p w14:paraId="7A021FB1" w14:textId="77777777" w:rsidR="00A34C98" w:rsidRPr="00A34C98" w:rsidRDefault="00A34C98" w:rsidP="00EC630B">
            <w:pPr>
              <w:rPr>
                <w:rFonts w:ascii="Arial" w:hAnsi="Arial" w:cs="Arial"/>
                <w:b/>
                <w:sz w:val="20"/>
                <w:szCs w:val="20"/>
              </w:rPr>
            </w:pPr>
            <w:r w:rsidRPr="00A34C98">
              <w:rPr>
                <w:rFonts w:ascii="Arial" w:hAnsi="Arial" w:cs="Arial"/>
                <w:b/>
                <w:sz w:val="20"/>
                <w:szCs w:val="20"/>
              </w:rPr>
              <w:t>Vigencia afectada</w:t>
            </w:r>
          </w:p>
        </w:tc>
        <w:tc>
          <w:tcPr>
            <w:tcW w:w="7496" w:type="dxa"/>
            <w:gridSpan w:val="4"/>
            <w:vAlign w:val="center"/>
          </w:tcPr>
          <w:p w14:paraId="3E86BF03"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 xml:space="preserve">Del 01/06/2017 al 01/06/2018 </w:t>
            </w:r>
          </w:p>
        </w:tc>
      </w:tr>
      <w:tr w:rsidR="00A34C98" w:rsidRPr="00A34C98" w14:paraId="2E0E1D05" w14:textId="77777777" w:rsidTr="00EC630B">
        <w:trPr>
          <w:cantSplit/>
          <w:trHeight w:val="340"/>
        </w:trPr>
        <w:tc>
          <w:tcPr>
            <w:tcW w:w="2353" w:type="dxa"/>
            <w:shd w:val="clear" w:color="auto" w:fill="0033A0"/>
            <w:vAlign w:val="center"/>
          </w:tcPr>
          <w:p w14:paraId="7E2CF755" w14:textId="77777777" w:rsidR="00A34C98" w:rsidRPr="00A34C98" w:rsidRDefault="00A34C98" w:rsidP="00EC630B">
            <w:pPr>
              <w:rPr>
                <w:rFonts w:ascii="Arial" w:hAnsi="Arial" w:cs="Arial"/>
                <w:b/>
                <w:sz w:val="20"/>
                <w:szCs w:val="20"/>
              </w:rPr>
            </w:pPr>
            <w:r w:rsidRPr="00A34C98">
              <w:rPr>
                <w:rFonts w:ascii="Arial" w:hAnsi="Arial" w:cs="Arial"/>
                <w:b/>
                <w:sz w:val="20"/>
                <w:szCs w:val="20"/>
              </w:rPr>
              <w:t>Valor Asegurado</w:t>
            </w:r>
          </w:p>
        </w:tc>
        <w:tc>
          <w:tcPr>
            <w:tcW w:w="3386" w:type="dxa"/>
            <w:vAlign w:val="center"/>
          </w:tcPr>
          <w:p w14:paraId="1E1980A0" w14:textId="2F936057" w:rsidR="00A34C98" w:rsidRPr="00A34C98" w:rsidRDefault="00A34C98" w:rsidP="00EC630B">
            <w:pPr>
              <w:autoSpaceDE w:val="0"/>
              <w:autoSpaceDN w:val="0"/>
              <w:adjustRightInd w:val="0"/>
              <w:rPr>
                <w:rFonts w:ascii="Arial" w:hAnsi="Arial" w:cs="Arial"/>
                <w:sz w:val="20"/>
                <w:szCs w:val="20"/>
              </w:rPr>
            </w:pPr>
            <w:r w:rsidRPr="00A34C98">
              <w:rPr>
                <w:rFonts w:ascii="Arial" w:hAnsi="Arial" w:cs="Arial"/>
                <w:sz w:val="20"/>
                <w:szCs w:val="20"/>
              </w:rPr>
              <w:t xml:space="preserve">Responsabilidad </w:t>
            </w:r>
            <w:r w:rsidR="00EE7677">
              <w:rPr>
                <w:rFonts w:ascii="Arial" w:hAnsi="Arial" w:cs="Arial"/>
                <w:sz w:val="20"/>
                <w:szCs w:val="20"/>
              </w:rPr>
              <w:t>civil contratistas y subcontratistas $7.500.000.000</w:t>
            </w:r>
          </w:p>
        </w:tc>
        <w:tc>
          <w:tcPr>
            <w:tcW w:w="1718" w:type="dxa"/>
            <w:gridSpan w:val="2"/>
            <w:shd w:val="clear" w:color="auto" w:fill="0033A0"/>
            <w:vAlign w:val="center"/>
          </w:tcPr>
          <w:p w14:paraId="536840A2" w14:textId="77777777" w:rsidR="00A34C98" w:rsidRPr="00A34C98" w:rsidRDefault="00A34C98" w:rsidP="00EC630B">
            <w:pPr>
              <w:autoSpaceDE w:val="0"/>
              <w:autoSpaceDN w:val="0"/>
              <w:adjustRightInd w:val="0"/>
              <w:rPr>
                <w:rFonts w:ascii="Arial" w:hAnsi="Arial" w:cs="Arial"/>
                <w:sz w:val="20"/>
                <w:szCs w:val="20"/>
              </w:rPr>
            </w:pPr>
            <w:r w:rsidRPr="00A34C98">
              <w:rPr>
                <w:rFonts w:ascii="Arial" w:hAnsi="Arial" w:cs="Arial"/>
                <w:sz w:val="20"/>
                <w:szCs w:val="20"/>
              </w:rPr>
              <w:t xml:space="preserve">Placa </w:t>
            </w:r>
          </w:p>
        </w:tc>
        <w:tc>
          <w:tcPr>
            <w:tcW w:w="2392" w:type="dxa"/>
            <w:vAlign w:val="center"/>
          </w:tcPr>
          <w:p w14:paraId="61845DC4" w14:textId="77777777" w:rsidR="00A34C98" w:rsidRPr="00A34C98" w:rsidRDefault="00A34C98" w:rsidP="00EC630B">
            <w:pPr>
              <w:autoSpaceDE w:val="0"/>
              <w:autoSpaceDN w:val="0"/>
              <w:adjustRightInd w:val="0"/>
              <w:rPr>
                <w:rFonts w:ascii="Arial" w:hAnsi="Arial" w:cs="Arial"/>
                <w:sz w:val="20"/>
                <w:szCs w:val="20"/>
              </w:rPr>
            </w:pPr>
            <w:r w:rsidRPr="00A34C98">
              <w:rPr>
                <w:rFonts w:ascii="Arial" w:hAnsi="Arial" w:cs="Arial"/>
                <w:sz w:val="20"/>
                <w:szCs w:val="20"/>
              </w:rPr>
              <w:t>N/A</w:t>
            </w:r>
          </w:p>
        </w:tc>
      </w:tr>
    </w:tbl>
    <w:p w14:paraId="6E7C031C" w14:textId="77777777" w:rsidR="00A34C98" w:rsidRPr="00A34C98" w:rsidRDefault="00A34C98" w:rsidP="00A34C98">
      <w:pPr>
        <w:rPr>
          <w:rFonts w:ascii="Arial" w:hAnsi="Arial" w:cs="Arial"/>
          <w:b/>
          <w:sz w:val="20"/>
          <w:szCs w:val="20"/>
          <w:u w:val="single"/>
        </w:rPr>
      </w:pPr>
    </w:p>
    <w:p w14:paraId="26902F27" w14:textId="77777777" w:rsidR="00A34C98" w:rsidRPr="00A34C98" w:rsidRDefault="00A34C98" w:rsidP="00A34C98">
      <w:pPr>
        <w:rPr>
          <w:rFonts w:ascii="Arial" w:hAnsi="Arial" w:cs="Arial"/>
          <w:b/>
          <w:sz w:val="20"/>
          <w:szCs w:val="20"/>
        </w:rPr>
      </w:pPr>
    </w:p>
    <w:p w14:paraId="046DA6E4" w14:textId="77777777" w:rsidR="00A34C98" w:rsidRPr="00A34C98" w:rsidRDefault="00A34C98" w:rsidP="00A34C98">
      <w:pPr>
        <w:rPr>
          <w:rFonts w:ascii="Arial" w:hAnsi="Arial" w:cs="Arial"/>
          <w:b/>
          <w:sz w:val="20"/>
          <w:szCs w:val="20"/>
        </w:rPr>
      </w:pPr>
      <w:r w:rsidRPr="00A34C98">
        <w:rPr>
          <w:rFonts w:ascii="Arial" w:hAnsi="Arial" w:cs="Arial"/>
          <w:b/>
          <w:sz w:val="20"/>
          <w:szCs w:val="20"/>
        </w:rPr>
        <w:t>Datos específicos del proceso</w:t>
      </w:r>
    </w:p>
    <w:p w14:paraId="7DA82362" w14:textId="77777777" w:rsidR="00A34C98" w:rsidRPr="00A34C98" w:rsidRDefault="00A34C98" w:rsidP="00A34C9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A34C98" w:rsidRPr="00A34C98" w14:paraId="50E6A0DD" w14:textId="77777777" w:rsidTr="00EC630B">
        <w:trPr>
          <w:trHeight w:val="340"/>
        </w:trPr>
        <w:tc>
          <w:tcPr>
            <w:tcW w:w="2338" w:type="dxa"/>
            <w:shd w:val="clear" w:color="auto" w:fill="0033A0"/>
            <w:vAlign w:val="center"/>
          </w:tcPr>
          <w:p w14:paraId="36626D66" w14:textId="77777777" w:rsidR="00A34C98" w:rsidRPr="00A34C98" w:rsidRDefault="00A34C98" w:rsidP="00EC630B">
            <w:pPr>
              <w:rPr>
                <w:rFonts w:ascii="Arial" w:hAnsi="Arial" w:cs="Arial"/>
                <w:b/>
                <w:sz w:val="20"/>
                <w:szCs w:val="20"/>
              </w:rPr>
            </w:pPr>
            <w:r w:rsidRPr="00A34C98">
              <w:rPr>
                <w:rFonts w:ascii="Arial" w:hAnsi="Arial" w:cs="Arial"/>
                <w:b/>
                <w:sz w:val="20"/>
                <w:szCs w:val="20"/>
              </w:rPr>
              <w:t>Demandantes</w:t>
            </w:r>
          </w:p>
        </w:tc>
        <w:tc>
          <w:tcPr>
            <w:tcW w:w="7512" w:type="dxa"/>
            <w:gridSpan w:val="3"/>
            <w:vAlign w:val="center"/>
          </w:tcPr>
          <w:p w14:paraId="790BB333"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Compañía Energética de Occidente SA ESP</w:t>
            </w:r>
          </w:p>
        </w:tc>
      </w:tr>
      <w:tr w:rsidR="00A34C98" w:rsidRPr="00A34C98" w14:paraId="1E1D6358" w14:textId="77777777" w:rsidTr="00EC630B">
        <w:trPr>
          <w:trHeight w:val="545"/>
        </w:trPr>
        <w:tc>
          <w:tcPr>
            <w:tcW w:w="2338" w:type="dxa"/>
            <w:shd w:val="clear" w:color="auto" w:fill="0033A0"/>
            <w:vAlign w:val="center"/>
          </w:tcPr>
          <w:p w14:paraId="3AB62982" w14:textId="77777777" w:rsidR="00A34C98" w:rsidRPr="00A34C98" w:rsidRDefault="00A34C98" w:rsidP="00EC630B">
            <w:pPr>
              <w:rPr>
                <w:rFonts w:ascii="Arial" w:hAnsi="Arial" w:cs="Arial"/>
                <w:b/>
                <w:sz w:val="20"/>
                <w:szCs w:val="20"/>
              </w:rPr>
            </w:pPr>
            <w:r w:rsidRPr="00A34C98">
              <w:rPr>
                <w:rFonts w:ascii="Arial" w:hAnsi="Arial" w:cs="Arial"/>
                <w:b/>
                <w:sz w:val="20"/>
                <w:szCs w:val="20"/>
              </w:rPr>
              <w:t>Demandados</w:t>
            </w:r>
          </w:p>
        </w:tc>
        <w:tc>
          <w:tcPr>
            <w:tcW w:w="7512" w:type="dxa"/>
            <w:gridSpan w:val="3"/>
            <w:vAlign w:val="center"/>
          </w:tcPr>
          <w:p w14:paraId="7963374A"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Seguros Generales Suramericana S.A.</w:t>
            </w:r>
          </w:p>
          <w:p w14:paraId="6E4D14A1"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Seguros Alfa S.A.</w:t>
            </w:r>
          </w:p>
        </w:tc>
      </w:tr>
      <w:tr w:rsidR="00A34C98" w:rsidRPr="00A34C98" w14:paraId="6036414C" w14:textId="77777777" w:rsidTr="00EC630B">
        <w:trPr>
          <w:trHeight w:val="545"/>
        </w:trPr>
        <w:tc>
          <w:tcPr>
            <w:tcW w:w="2338" w:type="dxa"/>
            <w:shd w:val="clear" w:color="auto" w:fill="0033A0"/>
            <w:vAlign w:val="center"/>
          </w:tcPr>
          <w:p w14:paraId="6878EE60" w14:textId="77777777" w:rsidR="00A34C98" w:rsidRPr="00A34C98" w:rsidRDefault="00A34C98" w:rsidP="00EC630B">
            <w:pPr>
              <w:rPr>
                <w:rFonts w:ascii="Arial" w:hAnsi="Arial" w:cs="Arial"/>
                <w:b/>
                <w:sz w:val="20"/>
                <w:szCs w:val="20"/>
              </w:rPr>
            </w:pPr>
            <w:r w:rsidRPr="00A34C98">
              <w:rPr>
                <w:rFonts w:ascii="Arial" w:hAnsi="Arial" w:cs="Arial"/>
                <w:b/>
                <w:sz w:val="20"/>
                <w:szCs w:val="20"/>
              </w:rPr>
              <w:t>Llamante en garantía</w:t>
            </w:r>
          </w:p>
        </w:tc>
        <w:tc>
          <w:tcPr>
            <w:tcW w:w="7512" w:type="dxa"/>
            <w:gridSpan w:val="3"/>
            <w:vAlign w:val="center"/>
          </w:tcPr>
          <w:p w14:paraId="025DB6B0"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N/A</w:t>
            </w:r>
          </w:p>
        </w:tc>
      </w:tr>
      <w:tr w:rsidR="00A34C98" w:rsidRPr="00A34C98" w14:paraId="251122B4" w14:textId="77777777" w:rsidTr="00EC630B">
        <w:trPr>
          <w:cantSplit/>
          <w:trHeight w:val="566"/>
        </w:trPr>
        <w:tc>
          <w:tcPr>
            <w:tcW w:w="2338" w:type="dxa"/>
            <w:shd w:val="clear" w:color="auto" w:fill="0033A0"/>
            <w:vAlign w:val="center"/>
          </w:tcPr>
          <w:p w14:paraId="1C73E5C4" w14:textId="77777777" w:rsidR="00A34C98" w:rsidRPr="00A34C98" w:rsidRDefault="00A34C98" w:rsidP="00EC630B">
            <w:pPr>
              <w:rPr>
                <w:rFonts w:ascii="Arial" w:hAnsi="Arial" w:cs="Arial"/>
                <w:b/>
                <w:sz w:val="20"/>
                <w:szCs w:val="20"/>
              </w:rPr>
            </w:pPr>
            <w:r w:rsidRPr="00A34C98">
              <w:rPr>
                <w:rFonts w:ascii="Arial" w:hAnsi="Arial" w:cs="Arial"/>
                <w:b/>
                <w:sz w:val="20"/>
                <w:szCs w:val="20"/>
              </w:rPr>
              <w:t>Autoridad de conocimiento</w:t>
            </w:r>
          </w:p>
        </w:tc>
        <w:tc>
          <w:tcPr>
            <w:tcW w:w="3827" w:type="dxa"/>
            <w:vAlign w:val="center"/>
          </w:tcPr>
          <w:p w14:paraId="254262ED"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 xml:space="preserve">Juzgado Segundo Civil del Circuito de Popayán </w:t>
            </w:r>
          </w:p>
        </w:tc>
        <w:tc>
          <w:tcPr>
            <w:tcW w:w="1276" w:type="dxa"/>
            <w:shd w:val="clear" w:color="auto" w:fill="0033A0"/>
            <w:vAlign w:val="center"/>
          </w:tcPr>
          <w:p w14:paraId="7ED9E5F3" w14:textId="77777777" w:rsidR="00A34C98" w:rsidRPr="00A34C98" w:rsidRDefault="00A34C98" w:rsidP="00EC630B">
            <w:pPr>
              <w:jc w:val="both"/>
              <w:rPr>
                <w:rFonts w:ascii="Arial" w:hAnsi="Arial" w:cs="Arial"/>
                <w:b/>
                <w:bCs/>
                <w:sz w:val="20"/>
                <w:szCs w:val="20"/>
              </w:rPr>
            </w:pPr>
            <w:r w:rsidRPr="00A34C98">
              <w:rPr>
                <w:rFonts w:ascii="Arial" w:hAnsi="Arial" w:cs="Arial"/>
                <w:b/>
                <w:bCs/>
                <w:sz w:val="20"/>
                <w:szCs w:val="20"/>
              </w:rPr>
              <w:t>Radicado</w:t>
            </w:r>
          </w:p>
        </w:tc>
        <w:tc>
          <w:tcPr>
            <w:tcW w:w="2409" w:type="dxa"/>
            <w:vAlign w:val="center"/>
          </w:tcPr>
          <w:p w14:paraId="0857A2E7" w14:textId="77777777" w:rsidR="00A34C98" w:rsidRPr="00A34C98" w:rsidRDefault="00A34C98" w:rsidP="00EC630B">
            <w:pPr>
              <w:jc w:val="both"/>
              <w:rPr>
                <w:rFonts w:ascii="Arial" w:hAnsi="Arial" w:cs="Arial"/>
                <w:sz w:val="20"/>
                <w:szCs w:val="20"/>
              </w:rPr>
            </w:pPr>
            <w:r w:rsidRPr="00A34C98">
              <w:rPr>
                <w:rFonts w:ascii="Arial" w:hAnsi="Arial" w:cs="Arial"/>
                <w:sz w:val="20"/>
                <w:szCs w:val="20"/>
              </w:rPr>
              <w:t>19001310300220250005900</w:t>
            </w:r>
          </w:p>
        </w:tc>
      </w:tr>
      <w:tr w:rsidR="00A34C98" w:rsidRPr="00A34C98" w14:paraId="384D935F" w14:textId="77777777" w:rsidTr="00EC630B">
        <w:trPr>
          <w:trHeight w:val="516"/>
        </w:trPr>
        <w:tc>
          <w:tcPr>
            <w:tcW w:w="2338" w:type="dxa"/>
            <w:shd w:val="clear" w:color="auto" w:fill="0033A0"/>
            <w:vAlign w:val="center"/>
          </w:tcPr>
          <w:p w14:paraId="1D6D225E" w14:textId="77777777" w:rsidR="00A34C98" w:rsidRPr="00A34C98" w:rsidRDefault="00A34C98" w:rsidP="00EC630B">
            <w:pPr>
              <w:pStyle w:val="Ttulo7"/>
              <w:rPr>
                <w:rFonts w:ascii="Arial" w:hAnsi="Arial" w:cs="Arial"/>
                <w:color w:val="auto"/>
                <w:sz w:val="20"/>
              </w:rPr>
            </w:pPr>
            <w:r w:rsidRPr="00A34C98">
              <w:rPr>
                <w:rFonts w:ascii="Arial" w:hAnsi="Arial" w:cs="Arial"/>
                <w:color w:val="auto"/>
                <w:sz w:val="20"/>
              </w:rPr>
              <w:lastRenderedPageBreak/>
              <w:t>Pretensiones solicitadas</w:t>
            </w:r>
          </w:p>
        </w:tc>
        <w:tc>
          <w:tcPr>
            <w:tcW w:w="7512" w:type="dxa"/>
            <w:gridSpan w:val="3"/>
            <w:vAlign w:val="center"/>
          </w:tcPr>
          <w:p w14:paraId="7ECC34DB" w14:textId="77777777" w:rsidR="00A34C98" w:rsidRPr="00A34C98" w:rsidRDefault="00A34C98" w:rsidP="00EC630B">
            <w:pPr>
              <w:pStyle w:val="Sinespaciado"/>
              <w:ind w:left="360"/>
              <w:jc w:val="both"/>
              <w:rPr>
                <w:rFonts w:ascii="Arial" w:hAnsi="Arial" w:cs="Arial"/>
                <w:sz w:val="20"/>
                <w:szCs w:val="20"/>
              </w:rPr>
            </w:pPr>
          </w:p>
          <w:p w14:paraId="7B14A50C" w14:textId="77777777" w:rsidR="00A34C98" w:rsidRPr="00A34C98" w:rsidRDefault="00A34C98" w:rsidP="00EC630B">
            <w:pPr>
              <w:autoSpaceDE w:val="0"/>
              <w:autoSpaceDN w:val="0"/>
              <w:adjustRightInd w:val="0"/>
              <w:jc w:val="both"/>
              <w:rPr>
                <w:rFonts w:ascii="Arial" w:hAnsi="Arial" w:cs="Arial"/>
                <w:bCs/>
                <w:sz w:val="20"/>
                <w:szCs w:val="20"/>
              </w:rPr>
            </w:pPr>
            <w:r w:rsidRPr="00A34C98">
              <w:rPr>
                <w:rFonts w:ascii="Arial" w:hAnsi="Arial" w:cs="Arial"/>
                <w:b/>
                <w:sz w:val="20"/>
                <w:szCs w:val="20"/>
              </w:rPr>
              <w:t>PRIMERO</w:t>
            </w:r>
            <w:r w:rsidRPr="00A34C98">
              <w:rPr>
                <w:rFonts w:ascii="Arial" w:hAnsi="Arial" w:cs="Arial"/>
                <w:bCs/>
                <w:sz w:val="20"/>
                <w:szCs w:val="20"/>
              </w:rPr>
              <w:t>: Que la aseguradora SEGUROS GENERALES SURAMERICANA S.A., y la coaseguradora SEGUROS ALFA S.A., en caso de ser vinculadas como llamadas en garantía, dentro del proceso de reparación directa Radicado N° 19001233300120210015200 que cursa ante el Tribunal Contencioso Administrativo del Cauca y que fue iniciado por GUSTAVO LOPEZ BAYTALA a nombre propio y en representación de MARIA EMILIA LOPEZ SERNA, GUSTAVO LOPEZ NAVIA S.A., y GRUPO CONSTRUCTOR PRODIGYO S.A. en contra de la COMPAÑÍA ENERGÉTICA DE OCCIDENTE S.A.S. E.S.P., reconozcan que los hechos ocurridos el día 22 de agosto de 2017, alegados en esa demanda o en cualquier otra acción judicial presente o futura, entre las mismas partes y por los mismos hechos, constituyen un riesgo amparado en vigencia del contrato de seguro plasmado en la póliza de seguros N° 0150450-4, con vigencia del 01 de junio de 2017 al 01 de junio de 2018, de acuerdo al reconocimiento de la celebración y existencia del contrato efectuado en audiencia extra judicial del día 13 de marzo de 2025.</w:t>
            </w:r>
          </w:p>
          <w:p w14:paraId="620CC859" w14:textId="77777777" w:rsidR="00A34C98" w:rsidRPr="00A34C98" w:rsidRDefault="00A34C98" w:rsidP="00EC630B">
            <w:pPr>
              <w:autoSpaceDE w:val="0"/>
              <w:autoSpaceDN w:val="0"/>
              <w:adjustRightInd w:val="0"/>
              <w:jc w:val="both"/>
              <w:rPr>
                <w:rFonts w:ascii="Arial" w:hAnsi="Arial" w:cs="Arial"/>
                <w:bCs/>
                <w:sz w:val="20"/>
                <w:szCs w:val="20"/>
              </w:rPr>
            </w:pPr>
          </w:p>
          <w:p w14:paraId="1F6EFC70" w14:textId="77777777" w:rsidR="00A34C98" w:rsidRPr="00A34C98" w:rsidRDefault="00A34C98" w:rsidP="00EC630B">
            <w:pPr>
              <w:autoSpaceDE w:val="0"/>
              <w:autoSpaceDN w:val="0"/>
              <w:adjustRightInd w:val="0"/>
              <w:jc w:val="both"/>
              <w:rPr>
                <w:rFonts w:ascii="Arial" w:hAnsi="Arial" w:cs="Arial"/>
                <w:bCs/>
                <w:sz w:val="20"/>
                <w:szCs w:val="20"/>
              </w:rPr>
            </w:pPr>
            <w:r w:rsidRPr="00A34C98">
              <w:rPr>
                <w:rFonts w:ascii="Arial" w:hAnsi="Arial" w:cs="Arial"/>
                <w:b/>
                <w:sz w:val="20"/>
                <w:szCs w:val="20"/>
              </w:rPr>
              <w:t>SEGUNDO</w:t>
            </w:r>
            <w:r w:rsidRPr="00A34C98">
              <w:rPr>
                <w:rFonts w:ascii="Arial" w:hAnsi="Arial" w:cs="Arial"/>
                <w:bCs/>
                <w:sz w:val="20"/>
                <w:szCs w:val="20"/>
              </w:rPr>
              <w:t>: Que la aseguradora SEGUROS GENERALES SURAMERICANA S.A., y la coaseguradora SEGUROS ALFA S.A. reconozcan que se obligan, según corresponda, a pagar al señor GUSTAVO LÓPEZ BAYTALA identificado con cedula de ciudadanía N° 76’324.358 de Popayán, a su hija menor de edad MARIA EMILIA LÓPEZ SERNA identificada con NUIP 1105363376, a GUSTAVO LÓPEZ NAVIA S.A. Nit 891.502.554-6 y Al GRUPO CONSTRUCTOR PRODIGYO S.A. NIT 900.241.902-7 o a reembolsar a la COMPAÑÍA ENERGÉTICA DE OCCIDENTE S.A.S. E.S.P. los gastos de defensa y costos del proceso, así como las sumas a las que esta sea obligada a pagar en el proceso reparación directa Radicado N° 19001233300120210015200 que cursa ante el Tribunal Contencioso Administrativo del Cauca o cualquier otra acción judicial presente o futura, entre las mismas partes en los términos de la demanda o los que resultaran de la condena judicial, incluyendo los intereses moratorios, indexaciones, costas, agencias en derecho y honorarios y demás valores a que haya lugar.</w:t>
            </w:r>
          </w:p>
          <w:p w14:paraId="7FD7230F" w14:textId="77777777" w:rsidR="00A34C98" w:rsidRPr="00A34C98" w:rsidRDefault="00A34C98" w:rsidP="00EC630B">
            <w:pPr>
              <w:autoSpaceDE w:val="0"/>
              <w:autoSpaceDN w:val="0"/>
              <w:adjustRightInd w:val="0"/>
              <w:jc w:val="both"/>
              <w:rPr>
                <w:rFonts w:ascii="Arial" w:hAnsi="Arial" w:cs="Arial"/>
                <w:bCs/>
                <w:sz w:val="20"/>
                <w:szCs w:val="20"/>
              </w:rPr>
            </w:pPr>
          </w:p>
          <w:p w14:paraId="7B68F680" w14:textId="77777777" w:rsidR="00A34C98" w:rsidRPr="00A34C98" w:rsidRDefault="00A34C98" w:rsidP="00EC630B">
            <w:pPr>
              <w:autoSpaceDE w:val="0"/>
              <w:autoSpaceDN w:val="0"/>
              <w:adjustRightInd w:val="0"/>
              <w:jc w:val="both"/>
              <w:rPr>
                <w:rFonts w:ascii="Arial" w:hAnsi="Arial" w:cs="Arial"/>
                <w:bCs/>
                <w:sz w:val="20"/>
                <w:szCs w:val="20"/>
              </w:rPr>
            </w:pPr>
            <w:r w:rsidRPr="00A34C98">
              <w:rPr>
                <w:rFonts w:ascii="Arial" w:hAnsi="Arial" w:cs="Arial"/>
                <w:b/>
                <w:sz w:val="20"/>
                <w:szCs w:val="20"/>
              </w:rPr>
              <w:t>TERCERO:</w:t>
            </w:r>
            <w:r w:rsidRPr="00A34C98">
              <w:rPr>
                <w:rFonts w:ascii="Arial" w:hAnsi="Arial" w:cs="Arial"/>
                <w:bCs/>
                <w:sz w:val="20"/>
                <w:szCs w:val="20"/>
              </w:rPr>
              <w:t xml:space="preserve"> Que la aseguradora SEGUROS GENERALES SURAMERICANA S.A., y la coaseguradora SEGUROS ALFA S.A., renuncien a favor de COMPAÑÍA ENERGÉTICA DE OCCIDENTE S.A.S. E.S.P. a la prescripción de las acciones derivadas de la póliza de N° 0150450-4 del 01 de junio de 2017 al 01 de junio de 2018 con ocasión del siniestro representado por los hechos narrados en la demanda y que son materia del proceso de reparación directa Radicado N° 19001233300120210015200 que cursa ante el Tribunal Contencioso Administrativo del Cauca y que fue iniciado por GUSTAVO LÓPEZ BAYTALA nombre propio y en representación de MARÍA EMILIA LÓPEZ SERNA, GUSTAVO LÓPEZ NAVIA S.A. y GRUPO CONSTRUCTOR PRODIGYO S.A. en contra de COMPAÑÍA ENERGÉTICA DE OCCIDENTE S.A.S. E.S.P.</w:t>
            </w:r>
          </w:p>
          <w:p w14:paraId="04C576AD" w14:textId="77777777" w:rsidR="00A34C98" w:rsidRPr="00A34C98" w:rsidRDefault="00A34C98" w:rsidP="00EC630B">
            <w:pPr>
              <w:autoSpaceDE w:val="0"/>
              <w:autoSpaceDN w:val="0"/>
              <w:adjustRightInd w:val="0"/>
              <w:jc w:val="both"/>
              <w:rPr>
                <w:rFonts w:ascii="Arial" w:hAnsi="Arial" w:cs="Arial"/>
                <w:bCs/>
                <w:sz w:val="20"/>
                <w:szCs w:val="20"/>
              </w:rPr>
            </w:pPr>
          </w:p>
          <w:p w14:paraId="47422E38" w14:textId="463023CA" w:rsidR="00A34C98" w:rsidRPr="00A34C98" w:rsidRDefault="00A34C98" w:rsidP="00EC630B">
            <w:pPr>
              <w:autoSpaceDE w:val="0"/>
              <w:autoSpaceDN w:val="0"/>
              <w:adjustRightInd w:val="0"/>
              <w:jc w:val="both"/>
              <w:rPr>
                <w:rFonts w:ascii="Arial" w:hAnsi="Arial" w:cs="Arial"/>
                <w:bCs/>
                <w:sz w:val="20"/>
                <w:szCs w:val="20"/>
              </w:rPr>
            </w:pPr>
            <w:r w:rsidRPr="00A34C98">
              <w:rPr>
                <w:rFonts w:ascii="Arial" w:hAnsi="Arial" w:cs="Arial"/>
                <w:b/>
                <w:sz w:val="20"/>
                <w:szCs w:val="20"/>
              </w:rPr>
              <w:t>CUARTO:</w:t>
            </w:r>
            <w:r w:rsidRPr="00A34C98">
              <w:rPr>
                <w:rFonts w:ascii="Arial" w:hAnsi="Arial" w:cs="Arial"/>
                <w:bCs/>
                <w:sz w:val="20"/>
                <w:szCs w:val="20"/>
              </w:rPr>
              <w:t xml:space="preserve"> Que se condene a SEGUROS GENERALES SURAMERICANA </w:t>
            </w:r>
            <w:r w:rsidR="00D61ACD" w:rsidRPr="00A34C98">
              <w:rPr>
                <w:rFonts w:ascii="Arial" w:hAnsi="Arial" w:cs="Arial"/>
                <w:bCs/>
                <w:sz w:val="20"/>
                <w:szCs w:val="20"/>
              </w:rPr>
              <w:t>S.A</w:t>
            </w:r>
            <w:r w:rsidR="00D61ACD">
              <w:rPr>
                <w:rFonts w:ascii="Arial" w:hAnsi="Arial" w:cs="Arial"/>
                <w:bCs/>
                <w:sz w:val="20"/>
                <w:szCs w:val="20"/>
              </w:rPr>
              <w:t>.</w:t>
            </w:r>
            <w:r w:rsidR="006D5BCD">
              <w:rPr>
                <w:rFonts w:ascii="Arial" w:hAnsi="Arial" w:cs="Arial"/>
                <w:bCs/>
                <w:sz w:val="20"/>
                <w:szCs w:val="20"/>
              </w:rPr>
              <w:t xml:space="preserve"> </w:t>
            </w:r>
            <w:r w:rsidRPr="00A34C98">
              <w:rPr>
                <w:rFonts w:ascii="Arial" w:hAnsi="Arial" w:cs="Arial"/>
                <w:bCs/>
                <w:sz w:val="20"/>
                <w:szCs w:val="20"/>
              </w:rPr>
              <w:t>y la coaseguradora SEGUROS ALFA S.A. en costas y agencias en derecho, en caso de oponerse a las pretensiones de la presente demanda.</w:t>
            </w:r>
          </w:p>
          <w:p w14:paraId="50F3E964" w14:textId="77777777" w:rsidR="00A34C98" w:rsidRPr="00A34C98" w:rsidRDefault="00A34C98" w:rsidP="00EC630B">
            <w:pPr>
              <w:autoSpaceDE w:val="0"/>
              <w:autoSpaceDN w:val="0"/>
              <w:adjustRightInd w:val="0"/>
              <w:jc w:val="both"/>
              <w:rPr>
                <w:rFonts w:ascii="Arial" w:hAnsi="Arial" w:cs="Arial"/>
                <w:bCs/>
                <w:sz w:val="20"/>
                <w:szCs w:val="20"/>
              </w:rPr>
            </w:pPr>
          </w:p>
        </w:tc>
      </w:tr>
      <w:tr w:rsidR="00A34C98" w:rsidRPr="00A34C98" w14:paraId="29A46CEF" w14:textId="77777777" w:rsidTr="00EC630B">
        <w:trPr>
          <w:trHeight w:val="340"/>
        </w:trPr>
        <w:tc>
          <w:tcPr>
            <w:tcW w:w="2338" w:type="dxa"/>
            <w:shd w:val="clear" w:color="auto" w:fill="0033A0"/>
            <w:vAlign w:val="center"/>
          </w:tcPr>
          <w:p w14:paraId="131B6886" w14:textId="77777777" w:rsidR="00A34C98" w:rsidRPr="00A34C98" w:rsidRDefault="00A34C98" w:rsidP="00EC630B">
            <w:pPr>
              <w:pStyle w:val="Ttulo7"/>
              <w:rPr>
                <w:rFonts w:ascii="Arial" w:hAnsi="Arial" w:cs="Arial"/>
                <w:color w:val="auto"/>
                <w:sz w:val="20"/>
              </w:rPr>
            </w:pPr>
            <w:r w:rsidRPr="00A34C98">
              <w:rPr>
                <w:rFonts w:ascii="Arial" w:hAnsi="Arial" w:cs="Arial"/>
                <w:color w:val="auto"/>
                <w:sz w:val="20"/>
              </w:rPr>
              <w:t>Pretensiones objetivadas</w:t>
            </w:r>
          </w:p>
        </w:tc>
        <w:tc>
          <w:tcPr>
            <w:tcW w:w="7512" w:type="dxa"/>
            <w:gridSpan w:val="3"/>
            <w:vAlign w:val="center"/>
          </w:tcPr>
          <w:p w14:paraId="2093B810" w14:textId="28C1AE1D" w:rsidR="00F000F6" w:rsidRPr="00924F1D" w:rsidRDefault="00A34C98" w:rsidP="00924F1D">
            <w:pPr>
              <w:pStyle w:val="Sangra2detindependiente"/>
              <w:spacing w:after="0" w:line="276" w:lineRule="auto"/>
              <w:ind w:left="0"/>
              <w:jc w:val="both"/>
              <w:rPr>
                <w:rFonts w:ascii="Arial" w:hAnsi="Arial" w:cs="Arial"/>
                <w:sz w:val="20"/>
                <w:szCs w:val="20"/>
              </w:rPr>
            </w:pPr>
            <w:r w:rsidRPr="00924F1D">
              <w:rPr>
                <w:rFonts w:ascii="Arial" w:hAnsi="Arial" w:cs="Arial"/>
                <w:b/>
                <w:sz w:val="20"/>
                <w:szCs w:val="20"/>
              </w:rPr>
              <w:t>PRETENSIONES OBJETIVADAS</w:t>
            </w:r>
            <w:r w:rsidRPr="00924F1D">
              <w:rPr>
                <w:rFonts w:ascii="Arial" w:hAnsi="Arial" w:cs="Arial"/>
                <w:sz w:val="20"/>
                <w:szCs w:val="20"/>
              </w:rPr>
              <w:t xml:space="preserve">: </w:t>
            </w:r>
            <w:r w:rsidR="0076150C">
              <w:rPr>
                <w:rFonts w:ascii="Arial" w:hAnsi="Arial" w:cs="Arial"/>
                <w:b/>
                <w:bCs/>
                <w:sz w:val="20"/>
                <w:szCs w:val="20"/>
              </w:rPr>
              <w:t>$3.319.649.172,6</w:t>
            </w:r>
          </w:p>
          <w:p w14:paraId="58B07B99" w14:textId="77777777" w:rsidR="00F000F6" w:rsidRPr="00924F1D" w:rsidRDefault="00F000F6" w:rsidP="00924F1D">
            <w:pPr>
              <w:pStyle w:val="Sangra2detindependiente"/>
              <w:spacing w:after="0" w:line="276" w:lineRule="auto"/>
              <w:ind w:left="0"/>
              <w:jc w:val="both"/>
              <w:rPr>
                <w:rFonts w:ascii="Arial" w:hAnsi="Arial" w:cs="Arial"/>
                <w:sz w:val="20"/>
                <w:szCs w:val="20"/>
              </w:rPr>
            </w:pPr>
          </w:p>
          <w:p w14:paraId="090A5299" w14:textId="2D3D2B13" w:rsidR="00F66CB7" w:rsidRPr="00924F1D" w:rsidRDefault="00924F1D" w:rsidP="00924F1D">
            <w:pPr>
              <w:pStyle w:val="Sangra2detindependiente"/>
              <w:spacing w:after="0" w:line="276" w:lineRule="auto"/>
              <w:ind w:left="0"/>
              <w:jc w:val="both"/>
              <w:rPr>
                <w:rFonts w:ascii="Arial" w:hAnsi="Arial" w:cs="Arial"/>
                <w:sz w:val="20"/>
                <w:szCs w:val="20"/>
              </w:rPr>
            </w:pPr>
            <w:r w:rsidRPr="00924F1D">
              <w:rPr>
                <w:rFonts w:ascii="Arial" w:hAnsi="Arial" w:cs="Arial"/>
                <w:sz w:val="20"/>
                <w:szCs w:val="20"/>
              </w:rPr>
              <w:t>Sea lo primero precisar que, dentro del asunto en marras, la parte demandante, en ningún punto solicita el reconocimiento de una suma económica precisa, pues se limita únicamente a solicitar que la compañía aseguradora asuma los valores a los cuales eventualmente el asegurado sea condenado en un proceso judicial que cursa en la jurisdicción de lo contencioso administrativo.</w:t>
            </w:r>
          </w:p>
          <w:p w14:paraId="04AA733F" w14:textId="77777777" w:rsidR="00924F1D" w:rsidRPr="00924F1D" w:rsidRDefault="00924F1D" w:rsidP="00924F1D">
            <w:pPr>
              <w:pStyle w:val="Sangra2detindependiente"/>
              <w:spacing w:after="0" w:line="276" w:lineRule="auto"/>
              <w:ind w:left="0"/>
              <w:jc w:val="both"/>
              <w:rPr>
                <w:rFonts w:ascii="Arial" w:hAnsi="Arial" w:cs="Arial"/>
                <w:sz w:val="20"/>
                <w:szCs w:val="20"/>
              </w:rPr>
            </w:pPr>
          </w:p>
          <w:p w14:paraId="08788920" w14:textId="132AEDC4" w:rsidR="00924F1D" w:rsidRPr="00924F1D" w:rsidRDefault="00924F1D" w:rsidP="00924F1D">
            <w:pPr>
              <w:pStyle w:val="Sangra2detindependiente"/>
              <w:spacing w:after="0" w:line="276" w:lineRule="auto"/>
              <w:ind w:left="0"/>
              <w:jc w:val="both"/>
              <w:rPr>
                <w:rFonts w:ascii="Arial" w:hAnsi="Arial" w:cs="Arial"/>
                <w:sz w:val="20"/>
                <w:szCs w:val="20"/>
                <w:lang w:val="es-CO"/>
              </w:rPr>
            </w:pPr>
            <w:r w:rsidRPr="00924F1D">
              <w:rPr>
                <w:rFonts w:ascii="Arial" w:hAnsi="Arial" w:cs="Arial"/>
                <w:sz w:val="20"/>
                <w:szCs w:val="20"/>
              </w:rPr>
              <w:t>Pese a lo anterior, se hace un calculo de las pretensiones de la siguiente manera:</w:t>
            </w:r>
          </w:p>
          <w:p w14:paraId="42F45EE9" w14:textId="77777777" w:rsidR="00F66CB7" w:rsidRPr="00924F1D" w:rsidRDefault="00F66CB7" w:rsidP="00924F1D">
            <w:pPr>
              <w:pStyle w:val="Sangra2detindependiente"/>
              <w:spacing w:after="0" w:line="276" w:lineRule="auto"/>
              <w:ind w:left="0"/>
              <w:jc w:val="both"/>
              <w:rPr>
                <w:rFonts w:ascii="Arial" w:hAnsi="Arial" w:cs="Arial"/>
                <w:sz w:val="20"/>
                <w:szCs w:val="20"/>
                <w:lang w:val="es-CO"/>
              </w:rPr>
            </w:pPr>
          </w:p>
          <w:p w14:paraId="7EA346F4" w14:textId="77777777" w:rsidR="00F66CB7" w:rsidRPr="00924F1D" w:rsidRDefault="00F66CB7" w:rsidP="00924F1D">
            <w:pPr>
              <w:pStyle w:val="Sangra2detindependiente"/>
              <w:spacing w:after="0" w:line="276" w:lineRule="auto"/>
              <w:ind w:left="0"/>
              <w:jc w:val="both"/>
              <w:rPr>
                <w:rFonts w:ascii="Arial" w:hAnsi="Arial" w:cs="Arial"/>
                <w:sz w:val="20"/>
                <w:szCs w:val="20"/>
                <w:lang w:val="es-CO"/>
              </w:rPr>
            </w:pPr>
          </w:p>
          <w:p w14:paraId="040C68D7" w14:textId="6860B132" w:rsidR="00F66CB7" w:rsidRPr="00924F1D" w:rsidRDefault="00F000F6" w:rsidP="00924F1D">
            <w:pPr>
              <w:pStyle w:val="Sangra2detindependiente"/>
              <w:numPr>
                <w:ilvl w:val="0"/>
                <w:numId w:val="3"/>
              </w:numPr>
              <w:spacing w:after="0" w:line="276" w:lineRule="auto"/>
              <w:jc w:val="both"/>
              <w:rPr>
                <w:rFonts w:ascii="Arial" w:hAnsi="Arial" w:cs="Arial"/>
                <w:b/>
                <w:bCs/>
                <w:sz w:val="20"/>
                <w:szCs w:val="20"/>
                <w:lang w:val="es-CO"/>
              </w:rPr>
            </w:pPr>
            <w:r w:rsidRPr="00924F1D">
              <w:rPr>
                <w:rFonts w:ascii="Arial" w:hAnsi="Arial" w:cs="Arial"/>
                <w:b/>
                <w:bCs/>
                <w:sz w:val="20"/>
                <w:szCs w:val="20"/>
                <w:lang w:val="es-CO"/>
              </w:rPr>
              <w:t>G</w:t>
            </w:r>
            <w:r w:rsidR="00F66CB7" w:rsidRPr="00924F1D">
              <w:rPr>
                <w:rFonts w:ascii="Arial" w:hAnsi="Arial" w:cs="Arial"/>
                <w:b/>
                <w:bCs/>
                <w:sz w:val="20"/>
                <w:szCs w:val="20"/>
                <w:lang w:val="es-CO"/>
              </w:rPr>
              <w:t>astos de defensa y costos del proceso</w:t>
            </w:r>
            <w:r w:rsidRPr="00924F1D">
              <w:rPr>
                <w:rFonts w:ascii="Arial" w:hAnsi="Arial" w:cs="Arial"/>
                <w:b/>
                <w:bCs/>
                <w:sz w:val="20"/>
                <w:szCs w:val="20"/>
                <w:lang w:val="es-CO"/>
              </w:rPr>
              <w:t>:</w:t>
            </w:r>
            <w:r w:rsidR="00F66CB7" w:rsidRPr="00924F1D">
              <w:rPr>
                <w:rFonts w:ascii="Arial" w:hAnsi="Arial" w:cs="Arial"/>
                <w:b/>
                <w:bCs/>
                <w:sz w:val="20"/>
                <w:szCs w:val="20"/>
                <w:lang w:val="es-CO"/>
              </w:rPr>
              <w:t xml:space="preserve"> </w:t>
            </w:r>
            <w:r w:rsidR="00EE7677">
              <w:rPr>
                <w:rFonts w:ascii="Arial" w:hAnsi="Arial" w:cs="Arial"/>
                <w:sz w:val="20"/>
                <w:szCs w:val="20"/>
                <w:lang w:val="es-CO"/>
              </w:rPr>
              <w:t>Esta solicitud</w:t>
            </w:r>
            <w:r w:rsidR="00924F1D" w:rsidRPr="00924F1D">
              <w:rPr>
                <w:rFonts w:ascii="Arial" w:hAnsi="Arial" w:cs="Arial"/>
                <w:sz w:val="20"/>
                <w:szCs w:val="20"/>
                <w:lang w:val="es-CO"/>
              </w:rPr>
              <w:t xml:space="preserve"> debe ser entendid</w:t>
            </w:r>
            <w:r w:rsidR="00EE7677">
              <w:rPr>
                <w:rFonts w:ascii="Arial" w:hAnsi="Arial" w:cs="Arial"/>
                <w:sz w:val="20"/>
                <w:szCs w:val="20"/>
                <w:lang w:val="es-CO"/>
              </w:rPr>
              <w:t>a</w:t>
            </w:r>
            <w:r w:rsidR="00924F1D" w:rsidRPr="00924F1D">
              <w:rPr>
                <w:rFonts w:ascii="Arial" w:hAnsi="Arial" w:cs="Arial"/>
                <w:sz w:val="20"/>
                <w:szCs w:val="20"/>
                <w:lang w:val="es-CO"/>
              </w:rPr>
              <w:t xml:space="preserve"> bajo el concepto de costas y agencias en derecho, mismos que son liquidados directamente por el Despacho, atendiendo las estipulaciones del Acuerdo PSAA16-10554 de 2016. Bajo lo dicho, la liquidación de este concepto</w:t>
            </w:r>
            <w:r w:rsidR="00EE7677">
              <w:rPr>
                <w:rFonts w:ascii="Arial" w:hAnsi="Arial" w:cs="Arial"/>
                <w:sz w:val="20"/>
                <w:szCs w:val="20"/>
                <w:lang w:val="es-CO"/>
              </w:rPr>
              <w:t xml:space="preserve">, </w:t>
            </w:r>
            <w:r w:rsidR="00924F1D" w:rsidRPr="00924F1D">
              <w:rPr>
                <w:rFonts w:ascii="Arial" w:hAnsi="Arial" w:cs="Arial"/>
                <w:sz w:val="20"/>
                <w:szCs w:val="20"/>
                <w:lang w:val="es-CO"/>
              </w:rPr>
              <w:t>corresponde directamente al juzgad</w:t>
            </w:r>
            <w:r w:rsidR="00EE7677">
              <w:rPr>
                <w:rFonts w:ascii="Arial" w:hAnsi="Arial" w:cs="Arial"/>
                <w:sz w:val="20"/>
                <w:szCs w:val="20"/>
                <w:lang w:val="es-CO"/>
              </w:rPr>
              <w:t>o</w:t>
            </w:r>
            <w:r w:rsidR="00924F1D" w:rsidRPr="00924F1D">
              <w:rPr>
                <w:rFonts w:ascii="Arial" w:hAnsi="Arial" w:cs="Arial"/>
                <w:sz w:val="20"/>
                <w:szCs w:val="20"/>
                <w:lang w:val="es-CO"/>
              </w:rPr>
              <w:t>.</w:t>
            </w:r>
          </w:p>
          <w:p w14:paraId="2E3BE783" w14:textId="77777777" w:rsidR="00F66CB7" w:rsidRPr="00924F1D" w:rsidRDefault="00F66CB7" w:rsidP="00924F1D">
            <w:pPr>
              <w:pStyle w:val="Sangra2detindependiente"/>
              <w:spacing w:after="0" w:line="276" w:lineRule="auto"/>
              <w:ind w:left="0"/>
              <w:jc w:val="both"/>
              <w:rPr>
                <w:rFonts w:ascii="Arial" w:hAnsi="Arial" w:cs="Arial"/>
                <w:sz w:val="20"/>
                <w:szCs w:val="20"/>
                <w:lang w:val="es-CO"/>
              </w:rPr>
            </w:pPr>
          </w:p>
          <w:p w14:paraId="34C7F2A1" w14:textId="77777777" w:rsidR="00F66CB7" w:rsidRPr="00924F1D" w:rsidRDefault="00F66CB7" w:rsidP="00924F1D">
            <w:pPr>
              <w:pStyle w:val="Sangra2detindependiente"/>
              <w:spacing w:after="0" w:line="276" w:lineRule="auto"/>
              <w:ind w:left="0"/>
              <w:jc w:val="both"/>
              <w:rPr>
                <w:rFonts w:ascii="Arial" w:hAnsi="Arial" w:cs="Arial"/>
                <w:sz w:val="20"/>
                <w:szCs w:val="20"/>
                <w:lang w:val="es-CO"/>
              </w:rPr>
            </w:pPr>
          </w:p>
          <w:p w14:paraId="0AFA2789" w14:textId="4F6C5282" w:rsidR="00F30446" w:rsidRPr="00924F1D" w:rsidRDefault="00F66CB7" w:rsidP="00924F1D">
            <w:pPr>
              <w:pStyle w:val="Sangra2detindependiente"/>
              <w:numPr>
                <w:ilvl w:val="0"/>
                <w:numId w:val="3"/>
              </w:numPr>
              <w:spacing w:after="0" w:line="276" w:lineRule="auto"/>
              <w:jc w:val="both"/>
              <w:rPr>
                <w:rFonts w:ascii="Arial" w:hAnsi="Arial" w:cs="Arial"/>
                <w:sz w:val="20"/>
                <w:szCs w:val="20"/>
                <w:lang w:val="es-CO"/>
              </w:rPr>
            </w:pPr>
            <w:r w:rsidRPr="00924F1D">
              <w:rPr>
                <w:rFonts w:ascii="Arial" w:hAnsi="Arial" w:cs="Arial"/>
                <w:b/>
                <w:bCs/>
                <w:sz w:val="20"/>
                <w:szCs w:val="20"/>
                <w:lang w:val="es-CO"/>
              </w:rPr>
              <w:t>Las sumas a las que esta sea obligada a pagar en el proceso reparación directa Radicado N° 19001233300120210015200 que cursa ante el Tribunal Contencioso Administrativo del Cauca o cualquier otra acción judicial presente o futura</w:t>
            </w:r>
            <w:r w:rsidR="00D61ACD" w:rsidRPr="00924F1D">
              <w:rPr>
                <w:rFonts w:ascii="Arial" w:hAnsi="Arial" w:cs="Arial"/>
                <w:b/>
                <w:bCs/>
                <w:sz w:val="20"/>
                <w:szCs w:val="20"/>
                <w:lang w:val="es-CO"/>
              </w:rPr>
              <w:t>:</w:t>
            </w:r>
            <w:r w:rsidR="00D61ACD" w:rsidRPr="00924F1D">
              <w:rPr>
                <w:rFonts w:ascii="Arial" w:hAnsi="Arial" w:cs="Arial"/>
                <w:sz w:val="20"/>
                <w:szCs w:val="20"/>
                <w:lang w:val="es-CO"/>
              </w:rPr>
              <w:t xml:space="preserve"> </w:t>
            </w:r>
            <w:r w:rsidR="00F30446" w:rsidRPr="00924F1D">
              <w:rPr>
                <w:rFonts w:ascii="Arial" w:hAnsi="Arial" w:cs="Arial"/>
                <w:sz w:val="20"/>
                <w:szCs w:val="20"/>
                <w:lang w:val="es-CO"/>
              </w:rPr>
              <w:t xml:space="preserve">Se estima en la suma de </w:t>
            </w:r>
            <w:r w:rsidR="00F30446" w:rsidRPr="00924F1D">
              <w:rPr>
                <w:rFonts w:ascii="Arial" w:hAnsi="Arial" w:cs="Arial"/>
                <w:b/>
                <w:bCs/>
                <w:sz w:val="20"/>
                <w:szCs w:val="20"/>
                <w:lang w:val="es-CO"/>
              </w:rPr>
              <w:t>$5.269.284.401</w:t>
            </w:r>
            <w:r w:rsidR="00F30446" w:rsidRPr="00924F1D">
              <w:rPr>
                <w:rFonts w:ascii="Arial" w:hAnsi="Arial" w:cs="Arial"/>
                <w:sz w:val="20"/>
                <w:szCs w:val="20"/>
                <w:lang w:val="es-CO"/>
              </w:rPr>
              <w:t xml:space="preserve"> el valor total de las pretensiones formuladas en el proceso de reparación directa que se tramita ante el Tribunal Contencioso Administrativo del Cauca (Radicado No. 19001233300120210015200), toda vez que dicha cuantía ha sido expresamente indicada por el demandante como el monto de sus reclamaciones. No obstante, debe señalarse que no se allegó copia íntegra de la demanda</w:t>
            </w:r>
            <w:r w:rsidR="009F317B" w:rsidRPr="00924F1D">
              <w:rPr>
                <w:rFonts w:ascii="Arial" w:hAnsi="Arial" w:cs="Arial"/>
                <w:sz w:val="20"/>
                <w:szCs w:val="20"/>
                <w:lang w:val="es-CO"/>
              </w:rPr>
              <w:t xml:space="preserve"> (Reparación Directa)</w:t>
            </w:r>
            <w:r w:rsidR="00F30446" w:rsidRPr="00924F1D">
              <w:rPr>
                <w:rFonts w:ascii="Arial" w:hAnsi="Arial" w:cs="Arial"/>
                <w:sz w:val="20"/>
                <w:szCs w:val="20"/>
                <w:lang w:val="es-CO"/>
              </w:rPr>
              <w:t xml:space="preserve"> ni de sus anexos, por lo que no fue posible realizar una valoración individualizada de cada perjuicio solicitado ni verificar la existencia de respaldo probatorio concreto de los mismos. En ese sentido, la suma mencionada se toma como referencia máxima potencial, sujeta a que el fallo final</w:t>
            </w:r>
            <w:r w:rsidR="009F317B" w:rsidRPr="00924F1D">
              <w:rPr>
                <w:rFonts w:ascii="Arial" w:hAnsi="Arial" w:cs="Arial"/>
                <w:sz w:val="20"/>
                <w:szCs w:val="20"/>
                <w:lang w:val="es-CO"/>
              </w:rPr>
              <w:t xml:space="preserve"> en el proceso de Reparación Directa</w:t>
            </w:r>
            <w:r w:rsidR="00F30446" w:rsidRPr="00924F1D">
              <w:rPr>
                <w:rFonts w:ascii="Arial" w:hAnsi="Arial" w:cs="Arial"/>
                <w:sz w:val="20"/>
                <w:szCs w:val="20"/>
                <w:lang w:val="es-CO"/>
              </w:rPr>
              <w:t xml:space="preserve"> no exceda dicho monto, en virtud del principio de congruencia procesal.</w:t>
            </w:r>
          </w:p>
          <w:p w14:paraId="71079785" w14:textId="77777777" w:rsidR="00F30446" w:rsidRPr="00924F1D" w:rsidRDefault="00F30446" w:rsidP="00924F1D">
            <w:pPr>
              <w:pStyle w:val="Sangra2detindependiente"/>
              <w:spacing w:after="0" w:line="276" w:lineRule="auto"/>
              <w:ind w:left="720"/>
              <w:jc w:val="both"/>
              <w:rPr>
                <w:rFonts w:ascii="Arial" w:hAnsi="Arial" w:cs="Arial"/>
                <w:sz w:val="20"/>
                <w:szCs w:val="20"/>
                <w:lang w:val="es-CO"/>
              </w:rPr>
            </w:pPr>
          </w:p>
          <w:p w14:paraId="3B6DE01B" w14:textId="0EF3E0AF" w:rsidR="00A34C98" w:rsidRPr="00924F1D" w:rsidRDefault="00F30446" w:rsidP="00924F1D">
            <w:pPr>
              <w:pStyle w:val="Sangra2detindependiente"/>
              <w:numPr>
                <w:ilvl w:val="0"/>
                <w:numId w:val="3"/>
              </w:numPr>
              <w:spacing w:after="0" w:line="276" w:lineRule="auto"/>
              <w:jc w:val="both"/>
              <w:rPr>
                <w:rFonts w:ascii="Arial" w:hAnsi="Arial" w:cs="Arial"/>
                <w:sz w:val="20"/>
                <w:szCs w:val="20"/>
                <w:lang w:val="es-CO"/>
              </w:rPr>
            </w:pPr>
            <w:r w:rsidRPr="00924F1D">
              <w:rPr>
                <w:rFonts w:ascii="Arial" w:hAnsi="Arial" w:cs="Arial"/>
                <w:b/>
                <w:bCs/>
                <w:sz w:val="20"/>
                <w:szCs w:val="20"/>
                <w:lang w:val="es-CO"/>
              </w:rPr>
              <w:t>Límite valor asegurado</w:t>
            </w:r>
            <w:r w:rsidRPr="00924F1D">
              <w:rPr>
                <w:rFonts w:ascii="Arial" w:hAnsi="Arial" w:cs="Arial"/>
                <w:sz w:val="20"/>
                <w:szCs w:val="20"/>
                <w:lang w:val="es-CO"/>
              </w:rPr>
              <w:t xml:space="preserve">: </w:t>
            </w:r>
            <w:r w:rsidR="001C1CA3">
              <w:rPr>
                <w:rFonts w:ascii="Arial" w:hAnsi="Arial" w:cs="Arial"/>
                <w:sz w:val="20"/>
                <w:szCs w:val="20"/>
                <w:lang w:val="es-CO"/>
              </w:rPr>
              <w:t xml:space="preserve">Debe precisarse que dentro de la póliza No. </w:t>
            </w:r>
            <w:r w:rsidR="001C1CA3">
              <w:rPr>
                <w:rFonts w:ascii="Arial" w:hAnsi="Arial" w:cs="Arial"/>
                <w:sz w:val="20"/>
                <w:szCs w:val="20"/>
              </w:rPr>
              <w:t>0</w:t>
            </w:r>
            <w:r w:rsidR="001C1CA3" w:rsidRPr="00A34C98">
              <w:rPr>
                <w:rFonts w:ascii="Arial" w:hAnsi="Arial" w:cs="Arial"/>
                <w:sz w:val="20"/>
                <w:szCs w:val="20"/>
              </w:rPr>
              <w:t>150450</w:t>
            </w:r>
            <w:r w:rsidR="001C1CA3">
              <w:rPr>
                <w:rFonts w:ascii="Arial" w:hAnsi="Arial" w:cs="Arial"/>
                <w:sz w:val="20"/>
                <w:szCs w:val="20"/>
              </w:rPr>
              <w:t xml:space="preserve">-4, se establecieron entre otros amparos, el de </w:t>
            </w:r>
            <w:r w:rsidR="00924F1D" w:rsidRPr="00924F1D">
              <w:rPr>
                <w:rFonts w:ascii="Arial" w:hAnsi="Arial" w:cs="Arial"/>
                <w:sz w:val="20"/>
                <w:szCs w:val="20"/>
                <w:lang w:val="es-CO"/>
              </w:rPr>
              <w:t xml:space="preserve">Responsabilidad </w:t>
            </w:r>
            <w:r w:rsidR="00EE7677">
              <w:rPr>
                <w:rFonts w:ascii="Arial" w:hAnsi="Arial" w:cs="Arial"/>
                <w:sz w:val="20"/>
                <w:szCs w:val="20"/>
                <w:lang w:val="es-CO"/>
              </w:rPr>
              <w:t>civil de contratistas y subcontratistas</w:t>
            </w:r>
            <w:r w:rsidRPr="00924F1D">
              <w:rPr>
                <w:rFonts w:ascii="Arial" w:hAnsi="Arial" w:cs="Arial"/>
                <w:sz w:val="20"/>
                <w:szCs w:val="20"/>
                <w:lang w:val="es-CO"/>
              </w:rPr>
              <w:t>,</w:t>
            </w:r>
            <w:r w:rsidR="001C1CA3">
              <w:rPr>
                <w:rFonts w:ascii="Arial" w:hAnsi="Arial" w:cs="Arial"/>
                <w:sz w:val="20"/>
                <w:szCs w:val="20"/>
                <w:lang w:val="es-CO"/>
              </w:rPr>
              <w:t xml:space="preserve"> con un </w:t>
            </w:r>
            <w:r w:rsidR="00EE7677">
              <w:rPr>
                <w:rFonts w:ascii="Arial" w:hAnsi="Arial" w:cs="Arial"/>
                <w:sz w:val="20"/>
                <w:szCs w:val="20"/>
                <w:lang w:val="es-CO"/>
              </w:rPr>
              <w:t>sub</w:t>
            </w:r>
            <w:r w:rsidR="001C1CA3" w:rsidRPr="00924F1D">
              <w:rPr>
                <w:rFonts w:ascii="Arial" w:hAnsi="Arial" w:cs="Arial"/>
                <w:sz w:val="20"/>
                <w:szCs w:val="20"/>
                <w:lang w:val="es-CO"/>
              </w:rPr>
              <w:t xml:space="preserve">límite asegurado </w:t>
            </w:r>
            <w:r w:rsidR="001C1CA3">
              <w:rPr>
                <w:rFonts w:ascii="Arial" w:hAnsi="Arial" w:cs="Arial"/>
                <w:sz w:val="20"/>
                <w:szCs w:val="20"/>
                <w:lang w:val="es-CO"/>
              </w:rPr>
              <w:t>de</w:t>
            </w:r>
            <w:r w:rsidR="001C1CA3" w:rsidRPr="00924F1D">
              <w:rPr>
                <w:rFonts w:ascii="Arial" w:hAnsi="Arial" w:cs="Arial"/>
                <w:sz w:val="20"/>
                <w:szCs w:val="20"/>
                <w:lang w:val="es-CO"/>
              </w:rPr>
              <w:t xml:space="preserve"> $</w:t>
            </w:r>
            <w:r w:rsidR="00EE7677">
              <w:rPr>
                <w:rFonts w:ascii="Arial" w:hAnsi="Arial" w:cs="Arial"/>
                <w:sz w:val="20"/>
                <w:szCs w:val="20"/>
                <w:lang w:val="es-CO"/>
              </w:rPr>
              <w:t>7.500.000</w:t>
            </w:r>
            <w:r w:rsidR="001C1CA3" w:rsidRPr="00924F1D">
              <w:rPr>
                <w:rFonts w:ascii="Arial" w:hAnsi="Arial" w:cs="Arial"/>
                <w:sz w:val="20"/>
                <w:szCs w:val="20"/>
                <w:lang w:val="es-CO"/>
              </w:rPr>
              <w:t>.000</w:t>
            </w:r>
            <w:r w:rsidR="001C1CA3">
              <w:rPr>
                <w:rFonts w:ascii="Arial" w:hAnsi="Arial" w:cs="Arial"/>
                <w:sz w:val="20"/>
                <w:szCs w:val="20"/>
                <w:lang w:val="es-CO"/>
              </w:rPr>
              <w:t>. P</w:t>
            </w:r>
            <w:r w:rsidRPr="00924F1D">
              <w:rPr>
                <w:rFonts w:ascii="Arial" w:hAnsi="Arial" w:cs="Arial"/>
                <w:sz w:val="20"/>
                <w:szCs w:val="20"/>
                <w:lang w:val="es-CO"/>
              </w:rPr>
              <w:t xml:space="preserve">or lo cual, el eventual impacto económico del proceso estaría contenido dentro del margen de cobertura. </w:t>
            </w:r>
          </w:p>
          <w:p w14:paraId="5694D0FB" w14:textId="77777777" w:rsidR="00F30446" w:rsidRPr="00924F1D" w:rsidRDefault="00F30446" w:rsidP="00924F1D">
            <w:pPr>
              <w:pStyle w:val="Prrafodelista"/>
              <w:spacing w:line="276" w:lineRule="auto"/>
              <w:rPr>
                <w:rFonts w:ascii="Arial" w:hAnsi="Arial" w:cs="Arial"/>
                <w:sz w:val="20"/>
                <w:szCs w:val="20"/>
              </w:rPr>
            </w:pPr>
          </w:p>
          <w:p w14:paraId="56820F61" w14:textId="46317AAB" w:rsidR="00F30446" w:rsidRPr="00924F1D" w:rsidRDefault="00F30446" w:rsidP="00924F1D">
            <w:pPr>
              <w:pStyle w:val="Sangra2detindependiente"/>
              <w:numPr>
                <w:ilvl w:val="0"/>
                <w:numId w:val="3"/>
              </w:numPr>
              <w:spacing w:after="0" w:line="276" w:lineRule="auto"/>
              <w:jc w:val="both"/>
              <w:rPr>
                <w:rFonts w:ascii="Arial" w:hAnsi="Arial" w:cs="Arial"/>
                <w:b/>
                <w:bCs/>
                <w:sz w:val="20"/>
                <w:szCs w:val="20"/>
                <w:lang w:val="es-CO"/>
              </w:rPr>
            </w:pPr>
            <w:r w:rsidRPr="00924F1D">
              <w:rPr>
                <w:rFonts w:ascii="Arial" w:hAnsi="Arial" w:cs="Arial"/>
                <w:b/>
                <w:bCs/>
                <w:sz w:val="20"/>
                <w:szCs w:val="20"/>
                <w:lang w:val="es-CO"/>
              </w:rPr>
              <w:t xml:space="preserve">Deducible: </w:t>
            </w:r>
            <w:r w:rsidR="00924F1D">
              <w:rPr>
                <w:rFonts w:ascii="Arial" w:hAnsi="Arial" w:cs="Arial"/>
                <w:sz w:val="20"/>
                <w:szCs w:val="20"/>
                <w:lang w:val="es-CO"/>
              </w:rPr>
              <w:t>Dentro de</w:t>
            </w:r>
            <w:r w:rsidR="001C1CA3">
              <w:rPr>
                <w:rFonts w:ascii="Arial" w:hAnsi="Arial" w:cs="Arial"/>
                <w:sz w:val="20"/>
                <w:szCs w:val="20"/>
                <w:lang w:val="es-CO"/>
              </w:rPr>
              <w:t xml:space="preserve"> la referida póliza, las partes pactaron un deducible igual a 10% del valor total de la indemnización o mínimo $30.000.000. Para el caso particular, el deducible </w:t>
            </w:r>
            <w:r w:rsidR="00EE7677">
              <w:rPr>
                <w:rFonts w:ascii="Arial" w:hAnsi="Arial" w:cs="Arial"/>
                <w:sz w:val="20"/>
                <w:szCs w:val="20"/>
                <w:lang w:val="es-CO"/>
              </w:rPr>
              <w:t xml:space="preserve">más beneficioso </w:t>
            </w:r>
            <w:r w:rsidR="001C1CA3">
              <w:rPr>
                <w:rFonts w:ascii="Arial" w:hAnsi="Arial" w:cs="Arial"/>
                <w:sz w:val="20"/>
                <w:szCs w:val="20"/>
                <w:lang w:val="es-CO"/>
              </w:rPr>
              <w:t xml:space="preserve">es el del 10%, el cual se debe aplicar al valor total de las pretensiones que, para el caso sería la suma de $5.269.284.401, </w:t>
            </w:r>
            <w:r w:rsidR="00EE7677">
              <w:rPr>
                <w:rFonts w:ascii="Arial" w:hAnsi="Arial" w:cs="Arial"/>
                <w:sz w:val="20"/>
                <w:szCs w:val="20"/>
                <w:lang w:val="es-CO"/>
              </w:rPr>
              <w:t xml:space="preserve">a este último valor se la aplica el deducible, </w:t>
            </w:r>
            <w:r w:rsidR="001C1CA3">
              <w:rPr>
                <w:rFonts w:ascii="Arial" w:hAnsi="Arial" w:cs="Arial"/>
                <w:sz w:val="20"/>
                <w:szCs w:val="20"/>
                <w:lang w:val="es-CO"/>
              </w:rPr>
              <w:t xml:space="preserve">dando finalmente la suma de </w:t>
            </w:r>
            <w:r w:rsidR="001C1CA3" w:rsidRPr="001C1CA3">
              <w:rPr>
                <w:rFonts w:ascii="Arial" w:hAnsi="Arial" w:cs="Arial"/>
                <w:b/>
                <w:bCs/>
                <w:sz w:val="20"/>
                <w:szCs w:val="20"/>
                <w:lang w:val="es-CO"/>
              </w:rPr>
              <w:t>$4.742.355.960,9</w:t>
            </w:r>
          </w:p>
          <w:p w14:paraId="5864B4FD" w14:textId="77777777" w:rsidR="00F30446" w:rsidRPr="00924F1D" w:rsidRDefault="00F30446" w:rsidP="00924F1D">
            <w:pPr>
              <w:pStyle w:val="Sangra2detindependiente"/>
              <w:spacing w:after="0" w:line="276" w:lineRule="auto"/>
              <w:ind w:left="720"/>
              <w:jc w:val="both"/>
              <w:rPr>
                <w:rFonts w:ascii="Arial" w:hAnsi="Arial" w:cs="Arial"/>
                <w:sz w:val="20"/>
                <w:szCs w:val="20"/>
                <w:lang w:val="es-CO"/>
              </w:rPr>
            </w:pPr>
          </w:p>
          <w:p w14:paraId="7CBA7DAE" w14:textId="04DB93EB" w:rsidR="00F30446" w:rsidRPr="0076150C" w:rsidRDefault="00F30446" w:rsidP="00924F1D">
            <w:pPr>
              <w:pStyle w:val="Sangra2detindependiente"/>
              <w:numPr>
                <w:ilvl w:val="0"/>
                <w:numId w:val="3"/>
              </w:numPr>
              <w:spacing w:after="0" w:line="276" w:lineRule="auto"/>
              <w:jc w:val="both"/>
              <w:rPr>
                <w:rFonts w:ascii="Arial" w:hAnsi="Arial" w:cs="Arial"/>
                <w:b/>
                <w:bCs/>
                <w:sz w:val="20"/>
                <w:szCs w:val="20"/>
              </w:rPr>
            </w:pPr>
            <w:r w:rsidRPr="00924F1D">
              <w:rPr>
                <w:rFonts w:ascii="Arial" w:hAnsi="Arial" w:cs="Arial"/>
                <w:b/>
                <w:bCs/>
                <w:sz w:val="20"/>
                <w:szCs w:val="20"/>
                <w:lang w:val="es-CO"/>
              </w:rPr>
              <w:t xml:space="preserve">Coaseguro: </w:t>
            </w:r>
            <w:r w:rsidR="001C1CA3">
              <w:rPr>
                <w:rFonts w:ascii="Arial" w:hAnsi="Arial" w:cs="Arial"/>
                <w:sz w:val="20"/>
                <w:szCs w:val="20"/>
                <w:lang w:val="es-CO"/>
              </w:rPr>
              <w:t xml:space="preserve">Dentro del seguro formalizado bajo la póliza No. </w:t>
            </w:r>
            <w:r w:rsidR="001C1CA3">
              <w:rPr>
                <w:rFonts w:ascii="Arial" w:hAnsi="Arial" w:cs="Arial"/>
                <w:sz w:val="20"/>
                <w:szCs w:val="20"/>
              </w:rPr>
              <w:t>0</w:t>
            </w:r>
            <w:r w:rsidR="001C1CA3" w:rsidRPr="00A34C98">
              <w:rPr>
                <w:rFonts w:ascii="Arial" w:hAnsi="Arial" w:cs="Arial"/>
                <w:sz w:val="20"/>
                <w:szCs w:val="20"/>
              </w:rPr>
              <w:t>150450</w:t>
            </w:r>
            <w:r w:rsidR="001C1CA3">
              <w:rPr>
                <w:rFonts w:ascii="Arial" w:hAnsi="Arial" w:cs="Arial"/>
                <w:sz w:val="20"/>
                <w:szCs w:val="20"/>
              </w:rPr>
              <w:t xml:space="preserve">-4, se pactó un coaseguro con la compañía Seguros Alfa S.A., donde Suramericana como aseguradora líder, asumiría el 70% de la indemnización a la cual hubiera lugar y Seguros Alfa SA, asumiría el 30%. Bajo lo antes dicho y teniendo presente </w:t>
            </w:r>
            <w:r w:rsidR="0076150C">
              <w:rPr>
                <w:rFonts w:ascii="Arial" w:hAnsi="Arial" w:cs="Arial"/>
                <w:sz w:val="20"/>
                <w:szCs w:val="20"/>
              </w:rPr>
              <w:t>que el valor de la liquidación objetivada asciende a la suma de $4.742.355.960,9, se tiene que Sura asumiría el valor de $</w:t>
            </w:r>
            <w:r w:rsidR="0076150C" w:rsidRPr="0076150C">
              <w:rPr>
                <w:rFonts w:ascii="Arial" w:hAnsi="Arial" w:cs="Arial"/>
                <w:sz w:val="20"/>
                <w:szCs w:val="20"/>
              </w:rPr>
              <w:t>3.319.649.172,6</w:t>
            </w:r>
            <w:r w:rsidR="0076150C">
              <w:rPr>
                <w:rFonts w:ascii="Arial" w:hAnsi="Arial" w:cs="Arial"/>
                <w:sz w:val="20"/>
                <w:szCs w:val="20"/>
              </w:rPr>
              <w:t>, siendo igual al 70% del valor total de la liquidación objetiva.</w:t>
            </w:r>
          </w:p>
          <w:p w14:paraId="73714EA7" w14:textId="77777777" w:rsidR="0076150C" w:rsidRDefault="0076150C" w:rsidP="0076150C">
            <w:pPr>
              <w:pStyle w:val="Prrafodelista"/>
              <w:rPr>
                <w:rFonts w:ascii="Arial" w:hAnsi="Arial" w:cs="Arial"/>
                <w:b/>
                <w:bCs/>
                <w:sz w:val="20"/>
                <w:szCs w:val="20"/>
              </w:rPr>
            </w:pPr>
          </w:p>
          <w:p w14:paraId="307E2C2C" w14:textId="3AB98CC5" w:rsidR="0076150C" w:rsidRPr="00924F1D" w:rsidRDefault="0076150C" w:rsidP="0076150C">
            <w:pPr>
              <w:pStyle w:val="Sangra2detindependiente"/>
              <w:spacing w:after="0" w:line="276" w:lineRule="auto"/>
              <w:jc w:val="both"/>
              <w:rPr>
                <w:rFonts w:ascii="Arial" w:hAnsi="Arial" w:cs="Arial"/>
                <w:b/>
                <w:bCs/>
                <w:sz w:val="20"/>
                <w:szCs w:val="20"/>
              </w:rPr>
            </w:pPr>
            <w:r w:rsidRPr="0076150C">
              <w:rPr>
                <w:rFonts w:ascii="Arial" w:hAnsi="Arial" w:cs="Arial"/>
                <w:sz w:val="20"/>
                <w:szCs w:val="20"/>
              </w:rPr>
              <w:t>Finalmente, se tiene que el valor de exposición de la compañía asciende a la suma de</w:t>
            </w:r>
            <w:r>
              <w:rPr>
                <w:rFonts w:ascii="Arial" w:hAnsi="Arial" w:cs="Arial"/>
                <w:b/>
                <w:bCs/>
                <w:sz w:val="20"/>
                <w:szCs w:val="20"/>
              </w:rPr>
              <w:t xml:space="preserve"> $3.319.649.172,6</w:t>
            </w:r>
          </w:p>
          <w:p w14:paraId="442621BC" w14:textId="77777777" w:rsidR="00D61ACD" w:rsidRPr="00924F1D" w:rsidRDefault="00D61ACD" w:rsidP="00D61ACD">
            <w:pPr>
              <w:pStyle w:val="Sangra2detindependiente"/>
              <w:spacing w:after="0" w:line="240" w:lineRule="auto"/>
              <w:ind w:left="720"/>
              <w:jc w:val="both"/>
              <w:rPr>
                <w:rFonts w:ascii="Arial" w:hAnsi="Arial" w:cs="Arial"/>
                <w:b/>
                <w:bCs/>
                <w:sz w:val="22"/>
                <w:szCs w:val="22"/>
              </w:rPr>
            </w:pPr>
          </w:p>
          <w:p w14:paraId="1BE4FA94" w14:textId="77777777" w:rsidR="009F317B" w:rsidRDefault="009F317B" w:rsidP="00D61ACD">
            <w:pPr>
              <w:pStyle w:val="Sangra2detindependiente"/>
              <w:spacing w:after="0" w:line="240" w:lineRule="auto"/>
              <w:ind w:left="720"/>
              <w:jc w:val="both"/>
              <w:rPr>
                <w:rFonts w:ascii="Arial" w:hAnsi="Arial" w:cs="Arial"/>
                <w:b/>
                <w:bCs/>
                <w:sz w:val="20"/>
                <w:szCs w:val="20"/>
              </w:rPr>
            </w:pPr>
          </w:p>
          <w:p w14:paraId="1D859B52" w14:textId="79BC6F86" w:rsidR="009F317B" w:rsidRPr="00A34C98" w:rsidRDefault="009F317B" w:rsidP="009F317B">
            <w:pPr>
              <w:pStyle w:val="Sangra2detindependiente"/>
              <w:spacing w:after="0" w:line="240" w:lineRule="auto"/>
              <w:ind w:left="0"/>
              <w:jc w:val="both"/>
              <w:rPr>
                <w:rFonts w:ascii="Arial" w:hAnsi="Arial" w:cs="Arial"/>
                <w:b/>
                <w:bCs/>
                <w:sz w:val="20"/>
                <w:szCs w:val="20"/>
              </w:rPr>
            </w:pPr>
          </w:p>
        </w:tc>
      </w:tr>
      <w:tr w:rsidR="00A34C98" w:rsidRPr="00A34C98" w14:paraId="4065DABF" w14:textId="77777777" w:rsidTr="00EC630B">
        <w:trPr>
          <w:trHeight w:val="1657"/>
        </w:trPr>
        <w:tc>
          <w:tcPr>
            <w:tcW w:w="2338" w:type="dxa"/>
            <w:shd w:val="clear" w:color="auto" w:fill="0033A0"/>
            <w:vAlign w:val="center"/>
          </w:tcPr>
          <w:p w14:paraId="23F3E5FE" w14:textId="77777777" w:rsidR="00A34C98" w:rsidRPr="00A34C98" w:rsidRDefault="00A34C98" w:rsidP="00EC630B">
            <w:pPr>
              <w:pStyle w:val="Ttulo7"/>
              <w:rPr>
                <w:rFonts w:ascii="Arial" w:hAnsi="Arial" w:cs="Arial"/>
                <w:color w:val="auto"/>
                <w:sz w:val="20"/>
              </w:rPr>
            </w:pPr>
            <w:r w:rsidRPr="00A34C98">
              <w:rPr>
                <w:rFonts w:ascii="Arial" w:hAnsi="Arial" w:cs="Arial"/>
                <w:color w:val="auto"/>
                <w:sz w:val="20"/>
              </w:rPr>
              <w:t>Resumen del proceso</w:t>
            </w:r>
          </w:p>
        </w:tc>
        <w:tc>
          <w:tcPr>
            <w:tcW w:w="7512" w:type="dxa"/>
            <w:gridSpan w:val="3"/>
            <w:vAlign w:val="center"/>
          </w:tcPr>
          <w:p w14:paraId="5ECAFA98"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 xml:space="preserve">La Compañía Energética de Occidente SA ESP, en atención al desarrollo urbanístico del proyecto “Clínica Espíritu Santo”, ordenó cambiar las redes de fluido eléctrico de la hacienda La Paz, los cuales fueron ejecutados por el contratista </w:t>
            </w:r>
            <w:bookmarkStart w:id="0" w:name="_Hlk200461210"/>
            <w:r w:rsidRPr="00A34C98">
              <w:rPr>
                <w:rFonts w:ascii="Arial" w:hAnsi="Arial" w:cs="Arial"/>
                <w:sz w:val="20"/>
                <w:szCs w:val="20"/>
              </w:rPr>
              <w:t>Proing SA</w:t>
            </w:r>
            <w:bookmarkEnd w:id="0"/>
            <w:r w:rsidRPr="00A34C98">
              <w:rPr>
                <w:rFonts w:ascii="Arial" w:hAnsi="Arial" w:cs="Arial"/>
                <w:sz w:val="20"/>
                <w:szCs w:val="20"/>
              </w:rPr>
              <w:t>. El día 22 de agosto de 2017.</w:t>
            </w:r>
          </w:p>
          <w:p w14:paraId="2BFC7156"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Posterior a las labores antes descritas, el mismo día 22 de agosto de 2017, se presentó un incendio en las pesebreras para equinos de la hacienda La Paz. Dicho inmueble era administrado por el señor Gustavo López Baytala, donde se desarrollaba la producción agrícola de equinos y ganado de propiedad de la sociedad Gustavo López Navia S.A., también funcionaban las oficinas de la sociedad Grupo Constructor Prodigyo SA y se estaba llevando a cabo la construcción de la Clínica Espíritu Santo.</w:t>
            </w:r>
          </w:p>
          <w:p w14:paraId="0E94BB19"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Como consecuencia del incendio, se generaron daños personales al señor Gustavo López Baytala, su hija menor Maria Emilia López, y las sociedades Gustavo López Navia S.A, y el Grupo Constructor Prodigyo SA</w:t>
            </w:r>
          </w:p>
          <w:p w14:paraId="7ADA732A"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En el Juzgado Quinto Civil del Circuito de Popayán, bajo el radicado 19001310300520200001700, curso proceso de responsabilidad civil extracontractual, promovido por los señores Gustavo López Baytala, su hija menor Maria Emilia López, y las sociedades Gustavo López Navia S.A, y el Grupo Constructor Prodigyo SA., en contra de la Compañía Energética de Occidente SA ESP, sin embargo, el mismo fue remitido a la Jurisdicción de lo Contencioso Administrativo, quien es el competente para conocer del asunto.</w:t>
            </w:r>
          </w:p>
          <w:p w14:paraId="2980FE3B"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 xml:space="preserve">El Tribunal Administrativo del Cauca, con Mg. Carlos Leonel Buitrago Chávez, inadmitió la referida demanda, otorgando el término de 10 días para subsanadlo. Sin embargo, mediante proveído N° 200 del 28 de junio de 2024 el Tribunal rechazo la demanda, por no ser subsanada. </w:t>
            </w:r>
          </w:p>
          <w:p w14:paraId="54A5ED88"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El apoderado de los señores Gustavo López Baytala, su hija menor Maria Emilia López, y las sociedades Gustavo López Navia S.A, y el Grupo Constructor Prodigyo SA, apeló tal decisión, sin que hasta el momento se resuelva.</w:t>
            </w:r>
          </w:p>
          <w:p w14:paraId="7C965AE9"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Entre la empresa Compañía Energetica de Occidente SA ESP, se celebró contrato de seguro No. 0150450-4, con vigencia del 01 de junio de 2017 al 01 de junio de 2018 que entre sus coberturas incluye el amparo por responsabilidad civil extracontractual cruzada y responsabilidad civil extracontractual, siendo la coaseguradora de este contrato la coaseguradora SEGUROS ALFA S.A.</w:t>
            </w:r>
          </w:p>
          <w:p w14:paraId="2F2A9B0D"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Mediante oficio del 22 de febrero del 2023, la Compañía Energética de Occidente S.A.S E.S.P., presentó ante la aseguradora hoy parte demandada, oficio con el fin de interrumpir la prescripción de la acción tendiente al pago de la indemnización.</w:t>
            </w:r>
          </w:p>
          <w:p w14:paraId="108B05B0" w14:textId="77777777" w:rsidR="00A34C98" w:rsidRPr="00A34C98" w:rsidRDefault="00A34C98" w:rsidP="00EC630B">
            <w:pPr>
              <w:pStyle w:val="Prrafodelista"/>
              <w:numPr>
                <w:ilvl w:val="0"/>
                <w:numId w:val="1"/>
              </w:numPr>
              <w:jc w:val="both"/>
              <w:rPr>
                <w:rFonts w:ascii="Arial" w:hAnsi="Arial" w:cs="Arial"/>
                <w:sz w:val="20"/>
                <w:szCs w:val="20"/>
              </w:rPr>
            </w:pPr>
            <w:r w:rsidRPr="00A34C98">
              <w:rPr>
                <w:rFonts w:ascii="Arial" w:hAnsi="Arial" w:cs="Arial"/>
                <w:sz w:val="20"/>
                <w:szCs w:val="20"/>
              </w:rPr>
              <w:t>El día trece (13) de marzo de 2025 se celebró audiencia de conciliación en las instalaciones del Centro de Conciliación Municipal Casa de Justicia, fungiendo como parte convocante la Compañía Energética de Occidente S.A.S. E.S.P. donde compareció como parte convocada el apoderado de Seguros Generales Suramericana S.A. y la apoderada de Seguros Alfa S.A.</w:t>
            </w:r>
          </w:p>
        </w:tc>
      </w:tr>
      <w:tr w:rsidR="00A34C98" w:rsidRPr="00A34C98" w14:paraId="44871783" w14:textId="77777777" w:rsidTr="00EC630B">
        <w:trPr>
          <w:trHeight w:val="559"/>
        </w:trPr>
        <w:tc>
          <w:tcPr>
            <w:tcW w:w="2338" w:type="dxa"/>
            <w:shd w:val="clear" w:color="auto" w:fill="0033A0"/>
            <w:vAlign w:val="center"/>
          </w:tcPr>
          <w:p w14:paraId="1E85B8DD" w14:textId="77777777" w:rsidR="00A34C98" w:rsidRPr="00A34C98" w:rsidRDefault="00A34C98" w:rsidP="00EC630B">
            <w:pPr>
              <w:rPr>
                <w:rFonts w:ascii="Arial" w:hAnsi="Arial" w:cs="Arial"/>
                <w:b/>
                <w:sz w:val="20"/>
                <w:szCs w:val="20"/>
              </w:rPr>
            </w:pPr>
            <w:r w:rsidRPr="00A34C98">
              <w:rPr>
                <w:rFonts w:ascii="Arial" w:hAnsi="Arial" w:cs="Arial"/>
                <w:b/>
                <w:sz w:val="20"/>
                <w:szCs w:val="20"/>
              </w:rPr>
              <w:t>Calificación de la Contingencia</w:t>
            </w:r>
          </w:p>
        </w:tc>
        <w:tc>
          <w:tcPr>
            <w:tcW w:w="7512" w:type="dxa"/>
            <w:gridSpan w:val="3"/>
            <w:vAlign w:val="center"/>
          </w:tcPr>
          <w:p w14:paraId="0B11CA35" w14:textId="463D0064" w:rsidR="00A34C98" w:rsidRPr="00A34C98" w:rsidRDefault="00A34C98" w:rsidP="00EC630B">
            <w:pPr>
              <w:jc w:val="both"/>
              <w:rPr>
                <w:rFonts w:ascii="Arial" w:hAnsi="Arial" w:cs="Arial"/>
                <w:b/>
                <w:sz w:val="20"/>
                <w:szCs w:val="20"/>
              </w:rPr>
            </w:pPr>
            <w:r>
              <w:rPr>
                <w:rFonts w:ascii="Arial" w:hAnsi="Arial" w:cs="Arial"/>
                <w:b/>
                <w:sz w:val="20"/>
                <w:szCs w:val="20"/>
              </w:rPr>
              <w:t>REMOTO</w:t>
            </w:r>
          </w:p>
        </w:tc>
      </w:tr>
      <w:tr w:rsidR="00A34C98" w:rsidRPr="00A34C98" w14:paraId="6FE27D05" w14:textId="77777777" w:rsidTr="00EC630B">
        <w:trPr>
          <w:trHeight w:val="836"/>
        </w:trPr>
        <w:tc>
          <w:tcPr>
            <w:tcW w:w="2338" w:type="dxa"/>
            <w:shd w:val="clear" w:color="auto" w:fill="0033A0"/>
            <w:vAlign w:val="center"/>
          </w:tcPr>
          <w:p w14:paraId="0D9DE8A4" w14:textId="77777777" w:rsidR="00A34C98" w:rsidRPr="00A34C98" w:rsidRDefault="00A34C98" w:rsidP="00EC630B">
            <w:pPr>
              <w:rPr>
                <w:rFonts w:ascii="Arial" w:hAnsi="Arial" w:cs="Arial"/>
                <w:b/>
                <w:sz w:val="20"/>
                <w:szCs w:val="20"/>
              </w:rPr>
            </w:pPr>
            <w:r w:rsidRPr="00A34C98">
              <w:rPr>
                <w:rFonts w:ascii="Arial" w:hAnsi="Arial" w:cs="Arial"/>
                <w:b/>
                <w:sz w:val="20"/>
                <w:szCs w:val="20"/>
              </w:rPr>
              <w:t>Fundamento de la calificación</w:t>
            </w:r>
          </w:p>
        </w:tc>
        <w:tc>
          <w:tcPr>
            <w:tcW w:w="7512" w:type="dxa"/>
            <w:gridSpan w:val="3"/>
            <w:vAlign w:val="center"/>
          </w:tcPr>
          <w:p w14:paraId="6A8DDFA0" w14:textId="2277E054" w:rsidR="00A56D51" w:rsidRDefault="00A34C98" w:rsidP="00EC630B">
            <w:pPr>
              <w:jc w:val="both"/>
              <w:rPr>
                <w:rFonts w:ascii="Arial" w:hAnsi="Arial" w:cs="Arial"/>
                <w:sz w:val="20"/>
                <w:szCs w:val="20"/>
                <w:lang w:val="es-ES"/>
              </w:rPr>
            </w:pPr>
            <w:r w:rsidRPr="00A34C98">
              <w:rPr>
                <w:rFonts w:ascii="Arial" w:hAnsi="Arial" w:cs="Arial"/>
                <w:sz w:val="20"/>
                <w:szCs w:val="20"/>
                <w:lang w:val="es-ES"/>
              </w:rPr>
              <w:t xml:space="preserve">Se considera </w:t>
            </w:r>
            <w:r>
              <w:rPr>
                <w:rFonts w:ascii="Arial" w:hAnsi="Arial" w:cs="Arial"/>
                <w:sz w:val="20"/>
                <w:szCs w:val="20"/>
                <w:lang w:val="es-ES"/>
              </w:rPr>
              <w:t>REMOTO</w:t>
            </w:r>
            <w:r w:rsidRPr="00A34C98">
              <w:rPr>
                <w:rFonts w:ascii="Arial" w:hAnsi="Arial" w:cs="Arial"/>
                <w:sz w:val="20"/>
                <w:szCs w:val="20"/>
                <w:lang w:val="es-ES"/>
              </w:rPr>
              <w:t xml:space="preserve">, </w:t>
            </w:r>
            <w:r w:rsidR="00A56D51">
              <w:rPr>
                <w:rFonts w:ascii="Arial" w:hAnsi="Arial" w:cs="Arial"/>
                <w:sz w:val="20"/>
                <w:szCs w:val="20"/>
                <w:lang w:val="es-ES"/>
              </w:rPr>
              <w:t xml:space="preserve">en atención a que se encuentra </w:t>
            </w:r>
            <w:r w:rsidR="003A621C">
              <w:rPr>
                <w:rFonts w:ascii="Arial" w:hAnsi="Arial" w:cs="Arial"/>
                <w:sz w:val="20"/>
                <w:szCs w:val="20"/>
                <w:lang w:val="es-ES"/>
              </w:rPr>
              <w:t>configurada</w:t>
            </w:r>
            <w:r w:rsidR="00A56D51">
              <w:rPr>
                <w:rFonts w:ascii="Arial" w:hAnsi="Arial" w:cs="Arial"/>
                <w:sz w:val="20"/>
                <w:szCs w:val="20"/>
                <w:lang w:val="es-ES"/>
              </w:rPr>
              <w:t xml:space="preserve"> la prescripción de las acciones derivadas del contrato de seguro</w:t>
            </w:r>
            <w:r w:rsidR="003A621C">
              <w:rPr>
                <w:rFonts w:ascii="Arial" w:hAnsi="Arial" w:cs="Arial"/>
                <w:sz w:val="20"/>
                <w:szCs w:val="20"/>
                <w:lang w:val="es-ES"/>
              </w:rPr>
              <w:t xml:space="preserve">, en los términos del </w:t>
            </w:r>
            <w:r w:rsidR="006D5BCD">
              <w:rPr>
                <w:rFonts w:ascii="Arial" w:hAnsi="Arial" w:cs="Arial"/>
                <w:sz w:val="20"/>
                <w:szCs w:val="20"/>
                <w:lang w:val="es-ES"/>
              </w:rPr>
              <w:t>artículo</w:t>
            </w:r>
            <w:r w:rsidR="003A621C">
              <w:rPr>
                <w:rFonts w:ascii="Arial" w:hAnsi="Arial" w:cs="Arial"/>
                <w:sz w:val="20"/>
                <w:szCs w:val="20"/>
                <w:lang w:val="es-ES"/>
              </w:rPr>
              <w:t xml:space="preserve"> 1081</w:t>
            </w:r>
            <w:r w:rsidR="00E36F9A">
              <w:rPr>
                <w:rFonts w:ascii="Arial" w:hAnsi="Arial" w:cs="Arial"/>
                <w:sz w:val="20"/>
                <w:szCs w:val="20"/>
                <w:lang w:val="es-ES"/>
              </w:rPr>
              <w:t xml:space="preserve"> y 1131</w:t>
            </w:r>
            <w:r w:rsidR="003A621C">
              <w:rPr>
                <w:rFonts w:ascii="Arial" w:hAnsi="Arial" w:cs="Arial"/>
                <w:sz w:val="20"/>
                <w:szCs w:val="20"/>
                <w:lang w:val="es-ES"/>
              </w:rPr>
              <w:t xml:space="preserve"> del Código de Comercio.</w:t>
            </w:r>
          </w:p>
          <w:p w14:paraId="2EBAF6E0" w14:textId="77777777" w:rsidR="003A621C" w:rsidRDefault="003A621C" w:rsidP="00EC630B">
            <w:pPr>
              <w:jc w:val="both"/>
              <w:rPr>
                <w:rFonts w:ascii="Arial" w:hAnsi="Arial" w:cs="Arial"/>
                <w:sz w:val="20"/>
                <w:szCs w:val="20"/>
                <w:lang w:val="es-ES"/>
              </w:rPr>
            </w:pPr>
          </w:p>
          <w:p w14:paraId="0BE64D49" w14:textId="797AFCD7" w:rsidR="00DF6F72" w:rsidRDefault="003A621C" w:rsidP="00EC630B">
            <w:pPr>
              <w:jc w:val="both"/>
              <w:rPr>
                <w:rFonts w:ascii="Arial" w:hAnsi="Arial" w:cs="Arial"/>
                <w:sz w:val="20"/>
                <w:szCs w:val="20"/>
              </w:rPr>
            </w:pPr>
            <w:r>
              <w:rPr>
                <w:rFonts w:ascii="Arial" w:hAnsi="Arial" w:cs="Arial"/>
                <w:sz w:val="20"/>
                <w:szCs w:val="20"/>
                <w:lang w:val="es-ES"/>
              </w:rPr>
              <w:t xml:space="preserve">Sea lo primero en precisar que, la póliza Responsabilidad Civil Daños a Terceros No. </w:t>
            </w:r>
            <w:r w:rsidR="00E36F9A">
              <w:rPr>
                <w:rFonts w:ascii="Arial" w:hAnsi="Arial" w:cs="Arial"/>
                <w:sz w:val="20"/>
                <w:szCs w:val="20"/>
                <w:lang w:val="es-ES"/>
              </w:rPr>
              <w:t>0</w:t>
            </w:r>
            <w:r w:rsidRPr="00A34C98">
              <w:rPr>
                <w:rFonts w:ascii="Arial" w:hAnsi="Arial" w:cs="Arial"/>
                <w:sz w:val="20"/>
                <w:szCs w:val="20"/>
              </w:rPr>
              <w:t>150450</w:t>
            </w:r>
            <w:r w:rsidR="00747351">
              <w:rPr>
                <w:rFonts w:ascii="Arial" w:hAnsi="Arial" w:cs="Arial"/>
                <w:sz w:val="20"/>
                <w:szCs w:val="20"/>
              </w:rPr>
              <w:t>-4</w:t>
            </w:r>
            <w:r>
              <w:rPr>
                <w:rFonts w:ascii="Arial" w:hAnsi="Arial" w:cs="Arial"/>
                <w:sz w:val="20"/>
                <w:szCs w:val="20"/>
              </w:rPr>
              <w:t>, presta</w:t>
            </w:r>
            <w:r w:rsidR="00DF6F72">
              <w:rPr>
                <w:rFonts w:ascii="Arial" w:hAnsi="Arial" w:cs="Arial"/>
                <w:sz w:val="20"/>
                <w:szCs w:val="20"/>
              </w:rPr>
              <w:t>ba</w:t>
            </w:r>
            <w:r>
              <w:rPr>
                <w:rFonts w:ascii="Arial" w:hAnsi="Arial" w:cs="Arial"/>
                <w:sz w:val="20"/>
                <w:szCs w:val="20"/>
              </w:rPr>
              <w:t xml:space="preserve"> cobertura material</w:t>
            </w:r>
            <w:r w:rsidR="00DF6F72">
              <w:rPr>
                <w:rFonts w:ascii="Arial" w:hAnsi="Arial" w:cs="Arial"/>
                <w:sz w:val="20"/>
                <w:szCs w:val="20"/>
              </w:rPr>
              <w:t xml:space="preserve"> y temporal a los hechos realmente relacionados con el siniestro. Frente a la cobertura temporal, debe decirse que la citada póliza fue pactada para la vigencia comprendida entre el 01/06/2017 al 01/06/2018 es decir estaba vigente para la fecha de la conflagración, es decir el 22 de agosto de 2017. Por otro lado, prestaba cobertura material en tanto ampara la responsabilidad civil de la Compañía Energética de Occidente SA ESP, pretensión que le hubiera sido endilgada por las victimas y/o afectados del incendio. </w:t>
            </w:r>
          </w:p>
          <w:p w14:paraId="4CFC94EE" w14:textId="77777777" w:rsidR="00DF6F72" w:rsidRDefault="00DF6F72" w:rsidP="00EC630B">
            <w:pPr>
              <w:jc w:val="both"/>
              <w:rPr>
                <w:rFonts w:ascii="Arial" w:hAnsi="Arial" w:cs="Arial"/>
                <w:sz w:val="20"/>
                <w:szCs w:val="20"/>
              </w:rPr>
            </w:pPr>
          </w:p>
          <w:p w14:paraId="0EB88EB1" w14:textId="6BE5CDA8" w:rsidR="00481B48" w:rsidRDefault="00DF6F72" w:rsidP="00EC630B">
            <w:pPr>
              <w:jc w:val="both"/>
              <w:rPr>
                <w:rFonts w:ascii="Arial" w:hAnsi="Arial" w:cs="Arial"/>
                <w:sz w:val="20"/>
                <w:szCs w:val="20"/>
              </w:rPr>
            </w:pPr>
            <w:r>
              <w:rPr>
                <w:rFonts w:ascii="Arial" w:hAnsi="Arial" w:cs="Arial"/>
                <w:sz w:val="20"/>
                <w:szCs w:val="20"/>
              </w:rPr>
              <w:t>Frente a la responsabilidad del aseg</w:t>
            </w:r>
            <w:r w:rsidR="00791872">
              <w:rPr>
                <w:rFonts w:ascii="Arial" w:hAnsi="Arial" w:cs="Arial"/>
                <w:sz w:val="20"/>
                <w:szCs w:val="20"/>
              </w:rPr>
              <w:t xml:space="preserve">urado, debe decirse que la misma no ha sido acreditado, en tanto que, de los antecedentes remitidos por Sura, se evidencia lo siguiente: i) </w:t>
            </w:r>
            <w:r w:rsidR="00520AB3">
              <w:rPr>
                <w:rFonts w:ascii="Arial" w:hAnsi="Arial" w:cs="Arial"/>
                <w:sz w:val="20"/>
                <w:szCs w:val="20"/>
              </w:rPr>
              <w:t>El reporte 2675 del cuerpo de bomberos de Popayán, estableció que hubo un incumplimiento a las normas del RETIE, relacionada con el tema de las cercas eléctricas, cuidado y prevención de la vegetación y animales; ii) El informe emitido por Asesoría Delta, concluy</w:t>
            </w:r>
            <w:r w:rsidR="00747351">
              <w:rPr>
                <w:rFonts w:ascii="Arial" w:hAnsi="Arial" w:cs="Arial"/>
                <w:sz w:val="20"/>
                <w:szCs w:val="20"/>
              </w:rPr>
              <w:t>ó</w:t>
            </w:r>
            <w:r w:rsidR="00520AB3">
              <w:rPr>
                <w:rFonts w:ascii="Arial" w:hAnsi="Arial" w:cs="Arial"/>
                <w:sz w:val="20"/>
                <w:szCs w:val="20"/>
              </w:rPr>
              <w:t xml:space="preserve"> que no hay prueba de que hubiera existido una sobrecarga eléctrica que hubiera generado el incendio, En todo caso, se evidencia un incumplimiento a las normas RETIE y otros factores que pudieron influir en la ocurrencia del incendio; iii) El informe técnico de Proing SA, concluyó que el material dejado por ellos, no fue </w:t>
            </w:r>
            <w:r w:rsidR="00F6194D">
              <w:rPr>
                <w:rFonts w:ascii="Arial" w:hAnsi="Arial" w:cs="Arial"/>
                <w:sz w:val="20"/>
                <w:szCs w:val="20"/>
              </w:rPr>
              <w:t>el causante del siniestro, ya que no presentaba muestra o evidencia de ceniza; iv) El informe técnico de control de calidad operativa, realizado por CEO, estableció que hubo un incumplimiento de las instalaciones eléctricas conforme al RETIE, pues no se contaba con un sistema de puerto a tierra. Además, el conductor desmontado, no presentaba signos de flameo por posible arco eléctrico o descarga atmosférica, lo cual indica que no fue un elemento</w:t>
            </w:r>
            <w:r w:rsidR="00481B48">
              <w:rPr>
                <w:rFonts w:ascii="Arial" w:hAnsi="Arial" w:cs="Arial"/>
                <w:sz w:val="20"/>
                <w:szCs w:val="20"/>
              </w:rPr>
              <w:t xml:space="preserve"> </w:t>
            </w:r>
            <w:r w:rsidR="00F6194D">
              <w:rPr>
                <w:rFonts w:ascii="Arial" w:hAnsi="Arial" w:cs="Arial"/>
                <w:sz w:val="20"/>
                <w:szCs w:val="20"/>
              </w:rPr>
              <w:t>activo durante el incendio</w:t>
            </w:r>
            <w:r w:rsidR="00481B48">
              <w:rPr>
                <w:rFonts w:ascii="Arial" w:hAnsi="Arial" w:cs="Arial"/>
                <w:sz w:val="20"/>
                <w:szCs w:val="20"/>
              </w:rPr>
              <w:t>. De cara a ello, es claro que hasta el momento no existe responsabilidad civil en cabeza de la Compañía Energética de Occidente SA ESP.</w:t>
            </w:r>
          </w:p>
          <w:p w14:paraId="0EB75EC9" w14:textId="77777777" w:rsidR="00481B48" w:rsidRDefault="00481B48" w:rsidP="00EC630B">
            <w:pPr>
              <w:jc w:val="both"/>
              <w:rPr>
                <w:rFonts w:ascii="Arial" w:hAnsi="Arial" w:cs="Arial"/>
                <w:sz w:val="20"/>
                <w:szCs w:val="20"/>
              </w:rPr>
            </w:pPr>
          </w:p>
          <w:p w14:paraId="620689B7" w14:textId="295EE8D9" w:rsidR="00747351" w:rsidRDefault="00747351" w:rsidP="00EC630B">
            <w:pPr>
              <w:jc w:val="both"/>
              <w:rPr>
                <w:rFonts w:ascii="Arial" w:hAnsi="Arial" w:cs="Arial"/>
                <w:sz w:val="20"/>
                <w:szCs w:val="20"/>
              </w:rPr>
            </w:pPr>
            <w:r w:rsidRPr="00747351">
              <w:rPr>
                <w:rFonts w:ascii="Arial" w:hAnsi="Arial" w:cs="Arial"/>
                <w:sz w:val="20"/>
                <w:szCs w:val="20"/>
              </w:rPr>
              <w:t xml:space="preserve">Sin perjuicio de que en el presente caso no se haya acreditado la responsabilidad del asegurado, lo cierto es que las acciones derivadas del contrato de seguro se encuentran claramente prescritas, conforme a lo dispuesto en los artículos 1081 y 1131 del Código de Comercio, al tratarse de un seguro de responsabilidad. El incendio que dio lugar al </w:t>
            </w:r>
            <w:r>
              <w:rPr>
                <w:rFonts w:ascii="Arial" w:hAnsi="Arial" w:cs="Arial"/>
                <w:sz w:val="20"/>
                <w:szCs w:val="20"/>
              </w:rPr>
              <w:t>“siniestro”</w:t>
            </w:r>
            <w:r w:rsidRPr="00747351">
              <w:rPr>
                <w:rFonts w:ascii="Arial" w:hAnsi="Arial" w:cs="Arial"/>
                <w:sz w:val="20"/>
                <w:szCs w:val="20"/>
              </w:rPr>
              <w:t xml:space="preserve"> ocurrió el 22 de agosto de 2017, fecha desde la cual el asegurado, Compañía Energética de Occidente S.A. E.S.P., tuvo conocimiento del mismo</w:t>
            </w:r>
            <w:r>
              <w:rPr>
                <w:rFonts w:ascii="Arial" w:hAnsi="Arial" w:cs="Arial"/>
                <w:sz w:val="20"/>
                <w:szCs w:val="20"/>
              </w:rPr>
              <w:t>. Ahora,</w:t>
            </w:r>
            <w:r w:rsidRPr="00747351">
              <w:rPr>
                <w:rFonts w:ascii="Arial" w:hAnsi="Arial" w:cs="Arial"/>
                <w:sz w:val="20"/>
                <w:szCs w:val="20"/>
              </w:rPr>
              <w:t xml:space="preserve"> el 6 de septiembre de 2017, las víctimas presentaron reclamación directa al asegurado. En tal sentido, conforme al artículo 1131 del C.Co., el asegurado contaba con un término de dos años, contados a partir del conocimiento la reclamación del tercero</w:t>
            </w:r>
            <w:r>
              <w:rPr>
                <w:rFonts w:ascii="Arial" w:hAnsi="Arial" w:cs="Arial"/>
                <w:sz w:val="20"/>
                <w:szCs w:val="20"/>
              </w:rPr>
              <w:t xml:space="preserve">, </w:t>
            </w:r>
            <w:r w:rsidRPr="00747351">
              <w:rPr>
                <w:rFonts w:ascii="Arial" w:hAnsi="Arial" w:cs="Arial"/>
                <w:sz w:val="20"/>
                <w:szCs w:val="20"/>
              </w:rPr>
              <w:t xml:space="preserve">es decir, como máximo hasta el 6 de septiembre de 2019, para ejercer las acciones tendientes a la afectación del seguro. No obstante, la demanda fue presentada únicamente hasta el 25 de marzo de 2025, cuando ya se había consolidado en </w:t>
            </w:r>
            <w:r w:rsidR="00957808">
              <w:rPr>
                <w:rFonts w:ascii="Arial" w:hAnsi="Arial" w:cs="Arial"/>
                <w:sz w:val="20"/>
                <w:szCs w:val="20"/>
              </w:rPr>
              <w:t>con creces</w:t>
            </w:r>
            <w:r w:rsidRPr="00747351">
              <w:rPr>
                <w:rFonts w:ascii="Arial" w:hAnsi="Arial" w:cs="Arial"/>
                <w:sz w:val="20"/>
                <w:szCs w:val="20"/>
              </w:rPr>
              <w:t xml:space="preserve"> la prescripción. Incluso la supuesta interrupción del término, intentada mediante solicitud presentada el 22 de febrero de 2023</w:t>
            </w:r>
            <w:r w:rsidR="00957808">
              <w:rPr>
                <w:rFonts w:ascii="Arial" w:hAnsi="Arial" w:cs="Arial"/>
                <w:sz w:val="20"/>
                <w:szCs w:val="20"/>
              </w:rPr>
              <w:t xml:space="preserve"> ante la compañía</w:t>
            </w:r>
            <w:r w:rsidRPr="00747351">
              <w:rPr>
                <w:rFonts w:ascii="Arial" w:hAnsi="Arial" w:cs="Arial"/>
                <w:sz w:val="20"/>
                <w:szCs w:val="20"/>
              </w:rPr>
              <w:t>, carece de efectos jurídicos</w:t>
            </w:r>
            <w:r w:rsidR="00957808">
              <w:rPr>
                <w:rFonts w:ascii="Arial" w:hAnsi="Arial" w:cs="Arial"/>
                <w:sz w:val="20"/>
                <w:szCs w:val="20"/>
              </w:rPr>
              <w:t xml:space="preserve"> (Art. 94 C.G.P)</w:t>
            </w:r>
            <w:r w:rsidRPr="00747351">
              <w:rPr>
                <w:rFonts w:ascii="Arial" w:hAnsi="Arial" w:cs="Arial"/>
                <w:sz w:val="20"/>
                <w:szCs w:val="20"/>
              </w:rPr>
              <w:t xml:space="preserve"> al haber sido formulada cuando ya se encontraba vencido el término legal. Así las cosas, la prescripción extintiva de las acciones derivadas del contrato de seguro se encuentra configurada en los términos de los artículos citados.</w:t>
            </w:r>
          </w:p>
          <w:p w14:paraId="5D2330AA" w14:textId="77777777" w:rsidR="006A7BB8" w:rsidRDefault="006A7BB8" w:rsidP="00EC630B">
            <w:pPr>
              <w:jc w:val="both"/>
              <w:rPr>
                <w:rFonts w:ascii="Arial" w:hAnsi="Arial" w:cs="Arial"/>
                <w:sz w:val="20"/>
                <w:szCs w:val="20"/>
              </w:rPr>
            </w:pPr>
          </w:p>
          <w:p w14:paraId="1577FEFA" w14:textId="44E9DF2C" w:rsidR="006A7BB8" w:rsidRDefault="006A7BB8" w:rsidP="00EC630B">
            <w:pPr>
              <w:jc w:val="both"/>
              <w:rPr>
                <w:rFonts w:ascii="Arial" w:hAnsi="Arial" w:cs="Arial"/>
                <w:sz w:val="20"/>
                <w:szCs w:val="20"/>
                <w:lang w:val="es-ES"/>
              </w:rPr>
            </w:pPr>
            <w:r>
              <w:rPr>
                <w:rFonts w:ascii="Arial" w:hAnsi="Arial" w:cs="Arial"/>
                <w:sz w:val="20"/>
                <w:szCs w:val="20"/>
              </w:rPr>
              <w:t>Lo anterior sin perjuicio del carácter contingente que tenga el proces.</w:t>
            </w:r>
          </w:p>
          <w:p w14:paraId="5CF9A2AC" w14:textId="77777777" w:rsidR="00A34C98" w:rsidRPr="00A34C98" w:rsidRDefault="00A34C98" w:rsidP="00DF6F72">
            <w:pPr>
              <w:jc w:val="both"/>
              <w:rPr>
                <w:rFonts w:ascii="Arial" w:hAnsi="Arial" w:cs="Arial"/>
                <w:sz w:val="20"/>
                <w:szCs w:val="20"/>
                <w:lang w:val="es-ES"/>
              </w:rPr>
            </w:pPr>
          </w:p>
        </w:tc>
      </w:tr>
      <w:tr w:rsidR="00A34C98" w:rsidRPr="00A34C98" w14:paraId="22547E44" w14:textId="77777777" w:rsidTr="00EC630B">
        <w:trPr>
          <w:trHeight w:val="478"/>
        </w:trPr>
        <w:tc>
          <w:tcPr>
            <w:tcW w:w="2338" w:type="dxa"/>
            <w:shd w:val="clear" w:color="auto" w:fill="0033A0"/>
            <w:vAlign w:val="center"/>
          </w:tcPr>
          <w:p w14:paraId="5EE30F2B" w14:textId="77777777" w:rsidR="00A34C98" w:rsidRPr="00A34C98" w:rsidRDefault="00A34C98" w:rsidP="00EC630B">
            <w:pPr>
              <w:rPr>
                <w:rFonts w:ascii="Arial" w:hAnsi="Arial" w:cs="Arial"/>
                <w:b/>
                <w:sz w:val="20"/>
                <w:szCs w:val="20"/>
              </w:rPr>
            </w:pPr>
            <w:r w:rsidRPr="00A34C98">
              <w:rPr>
                <w:rFonts w:ascii="Arial" w:hAnsi="Arial" w:cs="Arial"/>
                <w:b/>
                <w:sz w:val="20"/>
                <w:szCs w:val="20"/>
              </w:rPr>
              <w:t>Observaciones</w:t>
            </w:r>
          </w:p>
        </w:tc>
        <w:tc>
          <w:tcPr>
            <w:tcW w:w="7512" w:type="dxa"/>
            <w:gridSpan w:val="3"/>
            <w:vAlign w:val="center"/>
          </w:tcPr>
          <w:p w14:paraId="47C9C341" w14:textId="77777777" w:rsidR="00A34C98" w:rsidRPr="00A34C98" w:rsidRDefault="00A34C98" w:rsidP="00EC630B">
            <w:pPr>
              <w:jc w:val="both"/>
              <w:rPr>
                <w:rFonts w:ascii="Arial" w:hAnsi="Arial" w:cs="Arial"/>
                <w:sz w:val="20"/>
                <w:szCs w:val="20"/>
                <w:lang w:val="es-ES"/>
              </w:rPr>
            </w:pPr>
          </w:p>
        </w:tc>
      </w:tr>
    </w:tbl>
    <w:p w14:paraId="1E7CAE87" w14:textId="77777777" w:rsidR="00A34C98" w:rsidRPr="00A34C98" w:rsidRDefault="00A34C98" w:rsidP="00A34C98">
      <w:pPr>
        <w:rPr>
          <w:rFonts w:ascii="Arial" w:hAnsi="Arial" w:cs="Arial"/>
          <w:b/>
          <w:sz w:val="20"/>
          <w:szCs w:val="20"/>
          <w:u w:val="single"/>
        </w:rPr>
      </w:pPr>
    </w:p>
    <w:p w14:paraId="304030E2" w14:textId="77777777" w:rsidR="00A34C98" w:rsidRPr="00A34C98" w:rsidRDefault="00A34C98" w:rsidP="00A34C98">
      <w:pPr>
        <w:rPr>
          <w:rFonts w:ascii="Arial" w:hAnsi="Arial" w:cs="Arial"/>
          <w:b/>
          <w:sz w:val="20"/>
          <w:szCs w:val="20"/>
        </w:rPr>
      </w:pPr>
    </w:p>
    <w:p w14:paraId="29A01EA7" w14:textId="77777777" w:rsidR="00A34C98" w:rsidRPr="00A34C98" w:rsidRDefault="00A34C98" w:rsidP="00A34C98">
      <w:pPr>
        <w:rPr>
          <w:rFonts w:ascii="Arial" w:hAnsi="Arial" w:cs="Arial"/>
          <w:b/>
          <w:sz w:val="20"/>
          <w:szCs w:val="20"/>
        </w:rPr>
      </w:pPr>
      <w:r w:rsidRPr="00A34C98">
        <w:rPr>
          <w:rFonts w:ascii="Arial" w:hAnsi="Arial" w:cs="Arial"/>
          <w:b/>
          <w:sz w:val="20"/>
          <w:szCs w:val="20"/>
        </w:rPr>
        <w:t>Datos abogado interno</w:t>
      </w:r>
    </w:p>
    <w:p w14:paraId="7EC4AA41" w14:textId="77777777" w:rsidR="00A34C98" w:rsidRPr="00A34C98" w:rsidRDefault="00A34C98" w:rsidP="00A34C9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A34C98" w:rsidRPr="00A34C98" w14:paraId="0E5EFBD6" w14:textId="77777777" w:rsidTr="00EC630B">
        <w:trPr>
          <w:trHeight w:val="340"/>
        </w:trPr>
        <w:tc>
          <w:tcPr>
            <w:tcW w:w="2353" w:type="dxa"/>
            <w:shd w:val="clear" w:color="auto" w:fill="0033A0"/>
            <w:vAlign w:val="center"/>
          </w:tcPr>
          <w:p w14:paraId="59C48BA7" w14:textId="77777777" w:rsidR="00A34C98" w:rsidRPr="00A34C98" w:rsidRDefault="00A34C98" w:rsidP="00EC630B">
            <w:pPr>
              <w:jc w:val="both"/>
              <w:rPr>
                <w:rFonts w:ascii="Arial" w:hAnsi="Arial" w:cs="Arial"/>
                <w:b/>
                <w:bCs/>
                <w:sz w:val="20"/>
                <w:szCs w:val="20"/>
              </w:rPr>
            </w:pPr>
            <w:r w:rsidRPr="00A34C98">
              <w:rPr>
                <w:rFonts w:ascii="Arial" w:hAnsi="Arial" w:cs="Arial"/>
                <w:b/>
                <w:bCs/>
                <w:sz w:val="20"/>
                <w:szCs w:val="20"/>
              </w:rPr>
              <w:t>Requiere siniestro</w:t>
            </w:r>
          </w:p>
        </w:tc>
        <w:tc>
          <w:tcPr>
            <w:tcW w:w="1260" w:type="dxa"/>
            <w:vAlign w:val="center"/>
          </w:tcPr>
          <w:p w14:paraId="642E723D" w14:textId="77777777" w:rsidR="00A34C98" w:rsidRPr="00A34C98" w:rsidRDefault="00A34C98" w:rsidP="00EC630B">
            <w:pPr>
              <w:jc w:val="both"/>
              <w:rPr>
                <w:rFonts w:ascii="Arial" w:hAnsi="Arial" w:cs="Arial"/>
                <w:sz w:val="20"/>
                <w:szCs w:val="20"/>
              </w:rPr>
            </w:pPr>
          </w:p>
        </w:tc>
        <w:tc>
          <w:tcPr>
            <w:tcW w:w="2127" w:type="dxa"/>
            <w:shd w:val="clear" w:color="auto" w:fill="0033A0"/>
            <w:vAlign w:val="center"/>
          </w:tcPr>
          <w:p w14:paraId="64E16F91" w14:textId="77777777" w:rsidR="00A34C98" w:rsidRPr="00A34C98" w:rsidRDefault="00A34C98" w:rsidP="00EC630B">
            <w:pPr>
              <w:jc w:val="both"/>
              <w:rPr>
                <w:rFonts w:ascii="Arial" w:hAnsi="Arial" w:cs="Arial"/>
                <w:b/>
                <w:bCs/>
                <w:sz w:val="20"/>
                <w:szCs w:val="20"/>
              </w:rPr>
            </w:pPr>
            <w:r w:rsidRPr="00A34C98">
              <w:rPr>
                <w:rFonts w:ascii="Arial" w:hAnsi="Arial" w:cs="Arial"/>
                <w:b/>
                <w:bCs/>
                <w:sz w:val="20"/>
                <w:szCs w:val="20"/>
              </w:rPr>
              <w:t>Número de siniestro</w:t>
            </w:r>
          </w:p>
        </w:tc>
        <w:tc>
          <w:tcPr>
            <w:tcW w:w="4110" w:type="dxa"/>
            <w:vAlign w:val="center"/>
          </w:tcPr>
          <w:p w14:paraId="3781EC9C" w14:textId="77777777" w:rsidR="00A34C98" w:rsidRPr="00A34C98" w:rsidRDefault="00A34C98" w:rsidP="00EC630B">
            <w:pPr>
              <w:jc w:val="both"/>
              <w:rPr>
                <w:rFonts w:ascii="Arial" w:hAnsi="Arial" w:cs="Arial"/>
                <w:sz w:val="20"/>
                <w:szCs w:val="20"/>
              </w:rPr>
            </w:pPr>
          </w:p>
        </w:tc>
      </w:tr>
      <w:tr w:rsidR="00A34C98" w:rsidRPr="00A34C98" w14:paraId="4CB4EEA4" w14:textId="77777777" w:rsidTr="00EC630B">
        <w:trPr>
          <w:cantSplit/>
          <w:trHeight w:val="340"/>
        </w:trPr>
        <w:tc>
          <w:tcPr>
            <w:tcW w:w="2353" w:type="dxa"/>
            <w:shd w:val="clear" w:color="auto" w:fill="0033A0"/>
            <w:vAlign w:val="center"/>
          </w:tcPr>
          <w:p w14:paraId="6CEFE814" w14:textId="77777777" w:rsidR="00A34C98" w:rsidRPr="00A34C98" w:rsidRDefault="00A34C98" w:rsidP="00EC630B">
            <w:pPr>
              <w:rPr>
                <w:rFonts w:ascii="Arial" w:hAnsi="Arial" w:cs="Arial"/>
                <w:b/>
                <w:sz w:val="20"/>
                <w:szCs w:val="20"/>
              </w:rPr>
            </w:pPr>
            <w:r w:rsidRPr="00A34C98">
              <w:rPr>
                <w:rFonts w:ascii="Arial" w:hAnsi="Arial" w:cs="Arial"/>
                <w:b/>
                <w:sz w:val="20"/>
                <w:szCs w:val="20"/>
              </w:rPr>
              <w:t>Vinculado</w:t>
            </w:r>
          </w:p>
        </w:tc>
        <w:tc>
          <w:tcPr>
            <w:tcW w:w="1260" w:type="dxa"/>
            <w:vAlign w:val="center"/>
          </w:tcPr>
          <w:p w14:paraId="4AA72EF7" w14:textId="77777777" w:rsidR="00A34C98" w:rsidRPr="00A34C98" w:rsidRDefault="00A34C98" w:rsidP="00EC630B">
            <w:pPr>
              <w:jc w:val="both"/>
              <w:rPr>
                <w:rFonts w:ascii="Arial" w:hAnsi="Arial" w:cs="Arial"/>
                <w:sz w:val="20"/>
                <w:szCs w:val="20"/>
              </w:rPr>
            </w:pPr>
          </w:p>
        </w:tc>
        <w:tc>
          <w:tcPr>
            <w:tcW w:w="2127" w:type="dxa"/>
            <w:shd w:val="clear" w:color="auto" w:fill="0033A0"/>
            <w:vAlign w:val="center"/>
          </w:tcPr>
          <w:p w14:paraId="0AC1A28F" w14:textId="77777777" w:rsidR="00A34C98" w:rsidRPr="00A34C98" w:rsidRDefault="00A34C98" w:rsidP="00EC630B">
            <w:pPr>
              <w:jc w:val="both"/>
              <w:rPr>
                <w:rFonts w:ascii="Arial" w:hAnsi="Arial" w:cs="Arial"/>
                <w:b/>
                <w:sz w:val="20"/>
                <w:szCs w:val="20"/>
              </w:rPr>
            </w:pPr>
            <w:r w:rsidRPr="00A34C98">
              <w:rPr>
                <w:rFonts w:ascii="Arial" w:hAnsi="Arial" w:cs="Arial"/>
                <w:b/>
                <w:sz w:val="20"/>
                <w:szCs w:val="20"/>
              </w:rPr>
              <w:t>Asunto</w:t>
            </w:r>
          </w:p>
        </w:tc>
        <w:tc>
          <w:tcPr>
            <w:tcW w:w="4110" w:type="dxa"/>
            <w:vAlign w:val="center"/>
          </w:tcPr>
          <w:p w14:paraId="4185FFD9" w14:textId="77777777" w:rsidR="00A34C98" w:rsidRPr="00A34C98" w:rsidRDefault="00A34C98" w:rsidP="00EC630B">
            <w:pPr>
              <w:jc w:val="both"/>
              <w:rPr>
                <w:rFonts w:ascii="Arial" w:hAnsi="Arial" w:cs="Arial"/>
                <w:sz w:val="20"/>
                <w:szCs w:val="20"/>
              </w:rPr>
            </w:pPr>
          </w:p>
        </w:tc>
      </w:tr>
    </w:tbl>
    <w:p w14:paraId="5433D601" w14:textId="77777777" w:rsidR="00A34C98" w:rsidRPr="00A34C98" w:rsidRDefault="00A34C98" w:rsidP="00A34C98">
      <w:pPr>
        <w:rPr>
          <w:rFonts w:ascii="Arial" w:hAnsi="Arial" w:cs="Arial"/>
          <w:b/>
          <w:sz w:val="20"/>
          <w:szCs w:val="20"/>
          <w:u w:val="single"/>
        </w:rPr>
      </w:pPr>
    </w:p>
    <w:p w14:paraId="483CD639" w14:textId="77777777" w:rsidR="002A1FEE" w:rsidRPr="00A34C98" w:rsidRDefault="002A1FEE">
      <w:pPr>
        <w:rPr>
          <w:rFonts w:ascii="Arial" w:hAnsi="Arial" w:cs="Arial"/>
        </w:rPr>
      </w:pPr>
    </w:p>
    <w:sectPr w:rsidR="002A1FEE" w:rsidRPr="00A34C98" w:rsidSect="00A34C98">
      <w:headerReference w:type="default" r:id="rId7"/>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1281" w14:textId="77777777" w:rsidR="001E32CA" w:rsidRDefault="001E32CA">
      <w:r>
        <w:separator/>
      </w:r>
    </w:p>
  </w:endnote>
  <w:endnote w:type="continuationSeparator" w:id="0">
    <w:p w14:paraId="1B3EAA6C" w14:textId="77777777" w:rsidR="001E32CA" w:rsidRDefault="001E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31BA" w14:textId="77777777" w:rsidR="001E32CA" w:rsidRDefault="001E32CA">
      <w:r>
        <w:separator/>
      </w:r>
    </w:p>
  </w:footnote>
  <w:footnote w:type="continuationSeparator" w:id="0">
    <w:p w14:paraId="51D643FB" w14:textId="77777777" w:rsidR="001E32CA" w:rsidRDefault="001E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C8B1" w14:textId="77777777" w:rsidR="00A155A7" w:rsidRDefault="00A155A7"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3AC6"/>
    <w:multiLevelType w:val="hybridMultilevel"/>
    <w:tmpl w:val="687CE0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EE40E1"/>
    <w:multiLevelType w:val="hybridMultilevel"/>
    <w:tmpl w:val="4D4CF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FE6E6B"/>
    <w:multiLevelType w:val="hybridMultilevel"/>
    <w:tmpl w:val="7862A7A0"/>
    <w:lvl w:ilvl="0" w:tplc="36B29CB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2292835">
    <w:abstractNumId w:val="0"/>
  </w:num>
  <w:num w:numId="2" w16cid:durableId="199173816">
    <w:abstractNumId w:val="1"/>
  </w:num>
  <w:num w:numId="3" w16cid:durableId="20984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98"/>
    <w:rsid w:val="000A3B64"/>
    <w:rsid w:val="001C1CA3"/>
    <w:rsid w:val="001E32CA"/>
    <w:rsid w:val="00233239"/>
    <w:rsid w:val="002A1FEE"/>
    <w:rsid w:val="003A621C"/>
    <w:rsid w:val="00481B48"/>
    <w:rsid w:val="00520AB3"/>
    <w:rsid w:val="00570E9A"/>
    <w:rsid w:val="006A7BB8"/>
    <w:rsid w:val="006C0068"/>
    <w:rsid w:val="006D5BCD"/>
    <w:rsid w:val="006E1C82"/>
    <w:rsid w:val="00747351"/>
    <w:rsid w:val="0076150C"/>
    <w:rsid w:val="00791872"/>
    <w:rsid w:val="0086519D"/>
    <w:rsid w:val="00870C4A"/>
    <w:rsid w:val="00871B36"/>
    <w:rsid w:val="00924F1D"/>
    <w:rsid w:val="00957808"/>
    <w:rsid w:val="00970027"/>
    <w:rsid w:val="009F317B"/>
    <w:rsid w:val="009F32E6"/>
    <w:rsid w:val="00A155A7"/>
    <w:rsid w:val="00A34C98"/>
    <w:rsid w:val="00A56D51"/>
    <w:rsid w:val="00AD0184"/>
    <w:rsid w:val="00AE386C"/>
    <w:rsid w:val="00D1463E"/>
    <w:rsid w:val="00D33B92"/>
    <w:rsid w:val="00D61ACD"/>
    <w:rsid w:val="00DF6F72"/>
    <w:rsid w:val="00E36F9A"/>
    <w:rsid w:val="00EE7677"/>
    <w:rsid w:val="00F000F6"/>
    <w:rsid w:val="00F30446"/>
    <w:rsid w:val="00F6194D"/>
    <w:rsid w:val="00F66C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1EFE"/>
  <w15:chartTrackingRefBased/>
  <w15:docId w15:val="{A96E7989-1F5E-42B2-B6BC-F83208DD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98"/>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A34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34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34C9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A34C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34C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34C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A34C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4C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4C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A34C9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34C9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34C9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A34C9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34C9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34C98"/>
    <w:rPr>
      <w:rFonts w:eastAsiaTheme="majorEastAsia" w:cstheme="majorBidi"/>
      <w:i/>
      <w:iCs/>
      <w:color w:val="595959" w:themeColor="text1" w:themeTint="A6"/>
    </w:rPr>
  </w:style>
  <w:style w:type="character" w:customStyle="1" w:styleId="Ttulo7Car">
    <w:name w:val="Título 7 Car"/>
    <w:basedOn w:val="Fuentedeprrafopredeter"/>
    <w:link w:val="Ttulo7"/>
    <w:rsid w:val="00A34C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4C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4C98"/>
    <w:rPr>
      <w:rFonts w:eastAsiaTheme="majorEastAsia" w:cstheme="majorBidi"/>
      <w:color w:val="272727" w:themeColor="text1" w:themeTint="D8"/>
    </w:rPr>
  </w:style>
  <w:style w:type="paragraph" w:styleId="Ttulo">
    <w:name w:val="Title"/>
    <w:basedOn w:val="Normal"/>
    <w:next w:val="Normal"/>
    <w:link w:val="TtuloCar"/>
    <w:uiPriority w:val="10"/>
    <w:qFormat/>
    <w:rsid w:val="00A34C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4C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4C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4C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4C98"/>
    <w:pPr>
      <w:spacing w:before="160"/>
      <w:jc w:val="center"/>
    </w:pPr>
    <w:rPr>
      <w:i/>
      <w:iCs/>
      <w:color w:val="404040" w:themeColor="text1" w:themeTint="BF"/>
    </w:rPr>
  </w:style>
  <w:style w:type="character" w:customStyle="1" w:styleId="CitaCar">
    <w:name w:val="Cita Car"/>
    <w:basedOn w:val="Fuentedeprrafopredeter"/>
    <w:link w:val="Cita"/>
    <w:uiPriority w:val="29"/>
    <w:rsid w:val="00A34C98"/>
    <w:rPr>
      <w:i/>
      <w:iCs/>
      <w:color w:val="404040" w:themeColor="text1" w:themeTint="BF"/>
    </w:rPr>
  </w:style>
  <w:style w:type="paragraph" w:styleId="Prrafodelista">
    <w:name w:val="List Paragraph"/>
    <w:basedOn w:val="Normal"/>
    <w:uiPriority w:val="34"/>
    <w:qFormat/>
    <w:rsid w:val="00A34C98"/>
    <w:pPr>
      <w:ind w:left="720"/>
      <w:contextualSpacing/>
    </w:pPr>
  </w:style>
  <w:style w:type="character" w:styleId="nfasisintenso">
    <w:name w:val="Intense Emphasis"/>
    <w:basedOn w:val="Fuentedeprrafopredeter"/>
    <w:uiPriority w:val="21"/>
    <w:qFormat/>
    <w:rsid w:val="00A34C98"/>
    <w:rPr>
      <w:i/>
      <w:iCs/>
      <w:color w:val="2F5496" w:themeColor="accent1" w:themeShade="BF"/>
    </w:rPr>
  </w:style>
  <w:style w:type="paragraph" w:styleId="Citadestacada">
    <w:name w:val="Intense Quote"/>
    <w:basedOn w:val="Normal"/>
    <w:next w:val="Normal"/>
    <w:link w:val="CitadestacadaCar"/>
    <w:uiPriority w:val="30"/>
    <w:qFormat/>
    <w:rsid w:val="00A34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34C98"/>
    <w:rPr>
      <w:i/>
      <w:iCs/>
      <w:color w:val="2F5496" w:themeColor="accent1" w:themeShade="BF"/>
    </w:rPr>
  </w:style>
  <w:style w:type="character" w:styleId="Referenciaintensa">
    <w:name w:val="Intense Reference"/>
    <w:basedOn w:val="Fuentedeprrafopredeter"/>
    <w:uiPriority w:val="32"/>
    <w:qFormat/>
    <w:rsid w:val="00A34C98"/>
    <w:rPr>
      <w:b/>
      <w:bCs/>
      <w:smallCaps/>
      <w:color w:val="2F5496" w:themeColor="accent1" w:themeShade="BF"/>
      <w:spacing w:val="5"/>
    </w:rPr>
  </w:style>
  <w:style w:type="paragraph" w:styleId="Encabezado">
    <w:name w:val="header"/>
    <w:basedOn w:val="Normal"/>
    <w:link w:val="EncabezadoCar"/>
    <w:uiPriority w:val="99"/>
    <w:unhideWhenUsed/>
    <w:rsid w:val="00A34C98"/>
    <w:pPr>
      <w:tabs>
        <w:tab w:val="center" w:pos="4419"/>
        <w:tab w:val="right" w:pos="8838"/>
      </w:tabs>
    </w:pPr>
  </w:style>
  <w:style w:type="character" w:customStyle="1" w:styleId="EncabezadoCar">
    <w:name w:val="Encabezado Car"/>
    <w:basedOn w:val="Fuentedeprrafopredeter"/>
    <w:link w:val="Encabezado"/>
    <w:uiPriority w:val="99"/>
    <w:rsid w:val="00A34C98"/>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iPriority w:val="99"/>
    <w:unhideWhenUsed/>
    <w:rsid w:val="00A34C98"/>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A34C98"/>
    <w:rPr>
      <w:rFonts w:ascii="Times New Roman" w:eastAsia="Times New Roman" w:hAnsi="Times New Roman" w:cs="Times New Roman"/>
      <w:kern w:val="0"/>
      <w:sz w:val="24"/>
      <w:szCs w:val="24"/>
      <w:lang w:val="es-ES" w:eastAsia="es-ES"/>
      <w14:ligatures w14:val="none"/>
    </w:rPr>
  </w:style>
  <w:style w:type="paragraph" w:styleId="Sinespaciado">
    <w:name w:val="No Spacing"/>
    <w:uiPriority w:val="1"/>
    <w:qFormat/>
    <w:rsid w:val="00A34C98"/>
    <w:pPr>
      <w:spacing w:after="0" w:line="240" w:lineRule="auto"/>
    </w:pPr>
    <w:rPr>
      <w:kern w:val="0"/>
      <w14:ligatures w14:val="none"/>
    </w:rPr>
  </w:style>
  <w:style w:type="paragraph" w:styleId="Revisin">
    <w:name w:val="Revision"/>
    <w:hidden/>
    <w:uiPriority w:val="99"/>
    <w:semiHidden/>
    <w:rsid w:val="00E36F9A"/>
    <w:pPr>
      <w:spacing w:after="0"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F66CB7"/>
    <w:rPr>
      <w:sz w:val="16"/>
      <w:szCs w:val="16"/>
    </w:rPr>
  </w:style>
  <w:style w:type="paragraph" w:styleId="Textocomentario">
    <w:name w:val="annotation text"/>
    <w:basedOn w:val="Normal"/>
    <w:link w:val="TextocomentarioCar"/>
    <w:uiPriority w:val="99"/>
    <w:unhideWhenUsed/>
    <w:rsid w:val="00F66CB7"/>
    <w:rPr>
      <w:sz w:val="20"/>
      <w:szCs w:val="20"/>
    </w:rPr>
  </w:style>
  <w:style w:type="character" w:customStyle="1" w:styleId="TextocomentarioCar">
    <w:name w:val="Texto comentario Car"/>
    <w:basedOn w:val="Fuentedeprrafopredeter"/>
    <w:link w:val="Textocomentario"/>
    <w:uiPriority w:val="99"/>
    <w:rsid w:val="00F66CB7"/>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F66CB7"/>
    <w:rPr>
      <w:b/>
      <w:bCs/>
    </w:rPr>
  </w:style>
  <w:style w:type="character" w:customStyle="1" w:styleId="AsuntodelcomentarioCar">
    <w:name w:val="Asunto del comentario Car"/>
    <w:basedOn w:val="TextocomentarioCar"/>
    <w:link w:val="Asuntodelcomentario"/>
    <w:uiPriority w:val="99"/>
    <w:semiHidden/>
    <w:rsid w:val="00F66CB7"/>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84940">
      <w:bodyDiv w:val="1"/>
      <w:marLeft w:val="0"/>
      <w:marRight w:val="0"/>
      <w:marTop w:val="0"/>
      <w:marBottom w:val="0"/>
      <w:divBdr>
        <w:top w:val="none" w:sz="0" w:space="0" w:color="auto"/>
        <w:left w:val="none" w:sz="0" w:space="0" w:color="auto"/>
        <w:bottom w:val="none" w:sz="0" w:space="0" w:color="auto"/>
        <w:right w:val="none" w:sz="0" w:space="0" w:color="auto"/>
      </w:divBdr>
    </w:div>
    <w:div w:id="1551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5</Pages>
  <Words>2211</Words>
  <Characters>12162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7</cp:revision>
  <dcterms:created xsi:type="dcterms:W3CDTF">2025-06-05T21:30:00Z</dcterms:created>
  <dcterms:modified xsi:type="dcterms:W3CDTF">2025-06-10T21:45:00Z</dcterms:modified>
</cp:coreProperties>
</file>