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307360" w:rsidRDefault="0086556A" w:rsidP="0086556A">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2776274E">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307360"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51B9FBED" w14:textId="77777777" w:rsidTr="0094327C">
        <w:trPr>
          <w:trHeight w:val="454"/>
        </w:trPr>
        <w:tc>
          <w:tcPr>
            <w:tcW w:w="4537" w:type="dxa"/>
            <w:vAlign w:val="center"/>
          </w:tcPr>
          <w:p w14:paraId="21063278"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05CAD780" w14:textId="3E60F7D1" w:rsidR="0086556A" w:rsidRPr="00307360" w:rsidRDefault="0015158F" w:rsidP="0094327C">
            <w:pPr>
              <w:spacing w:line="276" w:lineRule="auto"/>
              <w:jc w:val="both"/>
              <w:rPr>
                <w:rFonts w:ascii="Century Gothic" w:hAnsi="Century Gothic"/>
                <w:sz w:val="22"/>
                <w:szCs w:val="22"/>
              </w:rPr>
            </w:pPr>
            <w:r>
              <w:rPr>
                <w:rFonts w:ascii="Century Gothic" w:hAnsi="Century Gothic"/>
                <w:sz w:val="22"/>
                <w:szCs w:val="22"/>
              </w:rPr>
              <w:t>09 DE JUNIO DE 2025</w:t>
            </w:r>
          </w:p>
        </w:tc>
      </w:tr>
      <w:tr w:rsidR="0086556A" w:rsidRPr="00307360" w14:paraId="485419A5" w14:textId="77777777" w:rsidTr="0094327C">
        <w:trPr>
          <w:trHeight w:val="454"/>
        </w:trPr>
        <w:tc>
          <w:tcPr>
            <w:tcW w:w="4537" w:type="dxa"/>
            <w:vAlign w:val="center"/>
          </w:tcPr>
          <w:p w14:paraId="6702964D"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694CF4B1"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86556A" w:rsidRPr="00307360" w14:paraId="2F475A80" w14:textId="77777777" w:rsidTr="0094327C">
        <w:trPr>
          <w:trHeight w:val="454"/>
        </w:trPr>
        <w:tc>
          <w:tcPr>
            <w:tcW w:w="4537" w:type="dxa"/>
            <w:vAlign w:val="center"/>
          </w:tcPr>
          <w:p w14:paraId="5D68A5A2"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12A717C3"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GENERALES</w:t>
            </w:r>
          </w:p>
        </w:tc>
      </w:tr>
      <w:tr w:rsidR="0086556A" w:rsidRPr="00307360" w14:paraId="525C1C17" w14:textId="77777777" w:rsidTr="0094327C">
        <w:trPr>
          <w:trHeight w:val="454"/>
        </w:trPr>
        <w:tc>
          <w:tcPr>
            <w:tcW w:w="4537" w:type="dxa"/>
            <w:vAlign w:val="center"/>
          </w:tcPr>
          <w:p w14:paraId="5F679EF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254B3C7C" w14:textId="20FC3121" w:rsidR="0086556A" w:rsidRPr="00307360" w:rsidRDefault="00C62071" w:rsidP="0094327C">
            <w:pPr>
              <w:spacing w:line="276" w:lineRule="auto"/>
              <w:jc w:val="both"/>
              <w:rPr>
                <w:rFonts w:ascii="Century Gothic" w:hAnsi="Century Gothic"/>
                <w:sz w:val="22"/>
                <w:szCs w:val="22"/>
              </w:rPr>
            </w:pPr>
            <w:r w:rsidRPr="00307360">
              <w:rPr>
                <w:rFonts w:ascii="Century Gothic" w:hAnsi="Century Gothic"/>
                <w:color w:val="000000" w:themeColor="text1"/>
                <w:sz w:val="22"/>
                <w:szCs w:val="22"/>
              </w:rPr>
              <w:t>9849</w:t>
            </w:r>
          </w:p>
        </w:tc>
      </w:tr>
      <w:tr w:rsidR="0086556A" w:rsidRPr="00307360" w14:paraId="618FF6B2" w14:textId="77777777" w:rsidTr="0094327C">
        <w:trPr>
          <w:trHeight w:val="454"/>
        </w:trPr>
        <w:tc>
          <w:tcPr>
            <w:tcW w:w="4537" w:type="dxa"/>
            <w:vAlign w:val="center"/>
          </w:tcPr>
          <w:p w14:paraId="32AE7D4A"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6B095F0A" w14:textId="68BDEF2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JUZGADO</w:t>
            </w:r>
            <w:r w:rsidR="00896C8B" w:rsidRPr="00307360">
              <w:rPr>
                <w:rFonts w:ascii="Century Gothic" w:hAnsi="Century Gothic"/>
                <w:sz w:val="22"/>
                <w:szCs w:val="22"/>
              </w:rPr>
              <w:t xml:space="preserve"> QUINTO DE PEQUEÑAS CAUSAS Y COMPETENCIAS MÚLTIPLES </w:t>
            </w:r>
          </w:p>
        </w:tc>
      </w:tr>
      <w:tr w:rsidR="0086556A" w:rsidRPr="00307360" w14:paraId="769222D2" w14:textId="77777777" w:rsidTr="0094327C">
        <w:trPr>
          <w:trHeight w:val="454"/>
        </w:trPr>
        <w:tc>
          <w:tcPr>
            <w:tcW w:w="4537" w:type="dxa"/>
            <w:vAlign w:val="center"/>
          </w:tcPr>
          <w:p w14:paraId="6AF7F27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451CA27B" w14:textId="76D2890E" w:rsidR="0086556A" w:rsidRPr="00307360" w:rsidRDefault="00896C8B" w:rsidP="0094327C">
            <w:pPr>
              <w:spacing w:line="276" w:lineRule="auto"/>
              <w:jc w:val="both"/>
              <w:rPr>
                <w:rFonts w:ascii="Century Gothic" w:hAnsi="Century Gothic"/>
                <w:sz w:val="22"/>
                <w:szCs w:val="22"/>
              </w:rPr>
            </w:pPr>
            <w:r w:rsidRPr="00307360">
              <w:rPr>
                <w:rFonts w:ascii="Century Gothic" w:hAnsi="Century Gothic"/>
                <w:sz w:val="22"/>
                <w:szCs w:val="22"/>
              </w:rPr>
              <w:t>NEIVA</w:t>
            </w:r>
          </w:p>
        </w:tc>
      </w:tr>
      <w:tr w:rsidR="0086556A" w:rsidRPr="00307360" w14:paraId="1BA998C6" w14:textId="77777777" w:rsidTr="0094327C">
        <w:trPr>
          <w:trHeight w:val="454"/>
        </w:trPr>
        <w:tc>
          <w:tcPr>
            <w:tcW w:w="4537" w:type="dxa"/>
            <w:vAlign w:val="center"/>
          </w:tcPr>
          <w:p w14:paraId="5F4EBFD5"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6C285352" w14:textId="77777777" w:rsidR="0086556A" w:rsidRPr="00307360" w:rsidRDefault="0086556A" w:rsidP="0086556A">
            <w:pPr>
              <w:spacing w:line="276" w:lineRule="auto"/>
              <w:jc w:val="both"/>
              <w:rPr>
                <w:rFonts w:ascii="Century Gothic" w:eastAsia="Times New Roman" w:hAnsi="Century Gothic" w:cs="Arial"/>
                <w:b/>
                <w:bCs/>
                <w:sz w:val="22"/>
                <w:szCs w:val="22"/>
                <w:lang w:val="es-CO" w:eastAsia="es-CO"/>
              </w:rPr>
            </w:pPr>
          </w:p>
          <w:p w14:paraId="6B223DCC" w14:textId="2B799DEA" w:rsidR="0086556A" w:rsidRPr="00307360" w:rsidRDefault="00896C8B" w:rsidP="0086556A">
            <w:pPr>
              <w:spacing w:line="276" w:lineRule="auto"/>
              <w:jc w:val="both"/>
              <w:rPr>
                <w:rFonts w:ascii="Century Gothic" w:hAnsi="Century Gothic"/>
                <w:bCs/>
                <w:sz w:val="22"/>
                <w:szCs w:val="22"/>
              </w:rPr>
            </w:pPr>
            <w:r w:rsidRPr="007732F7">
              <w:rPr>
                <w:rFonts w:ascii="Century Gothic" w:hAnsi="Century Gothic" w:cs="Arial"/>
                <w:bCs/>
                <w:sz w:val="22"/>
                <w:szCs w:val="22"/>
              </w:rPr>
              <w:t>41001418900520230087300</w:t>
            </w:r>
            <w:r w:rsidR="0015158F">
              <w:rPr>
                <w:rFonts w:ascii="Century Gothic" w:hAnsi="Century Gothic" w:cs="Arial"/>
                <w:bCs/>
                <w:sz w:val="22"/>
                <w:szCs w:val="22"/>
              </w:rPr>
              <w:t>*</w:t>
            </w:r>
          </w:p>
        </w:tc>
      </w:tr>
      <w:tr w:rsidR="0086556A" w:rsidRPr="00307360" w14:paraId="09E4CA79" w14:textId="77777777" w:rsidTr="0094327C">
        <w:trPr>
          <w:trHeight w:val="454"/>
        </w:trPr>
        <w:tc>
          <w:tcPr>
            <w:tcW w:w="4537" w:type="dxa"/>
            <w:vAlign w:val="center"/>
          </w:tcPr>
          <w:p w14:paraId="54569981"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194BBED6" w14:textId="16A843BC" w:rsidR="0086556A" w:rsidRPr="00307360" w:rsidRDefault="00896C8B" w:rsidP="0094327C">
            <w:pPr>
              <w:spacing w:line="276" w:lineRule="auto"/>
              <w:jc w:val="both"/>
              <w:rPr>
                <w:rFonts w:ascii="Century Gothic" w:hAnsi="Century Gothic"/>
                <w:sz w:val="22"/>
                <w:szCs w:val="22"/>
              </w:rPr>
            </w:pPr>
            <w:r w:rsidRPr="00307360">
              <w:rPr>
                <w:rFonts w:ascii="Century Gothic" w:hAnsi="Century Gothic"/>
                <w:sz w:val="22"/>
                <w:szCs w:val="22"/>
              </w:rPr>
              <w:t>22</w:t>
            </w:r>
            <w:r w:rsidR="0086556A" w:rsidRPr="00307360">
              <w:rPr>
                <w:rFonts w:ascii="Century Gothic" w:hAnsi="Century Gothic"/>
                <w:sz w:val="22"/>
                <w:szCs w:val="22"/>
              </w:rPr>
              <w:t>/</w:t>
            </w:r>
            <w:r w:rsidR="002156AB" w:rsidRPr="00307360">
              <w:rPr>
                <w:rFonts w:ascii="Century Gothic" w:hAnsi="Century Gothic"/>
                <w:sz w:val="22"/>
                <w:szCs w:val="22"/>
              </w:rPr>
              <w:t>04</w:t>
            </w:r>
            <w:r w:rsidR="0086556A" w:rsidRPr="00307360">
              <w:rPr>
                <w:rFonts w:ascii="Century Gothic" w:hAnsi="Century Gothic"/>
                <w:sz w:val="22"/>
                <w:szCs w:val="22"/>
              </w:rPr>
              <w:t>/2024</w:t>
            </w:r>
          </w:p>
        </w:tc>
      </w:tr>
      <w:tr w:rsidR="0086556A" w:rsidRPr="00307360" w14:paraId="4495D1AB" w14:textId="77777777" w:rsidTr="0094327C">
        <w:trPr>
          <w:trHeight w:val="454"/>
        </w:trPr>
        <w:tc>
          <w:tcPr>
            <w:tcW w:w="4537" w:type="dxa"/>
            <w:vAlign w:val="center"/>
          </w:tcPr>
          <w:p w14:paraId="2938365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6C8850EF" w14:textId="0E2F1362" w:rsidR="0086556A" w:rsidRPr="00307360" w:rsidRDefault="00EC2F9E" w:rsidP="0094327C">
            <w:pPr>
              <w:spacing w:line="276" w:lineRule="auto"/>
              <w:jc w:val="both"/>
              <w:rPr>
                <w:rFonts w:ascii="Century Gothic" w:hAnsi="Century Gothic"/>
                <w:sz w:val="22"/>
                <w:szCs w:val="22"/>
              </w:rPr>
            </w:pPr>
            <w:r w:rsidRPr="00307360">
              <w:rPr>
                <w:rFonts w:ascii="Century Gothic" w:hAnsi="Century Gothic"/>
                <w:sz w:val="22"/>
                <w:szCs w:val="22"/>
              </w:rPr>
              <w:t>0</w:t>
            </w:r>
            <w:r w:rsidR="0086556A" w:rsidRPr="00307360">
              <w:rPr>
                <w:rFonts w:ascii="Century Gothic" w:hAnsi="Century Gothic"/>
                <w:sz w:val="22"/>
                <w:szCs w:val="22"/>
              </w:rPr>
              <w:t>7/0</w:t>
            </w:r>
            <w:r w:rsidR="002156AB" w:rsidRPr="00307360">
              <w:rPr>
                <w:rFonts w:ascii="Century Gothic" w:hAnsi="Century Gothic"/>
                <w:sz w:val="22"/>
                <w:szCs w:val="22"/>
              </w:rPr>
              <w:t>5</w:t>
            </w:r>
            <w:r w:rsidR="0086556A" w:rsidRPr="00307360">
              <w:rPr>
                <w:rFonts w:ascii="Century Gothic" w:hAnsi="Century Gothic"/>
                <w:sz w:val="22"/>
                <w:szCs w:val="22"/>
              </w:rPr>
              <w:t>/2025</w:t>
            </w:r>
          </w:p>
        </w:tc>
      </w:tr>
    </w:tbl>
    <w:p w14:paraId="429955E0" w14:textId="77777777" w:rsidR="0086556A" w:rsidRPr="00307360" w:rsidRDefault="0086556A" w:rsidP="0086556A">
      <w:pPr>
        <w:rPr>
          <w:rFonts w:ascii="Century Gothic" w:hAnsi="Century Gothic"/>
          <w:color w:val="FF0000"/>
          <w:sz w:val="22"/>
          <w:szCs w:val="22"/>
        </w:rPr>
      </w:pPr>
    </w:p>
    <w:p w14:paraId="0F805A87"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7067002C" w14:textId="77777777" w:rsidTr="0094327C">
        <w:tc>
          <w:tcPr>
            <w:tcW w:w="10207" w:type="dxa"/>
            <w:shd w:val="clear" w:color="auto" w:fill="B3E5A1" w:themeFill="accent6" w:themeFillTint="66"/>
            <w:vAlign w:val="center"/>
          </w:tcPr>
          <w:p w14:paraId="4A1DB2F3"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307360" w14:paraId="37CBB2ED" w14:textId="77777777" w:rsidTr="0094327C">
        <w:tc>
          <w:tcPr>
            <w:tcW w:w="10207" w:type="dxa"/>
            <w:vAlign w:val="center"/>
          </w:tcPr>
          <w:p w14:paraId="3A7E8767" w14:textId="77777777" w:rsidR="0086556A" w:rsidRPr="00307360" w:rsidRDefault="0086556A" w:rsidP="0094327C">
            <w:pPr>
              <w:spacing w:line="276" w:lineRule="auto"/>
              <w:rPr>
                <w:rFonts w:ascii="Century Gothic" w:hAnsi="Century Gothic"/>
                <w:sz w:val="22"/>
                <w:szCs w:val="22"/>
              </w:rPr>
            </w:pPr>
          </w:p>
          <w:p w14:paraId="231D5828" w14:textId="46CACA31" w:rsidR="00E25DA6" w:rsidRPr="00307360" w:rsidRDefault="002156AB" w:rsidP="002156AB">
            <w:pPr>
              <w:spacing w:line="276" w:lineRule="auto"/>
              <w:jc w:val="both"/>
              <w:rPr>
                <w:rFonts w:ascii="Century Gothic" w:hAnsi="Century Gothic"/>
                <w:sz w:val="22"/>
                <w:szCs w:val="22"/>
              </w:rPr>
            </w:pPr>
            <w:r w:rsidRPr="00307360">
              <w:rPr>
                <w:rFonts w:ascii="Century Gothic" w:hAnsi="Century Gothic"/>
                <w:sz w:val="22"/>
                <w:szCs w:val="22"/>
              </w:rPr>
              <w:t xml:space="preserve">Se trata de un proceso ejecutivo que </w:t>
            </w:r>
            <w:r w:rsidR="007A1F76" w:rsidRPr="00307360">
              <w:rPr>
                <w:rFonts w:ascii="Century Gothic" w:hAnsi="Century Gothic"/>
                <w:sz w:val="22"/>
                <w:szCs w:val="22"/>
              </w:rPr>
              <w:t>s</w:t>
            </w:r>
            <w:r w:rsidRPr="00307360">
              <w:rPr>
                <w:rFonts w:ascii="Century Gothic" w:hAnsi="Century Gothic"/>
                <w:sz w:val="22"/>
                <w:szCs w:val="22"/>
              </w:rPr>
              <w:t>e sustenta por el no pago de diversas facturas que</w:t>
            </w:r>
            <w:r w:rsidR="007A1F76" w:rsidRPr="00307360">
              <w:rPr>
                <w:rFonts w:ascii="Century Gothic" w:hAnsi="Century Gothic"/>
                <w:sz w:val="22"/>
                <w:szCs w:val="22"/>
              </w:rPr>
              <w:t xml:space="preserve"> CLINICA DE FRACTURAS SA</w:t>
            </w:r>
            <w:r w:rsidRPr="00307360">
              <w:rPr>
                <w:rFonts w:ascii="Century Gothic" w:hAnsi="Century Gothic"/>
                <w:sz w:val="22"/>
                <w:szCs w:val="22"/>
              </w:rPr>
              <w:t xml:space="preserve"> radicó ante la demandada como consecuencia de la prestación de servicios de salud de asegurados por medio de pólizas SOAT emitidas por</w:t>
            </w:r>
            <w:r w:rsidR="007A1F76" w:rsidRPr="00307360">
              <w:rPr>
                <w:rFonts w:ascii="Century Gothic" w:hAnsi="Century Gothic"/>
                <w:sz w:val="22"/>
                <w:szCs w:val="22"/>
              </w:rPr>
              <w:t xml:space="preserve"> EQUIDAD SEGUROS GENERALES</w:t>
            </w:r>
            <w:r w:rsidRPr="00307360">
              <w:rPr>
                <w:rFonts w:ascii="Century Gothic" w:hAnsi="Century Gothic"/>
                <w:sz w:val="22"/>
                <w:szCs w:val="22"/>
              </w:rPr>
              <w:t xml:space="preserve">, esto entre el periodo </w:t>
            </w:r>
            <w:r w:rsidR="00B26F50" w:rsidRPr="00307360">
              <w:rPr>
                <w:rFonts w:ascii="Century Gothic" w:hAnsi="Century Gothic"/>
                <w:sz w:val="22"/>
                <w:szCs w:val="22"/>
              </w:rPr>
              <w:t xml:space="preserve">del 7 de febrero de 2023 </w:t>
            </w:r>
            <w:r w:rsidRPr="00307360">
              <w:rPr>
                <w:rFonts w:ascii="Century Gothic" w:hAnsi="Century Gothic"/>
                <w:sz w:val="22"/>
                <w:szCs w:val="22"/>
              </w:rPr>
              <w:t xml:space="preserve">y el </w:t>
            </w:r>
            <w:r w:rsidR="00B26F50" w:rsidRPr="00307360">
              <w:rPr>
                <w:rFonts w:ascii="Century Gothic" w:hAnsi="Century Gothic"/>
                <w:sz w:val="22"/>
                <w:szCs w:val="22"/>
              </w:rPr>
              <w:t xml:space="preserve">8 </w:t>
            </w:r>
            <w:r w:rsidRPr="00307360">
              <w:rPr>
                <w:rFonts w:ascii="Century Gothic" w:hAnsi="Century Gothic"/>
                <w:sz w:val="22"/>
                <w:szCs w:val="22"/>
              </w:rPr>
              <w:t>de marzo de 202</w:t>
            </w:r>
            <w:r w:rsidR="00B26F50" w:rsidRPr="00307360">
              <w:rPr>
                <w:rFonts w:ascii="Century Gothic" w:hAnsi="Century Gothic"/>
                <w:sz w:val="22"/>
                <w:szCs w:val="22"/>
              </w:rPr>
              <w:t>3</w:t>
            </w:r>
            <w:r w:rsidRPr="00307360">
              <w:rPr>
                <w:rFonts w:ascii="Century Gothic" w:hAnsi="Century Gothic"/>
                <w:sz w:val="22"/>
                <w:szCs w:val="22"/>
              </w:rPr>
              <w:t xml:space="preserve">. Refiere la demandante que, las </w:t>
            </w:r>
            <w:r w:rsidR="00B26F50" w:rsidRPr="00307360">
              <w:rPr>
                <w:rFonts w:ascii="Century Gothic" w:hAnsi="Century Gothic"/>
                <w:sz w:val="22"/>
                <w:szCs w:val="22"/>
              </w:rPr>
              <w:t xml:space="preserve">22 </w:t>
            </w:r>
            <w:r w:rsidRPr="00307360">
              <w:rPr>
                <w:rFonts w:ascii="Century Gothic" w:hAnsi="Century Gothic"/>
                <w:sz w:val="22"/>
                <w:szCs w:val="22"/>
              </w:rPr>
              <w:t xml:space="preserve">facturas cumplían a cabalidad con los anexos y requisitos establecidos en el Decreto 056 de 2015, y que </w:t>
            </w:r>
            <w:r w:rsidR="00B26F50" w:rsidRPr="00307360">
              <w:rPr>
                <w:rFonts w:ascii="Century Gothic" w:hAnsi="Century Gothic"/>
                <w:sz w:val="22"/>
                <w:szCs w:val="22"/>
              </w:rPr>
              <w:t>EQUIDAD</w:t>
            </w:r>
            <w:r w:rsidRPr="00307360">
              <w:rPr>
                <w:rFonts w:ascii="Century Gothic" w:hAnsi="Century Gothic"/>
                <w:sz w:val="22"/>
                <w:szCs w:val="22"/>
              </w:rPr>
              <w:t xml:space="preserve"> SEGUROS </w:t>
            </w:r>
            <w:r w:rsidR="00B26F50" w:rsidRPr="00307360">
              <w:rPr>
                <w:rFonts w:ascii="Century Gothic" w:hAnsi="Century Gothic"/>
                <w:sz w:val="22"/>
                <w:szCs w:val="22"/>
              </w:rPr>
              <w:t>GENERALES</w:t>
            </w:r>
            <w:r w:rsidR="00307360">
              <w:rPr>
                <w:rFonts w:ascii="Century Gothic" w:hAnsi="Century Gothic"/>
                <w:sz w:val="22"/>
                <w:szCs w:val="22"/>
              </w:rPr>
              <w:t xml:space="preserve"> OC</w:t>
            </w:r>
            <w:r w:rsidR="00B26F50" w:rsidRPr="00307360">
              <w:rPr>
                <w:rFonts w:ascii="Century Gothic" w:hAnsi="Century Gothic"/>
                <w:sz w:val="22"/>
                <w:szCs w:val="22"/>
              </w:rPr>
              <w:t xml:space="preserve"> </w:t>
            </w:r>
            <w:r w:rsidRPr="00307360">
              <w:rPr>
                <w:rFonts w:ascii="Century Gothic" w:hAnsi="Century Gothic"/>
                <w:sz w:val="22"/>
                <w:szCs w:val="22"/>
              </w:rPr>
              <w:t>no realizó en debida forma las devoluciones u objeciones a las facturas, por lo que a la fecha adeudan, sin incluir intereses, la cifra de</w:t>
            </w:r>
            <w:r w:rsidR="00B26F50" w:rsidRPr="00307360">
              <w:rPr>
                <w:rFonts w:ascii="Century Gothic" w:hAnsi="Century Gothic"/>
                <w:sz w:val="22"/>
                <w:szCs w:val="22"/>
              </w:rPr>
              <w:t xml:space="preserve"> TREINTA Y CUATRO MILLONES SEISCIENTOS DOS MIL PESOS TRESCIENTOS SETENTA Y CINCO MIL PESOS M/</w:t>
            </w:r>
            <w:proofErr w:type="spellStart"/>
            <w:r w:rsidR="00B26F50" w:rsidRPr="00307360">
              <w:rPr>
                <w:rFonts w:ascii="Century Gothic" w:hAnsi="Century Gothic"/>
                <w:sz w:val="22"/>
                <w:szCs w:val="22"/>
              </w:rPr>
              <w:t>cte</w:t>
            </w:r>
            <w:proofErr w:type="spellEnd"/>
            <w:r w:rsidRPr="00307360">
              <w:rPr>
                <w:rFonts w:ascii="Century Gothic" w:hAnsi="Century Gothic"/>
                <w:sz w:val="22"/>
                <w:szCs w:val="22"/>
              </w:rPr>
              <w:t>).</w:t>
            </w:r>
          </w:p>
        </w:tc>
      </w:tr>
    </w:tbl>
    <w:p w14:paraId="1C9BF103"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4A1865C5" w14:textId="77777777" w:rsidTr="0094327C">
        <w:tc>
          <w:tcPr>
            <w:tcW w:w="10207" w:type="dxa"/>
            <w:gridSpan w:val="2"/>
            <w:shd w:val="clear" w:color="auto" w:fill="B3E5A1" w:themeFill="accent6" w:themeFillTint="66"/>
            <w:vAlign w:val="center"/>
          </w:tcPr>
          <w:p w14:paraId="2579BB6F"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86556A" w:rsidRPr="00307360" w14:paraId="7BD7CC2C" w14:textId="77777777" w:rsidTr="0094327C">
        <w:tc>
          <w:tcPr>
            <w:tcW w:w="10207" w:type="dxa"/>
            <w:gridSpan w:val="2"/>
            <w:vAlign w:val="center"/>
          </w:tcPr>
          <w:p w14:paraId="2505053E"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 xml:space="preserve">De la demanda: </w:t>
            </w:r>
          </w:p>
          <w:p w14:paraId="4CA6EAB9" w14:textId="77777777" w:rsidR="0086556A" w:rsidRPr="00307360" w:rsidRDefault="0086556A" w:rsidP="0094327C">
            <w:pPr>
              <w:spacing w:line="276" w:lineRule="auto"/>
              <w:jc w:val="both"/>
              <w:rPr>
                <w:rFonts w:ascii="Century Gothic" w:hAnsi="Century Gothic"/>
                <w:sz w:val="22"/>
                <w:szCs w:val="22"/>
              </w:rPr>
            </w:pPr>
          </w:p>
          <w:p w14:paraId="71A912C7" w14:textId="77777777"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1. Se libre mandamiento de pago por la suma de ($34.602.375) por concepto de capital correspondiente a las veintidós (22) facturas pendientes de pago total o parcial.</w:t>
            </w:r>
          </w:p>
          <w:p w14:paraId="6CBB6373" w14:textId="6BE3251E"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 xml:space="preserve"> 2. Se libre mandamiento de pago por los intereses moratorios sobre la suma adeudada conforme el artículo 1080 del Código de Comercio. (Sin estimación de cuantía)</w:t>
            </w:r>
          </w:p>
          <w:p w14:paraId="77BE73D9" w14:textId="425FB54F" w:rsidR="00592F21" w:rsidRPr="00307360"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3. Se codena por agencias en derecho, gastos y costas del proceso</w:t>
            </w:r>
          </w:p>
          <w:p w14:paraId="29A00B21" w14:textId="77777777" w:rsidR="0086556A" w:rsidRPr="00307360" w:rsidRDefault="0086556A" w:rsidP="004F0020">
            <w:pPr>
              <w:spacing w:line="276" w:lineRule="auto"/>
              <w:rPr>
                <w:rFonts w:ascii="Century Gothic" w:hAnsi="Century Gothic"/>
                <w:sz w:val="22"/>
                <w:szCs w:val="22"/>
              </w:rPr>
            </w:pPr>
          </w:p>
        </w:tc>
      </w:tr>
      <w:tr w:rsidR="0086556A" w:rsidRPr="00307360" w14:paraId="2FF37564" w14:textId="77777777" w:rsidTr="0094327C">
        <w:trPr>
          <w:trHeight w:val="510"/>
        </w:trPr>
        <w:tc>
          <w:tcPr>
            <w:tcW w:w="4537" w:type="dxa"/>
            <w:vAlign w:val="center"/>
          </w:tcPr>
          <w:p w14:paraId="20C0B65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1C20C35D" w14:textId="0BE2370D" w:rsidR="0086556A" w:rsidRPr="00307360" w:rsidRDefault="00B26F50"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$34.603.375</w:t>
            </w:r>
          </w:p>
        </w:tc>
      </w:tr>
      <w:tr w:rsidR="0086556A" w:rsidRPr="00307360" w14:paraId="104B99BB" w14:textId="77777777" w:rsidTr="0094327C">
        <w:trPr>
          <w:trHeight w:val="510"/>
        </w:trPr>
        <w:tc>
          <w:tcPr>
            <w:tcW w:w="4537" w:type="dxa"/>
            <w:vAlign w:val="center"/>
          </w:tcPr>
          <w:p w14:paraId="29EB566B"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445F1F96" w14:textId="44F82AE8" w:rsidR="0086556A" w:rsidRPr="00307360" w:rsidRDefault="00C62071"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$ 47.871.981,51</w:t>
            </w:r>
          </w:p>
        </w:tc>
      </w:tr>
    </w:tbl>
    <w:p w14:paraId="3F55656A" w14:textId="77777777" w:rsidR="0086556A" w:rsidRPr="00307360"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307360" w14:paraId="567A9EBF" w14:textId="77777777" w:rsidTr="0094327C">
        <w:trPr>
          <w:trHeight w:val="285"/>
        </w:trPr>
        <w:tc>
          <w:tcPr>
            <w:tcW w:w="10191" w:type="dxa"/>
            <w:shd w:val="clear" w:color="auto" w:fill="B3E5A1" w:themeFill="accent6" w:themeFillTint="66"/>
            <w:vAlign w:val="center"/>
          </w:tcPr>
          <w:p w14:paraId="4A205C1D"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86556A" w:rsidRPr="00307360" w14:paraId="5C0B8A27" w14:textId="77777777" w:rsidTr="0094327C">
        <w:trPr>
          <w:trHeight w:val="6406"/>
        </w:trPr>
        <w:tc>
          <w:tcPr>
            <w:tcW w:w="10191" w:type="dxa"/>
            <w:vAlign w:val="center"/>
          </w:tcPr>
          <w:p w14:paraId="3BA99DE8" w14:textId="79B46FEF" w:rsidR="00B26F50" w:rsidRPr="007732F7" w:rsidRDefault="00B26F50" w:rsidP="00C62071">
            <w:pPr>
              <w:spacing w:line="300" w:lineRule="auto"/>
              <w:rPr>
                <w:rFonts w:ascii="Century Gothic" w:hAnsi="Century Gothic"/>
                <w:sz w:val="22"/>
                <w:szCs w:val="22"/>
              </w:rPr>
            </w:pPr>
            <w:r w:rsidRPr="007732F7">
              <w:rPr>
                <w:rFonts w:ascii="Century Gothic" w:hAnsi="Century Gothic"/>
                <w:sz w:val="22"/>
                <w:szCs w:val="22"/>
              </w:rPr>
              <w:t xml:space="preserve">Como liquidación objetiva de </w:t>
            </w:r>
            <w:r w:rsidR="007732F7">
              <w:rPr>
                <w:rFonts w:ascii="Century Gothic" w:hAnsi="Century Gothic"/>
                <w:sz w:val="22"/>
                <w:szCs w:val="22"/>
              </w:rPr>
              <w:t xml:space="preserve">las pretensiones </w:t>
            </w:r>
            <w:r w:rsidRPr="007732F7">
              <w:rPr>
                <w:rFonts w:ascii="Century Gothic" w:hAnsi="Century Gothic"/>
                <w:sz w:val="22"/>
                <w:szCs w:val="22"/>
              </w:rPr>
              <w:t xml:space="preserve">se tasa la suma de </w:t>
            </w:r>
            <w:r w:rsidR="00C62071" w:rsidRPr="007732F7">
              <w:rPr>
                <w:rFonts w:ascii="Century Gothic" w:hAnsi="Century Gothic"/>
                <w:sz w:val="22"/>
                <w:szCs w:val="22"/>
              </w:rPr>
              <w:t>$ 47.871.981,51</w:t>
            </w:r>
            <w:r w:rsidR="0039073F" w:rsidRPr="007732F7">
              <w:rPr>
                <w:rFonts w:ascii="Century Gothic" w:hAnsi="Century Gothic"/>
                <w:sz w:val="22"/>
                <w:szCs w:val="22"/>
              </w:rPr>
              <w:t xml:space="preserve"> </w:t>
            </w:r>
            <w:r w:rsidRPr="007732F7">
              <w:rPr>
                <w:rFonts w:ascii="Century Gothic" w:hAnsi="Century Gothic"/>
                <w:sz w:val="22"/>
                <w:szCs w:val="22"/>
              </w:rPr>
              <w:t>pesos a la fecha de este informe. Lo anterior, con base en los siguientes fundamentos:</w:t>
            </w:r>
          </w:p>
          <w:p w14:paraId="40856655" w14:textId="77777777" w:rsidR="00B26F50" w:rsidRPr="007732F7" w:rsidRDefault="00B26F50" w:rsidP="005B3028">
            <w:pPr>
              <w:spacing w:line="300" w:lineRule="auto"/>
              <w:rPr>
                <w:rFonts w:ascii="Century Gothic" w:hAnsi="Century Gothic"/>
                <w:sz w:val="22"/>
                <w:szCs w:val="22"/>
              </w:rPr>
            </w:pPr>
          </w:p>
          <w:p w14:paraId="554382DC" w14:textId="77777777" w:rsidR="007732F7" w:rsidRDefault="00B26F50" w:rsidP="007732F7">
            <w:pPr>
              <w:pStyle w:val="Prrafodelista"/>
              <w:numPr>
                <w:ilvl w:val="0"/>
                <w:numId w:val="6"/>
              </w:numPr>
              <w:spacing w:line="300" w:lineRule="auto"/>
              <w:jc w:val="both"/>
              <w:rPr>
                <w:rFonts w:ascii="Century Gothic" w:hAnsi="Century Gothic"/>
                <w:sz w:val="22"/>
                <w:szCs w:val="22"/>
              </w:rPr>
            </w:pPr>
            <w:r w:rsidRPr="007732F7">
              <w:rPr>
                <w:rFonts w:ascii="Century Gothic" w:hAnsi="Century Gothic"/>
                <w:b/>
                <w:bCs/>
                <w:sz w:val="22"/>
                <w:szCs w:val="22"/>
              </w:rPr>
              <w:t>Por concepto de capital:</w:t>
            </w:r>
            <w:r w:rsidRPr="007732F7">
              <w:rPr>
                <w:rFonts w:ascii="Century Gothic" w:hAnsi="Century Gothic"/>
                <w:sz w:val="22"/>
                <w:szCs w:val="22"/>
              </w:rPr>
              <w:t xml:space="preserve"> Se reconoce la suma de $</w:t>
            </w:r>
            <w:r w:rsidR="004664B1" w:rsidRPr="007732F7">
              <w:rPr>
                <w:rFonts w:ascii="Century Gothic" w:hAnsi="Century Gothic"/>
                <w:sz w:val="22"/>
                <w:szCs w:val="22"/>
              </w:rPr>
              <w:t xml:space="preserve"> 29.400.468,00</w:t>
            </w:r>
            <w:r w:rsidRPr="007732F7">
              <w:rPr>
                <w:rFonts w:ascii="Century Gothic" w:hAnsi="Century Gothic"/>
                <w:sz w:val="22"/>
                <w:szCs w:val="22"/>
              </w:rPr>
              <w:t xml:space="preserve">. Toda vez que, de las </w:t>
            </w:r>
            <w:r w:rsidR="004664B1" w:rsidRPr="007732F7">
              <w:rPr>
                <w:rFonts w:ascii="Century Gothic" w:hAnsi="Century Gothic"/>
                <w:sz w:val="22"/>
                <w:szCs w:val="22"/>
              </w:rPr>
              <w:t xml:space="preserve">22 </w:t>
            </w:r>
            <w:r w:rsidRPr="007732F7">
              <w:rPr>
                <w:rFonts w:ascii="Century Gothic" w:hAnsi="Century Gothic"/>
                <w:sz w:val="22"/>
                <w:szCs w:val="22"/>
              </w:rPr>
              <w:t xml:space="preserve">facturas allegadas al proceso, se logró evidenciar y sustentar la prescripción ordinaria de la acción derivada del contrato de seguro para </w:t>
            </w:r>
            <w:r w:rsidR="004664B1" w:rsidRPr="007732F7">
              <w:rPr>
                <w:rFonts w:ascii="Century Gothic" w:hAnsi="Century Gothic"/>
                <w:sz w:val="22"/>
                <w:szCs w:val="22"/>
              </w:rPr>
              <w:t>3</w:t>
            </w:r>
            <w:r w:rsidRPr="007732F7">
              <w:rPr>
                <w:rFonts w:ascii="Century Gothic" w:hAnsi="Century Gothic"/>
                <w:sz w:val="22"/>
                <w:szCs w:val="22"/>
              </w:rPr>
              <w:t xml:space="preserve"> de ellas en aplicación del Art 1801 del C. Co, postura jurisprudencia avalada en la sentencia SC3075-2024 MP Marta Patricia Guzmán Álvarez, además la prescripción de la acción cambiara para la factura No. 20-18200 incluida en este grupo.</w:t>
            </w:r>
          </w:p>
          <w:p w14:paraId="6871425B" w14:textId="34B31543" w:rsidR="0039073F" w:rsidRPr="007732F7" w:rsidRDefault="0039073F" w:rsidP="007732F7">
            <w:pPr>
              <w:pStyle w:val="Prrafodelista"/>
              <w:numPr>
                <w:ilvl w:val="0"/>
                <w:numId w:val="6"/>
              </w:numPr>
              <w:spacing w:line="300" w:lineRule="auto"/>
              <w:jc w:val="both"/>
              <w:rPr>
                <w:rFonts w:ascii="Century Gothic" w:hAnsi="Century Gothic"/>
                <w:sz w:val="22"/>
                <w:szCs w:val="22"/>
              </w:rPr>
            </w:pPr>
            <w:r w:rsidRPr="007732F7">
              <w:rPr>
                <w:rFonts w:ascii="Century Gothic" w:hAnsi="Century Gothic"/>
                <w:b/>
                <w:bCs/>
                <w:sz w:val="22"/>
                <w:szCs w:val="22"/>
              </w:rPr>
              <w:t>Por concepto de intereses moratorios:</w:t>
            </w:r>
            <w:r w:rsidRPr="007732F7">
              <w:rPr>
                <w:rFonts w:ascii="Century Gothic" w:hAnsi="Century Gothic"/>
                <w:sz w:val="22"/>
                <w:szCs w:val="22"/>
              </w:rPr>
              <w:t xml:space="preserve"> Se reconoce la suma de </w:t>
            </w:r>
            <w:r w:rsidR="00C62071" w:rsidRPr="007732F7">
              <w:rPr>
                <w:rFonts w:ascii="Century Gothic" w:hAnsi="Century Gothic"/>
                <w:sz w:val="22"/>
                <w:szCs w:val="22"/>
              </w:rPr>
              <w:t>$18.471.513,51</w:t>
            </w:r>
            <w:r w:rsidR="00307360" w:rsidRPr="007732F7">
              <w:rPr>
                <w:rFonts w:ascii="Century Gothic" w:hAnsi="Century Gothic"/>
                <w:sz w:val="22"/>
                <w:szCs w:val="22"/>
              </w:rPr>
              <w:t>.</w:t>
            </w:r>
            <w:r w:rsidRPr="007732F7">
              <w:rPr>
                <w:rFonts w:ascii="Century Gothic" w:hAnsi="Century Gothic"/>
                <w:sz w:val="22"/>
                <w:szCs w:val="22"/>
              </w:rPr>
              <w:t xml:space="preserve"> Para este cálculo se tuvo en cuenta</w:t>
            </w:r>
            <w:r w:rsidR="00CF3105" w:rsidRPr="007732F7">
              <w:rPr>
                <w:rFonts w:ascii="Century Gothic" w:hAnsi="Century Gothic"/>
                <w:sz w:val="22"/>
                <w:szCs w:val="22"/>
              </w:rPr>
              <w:t xml:space="preserve"> un mes después del vencimiento de la fecha </w:t>
            </w:r>
            <w:r w:rsidRPr="007732F7">
              <w:rPr>
                <w:rFonts w:ascii="Century Gothic" w:hAnsi="Century Gothic"/>
                <w:sz w:val="22"/>
                <w:szCs w:val="22"/>
              </w:rPr>
              <w:t xml:space="preserve">de cada factura que cumplía con los requisitos de exigibilidad, es decir </w:t>
            </w:r>
            <w:r w:rsidR="00C62071" w:rsidRPr="007732F7">
              <w:rPr>
                <w:rFonts w:ascii="Century Gothic" w:hAnsi="Century Gothic"/>
                <w:sz w:val="22"/>
                <w:szCs w:val="22"/>
              </w:rPr>
              <w:t>de 19</w:t>
            </w:r>
            <w:r w:rsidRPr="007732F7">
              <w:rPr>
                <w:rFonts w:ascii="Century Gothic" w:hAnsi="Century Gothic"/>
                <w:sz w:val="22"/>
                <w:szCs w:val="22"/>
              </w:rPr>
              <w:t xml:space="preserve"> de ellas</w:t>
            </w:r>
            <w:r w:rsidR="008B4AA1" w:rsidRPr="007732F7">
              <w:rPr>
                <w:rFonts w:ascii="Century Gothic" w:hAnsi="Century Gothic"/>
                <w:sz w:val="22"/>
                <w:szCs w:val="22"/>
              </w:rPr>
              <w:t>, hasta la fecha de presentación de las excepciones de mérito</w:t>
            </w:r>
            <w:r w:rsidR="00CF3105" w:rsidRPr="007732F7">
              <w:rPr>
                <w:rFonts w:ascii="Century Gothic" w:hAnsi="Century Gothic"/>
                <w:sz w:val="22"/>
                <w:szCs w:val="22"/>
              </w:rPr>
              <w:t xml:space="preserve">. </w:t>
            </w:r>
          </w:p>
        </w:tc>
      </w:tr>
    </w:tbl>
    <w:p w14:paraId="41BFE5FD"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2E78C234" w14:textId="77777777" w:rsidTr="0094327C">
        <w:trPr>
          <w:trHeight w:val="321"/>
        </w:trPr>
        <w:tc>
          <w:tcPr>
            <w:tcW w:w="10207" w:type="dxa"/>
            <w:shd w:val="clear" w:color="auto" w:fill="B3E5A1" w:themeFill="accent6" w:themeFillTint="66"/>
            <w:vAlign w:val="center"/>
          </w:tcPr>
          <w:p w14:paraId="79E7035B"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86556A" w:rsidRPr="00307360" w14:paraId="340C7F2D" w14:textId="77777777" w:rsidTr="0094327C">
        <w:trPr>
          <w:trHeight w:val="3906"/>
        </w:trPr>
        <w:tc>
          <w:tcPr>
            <w:tcW w:w="10207" w:type="dxa"/>
            <w:vAlign w:val="center"/>
          </w:tcPr>
          <w:p w14:paraId="69BF2060" w14:textId="6935A6F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Excepciones de Fondo frente a la demanda</w:t>
            </w:r>
            <w:r w:rsidR="00530EB7" w:rsidRPr="00307360">
              <w:rPr>
                <w:rFonts w:ascii="Century Gothic" w:hAnsi="Century Gothic"/>
                <w:sz w:val="22"/>
                <w:szCs w:val="22"/>
              </w:rPr>
              <w:t>:</w:t>
            </w:r>
          </w:p>
          <w:p w14:paraId="6449FAC2" w14:textId="77777777" w:rsidR="0086556A" w:rsidRPr="00307360" w:rsidRDefault="0086556A" w:rsidP="0094327C">
            <w:pPr>
              <w:spacing w:line="276" w:lineRule="auto"/>
              <w:jc w:val="both"/>
              <w:rPr>
                <w:rFonts w:ascii="Century Gothic" w:hAnsi="Century Gothic"/>
                <w:sz w:val="22"/>
                <w:szCs w:val="22"/>
              </w:rPr>
            </w:pPr>
          </w:p>
          <w:p w14:paraId="74923912" w14:textId="46C4FE3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 xml:space="preserve">Prescripción ordinaria derivada del contrato de seguro (artículo 1081 del código de comercio) – a </w:t>
            </w:r>
            <w:proofErr w:type="spellStart"/>
            <w:r w:rsidRPr="00307360">
              <w:rPr>
                <w:rFonts w:ascii="Century Gothic" w:hAnsi="Century Gothic"/>
                <w:sz w:val="22"/>
                <w:szCs w:val="22"/>
              </w:rPr>
              <w:t>creditación</w:t>
            </w:r>
            <w:proofErr w:type="spellEnd"/>
            <w:r w:rsidRPr="00307360">
              <w:rPr>
                <w:rFonts w:ascii="Century Gothic" w:hAnsi="Century Gothic"/>
                <w:sz w:val="22"/>
                <w:szCs w:val="22"/>
              </w:rPr>
              <w:t xml:space="preserve"> de los presupuestos del art. 94 del C.G.P</w:t>
            </w:r>
          </w:p>
          <w:p w14:paraId="46421147" w14:textId="35FB3EC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Inexistencia de un título ejecutivo (complejo) - en este caso se están cobrando títulos complejos, que han sido aportados de manera incompleta o parcial - falta de una obligación clara, expresa y exigible.</w:t>
            </w:r>
            <w:r w:rsidR="00530EB7" w:rsidRPr="00307360">
              <w:rPr>
                <w:rFonts w:ascii="Century Gothic" w:hAnsi="Century Gothic"/>
                <w:sz w:val="22"/>
                <w:szCs w:val="22"/>
              </w:rPr>
              <w:t xml:space="preserve"> </w:t>
            </w:r>
          </w:p>
          <w:p w14:paraId="67900542" w14:textId="76B2C87E"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Pago total y/o parcial de las facturas.</w:t>
            </w:r>
          </w:p>
          <w:p w14:paraId="0495E51F" w14:textId="0104F44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 xml:space="preserve">Inexistencia de la obligación de pago derivada de la totalidad de las facturas objeto de demanda, como quiera que la parte demandante no subsanó las glosas formuladas oportunamente por mi representada, conforme al artículo 23 del decreto 4747 de 2007 </w:t>
            </w:r>
            <w:proofErr w:type="gramStart"/>
            <w:r w:rsidRPr="00307360">
              <w:rPr>
                <w:rFonts w:ascii="Century Gothic" w:hAnsi="Century Gothic"/>
                <w:sz w:val="22"/>
                <w:szCs w:val="22"/>
              </w:rPr>
              <w:t>y</w:t>
            </w:r>
            <w:proofErr w:type="gramEnd"/>
            <w:r w:rsidRPr="00307360">
              <w:rPr>
                <w:rFonts w:ascii="Century Gothic" w:hAnsi="Century Gothic"/>
                <w:sz w:val="22"/>
                <w:szCs w:val="22"/>
              </w:rPr>
              <w:t xml:space="preserve"> por tanto, dichas glosas u objeciones, se entenderán aceptadas por el demandante</w:t>
            </w:r>
          </w:p>
          <w:p w14:paraId="2C434C1B" w14:textId="6E8597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lastRenderedPageBreak/>
              <w:t>Los documentos no constituyen una obligación clara, expresa y exigible, dado el incumplimiento del numeral 3 del artículo 5 del decreto 3227 de 2009</w:t>
            </w:r>
          </w:p>
          <w:p w14:paraId="14F2DA10" w14:textId="522D29CB"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obligación no es exigible por cuanto no se cumplen los requisitos del decreto único del sector salud. (decreto 780 de 2016)</w:t>
            </w:r>
          </w:p>
          <w:p w14:paraId="0E66F58D" w14:textId="5C4911D7"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sola afirmación del demandante de ninguna manera puede constituir plena prueba de un supuesto fáctico</w:t>
            </w:r>
          </w:p>
          <w:p w14:paraId="4220D066" w14:textId="43AADCF0"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El proceso ejecutivo no es la vía procesal acertada para resolver el objeto de la litis.</w:t>
            </w:r>
          </w:p>
          <w:p w14:paraId="62576012" w14:textId="21B0A64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del cobro de facturas glosadas a partir del cobro ejecutivo- existe un procedimiento especial que la parte demandante no puede omitir</w:t>
            </w:r>
          </w:p>
          <w:p w14:paraId="6863620B" w14:textId="03AA3414"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Enriquecimiento sin justa causa</w:t>
            </w:r>
          </w:p>
          <w:p w14:paraId="0CA8BB4A" w14:textId="17615E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 los intereses de mora</w:t>
            </w:r>
          </w:p>
          <w:p w14:paraId="6186AA40" w14:textId="327616FF"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Genérica o innominada y otras</w:t>
            </w:r>
          </w:p>
          <w:p w14:paraId="6086F25B" w14:textId="1763316B" w:rsidR="0086556A" w:rsidRPr="00307360" w:rsidRDefault="0086556A" w:rsidP="00530EB7">
            <w:pPr>
              <w:spacing w:line="276" w:lineRule="auto"/>
              <w:jc w:val="both"/>
              <w:rPr>
                <w:rFonts w:ascii="Century Gothic" w:hAnsi="Century Gothic"/>
                <w:sz w:val="22"/>
                <w:szCs w:val="22"/>
              </w:rPr>
            </w:pPr>
          </w:p>
        </w:tc>
      </w:tr>
    </w:tbl>
    <w:p w14:paraId="5E77AD53" w14:textId="77777777" w:rsidR="0086556A" w:rsidRPr="00307360"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307360" w14:paraId="5F2B6E06" w14:textId="77777777" w:rsidTr="0094327C">
        <w:trPr>
          <w:trHeight w:val="454"/>
        </w:trPr>
        <w:tc>
          <w:tcPr>
            <w:tcW w:w="3266" w:type="dxa"/>
            <w:vAlign w:val="center"/>
            <w:hideMark/>
          </w:tcPr>
          <w:p w14:paraId="30412A0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4EF66FCA" w14:textId="69BF8FAF"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3B8C735C" w14:textId="77777777" w:rsidTr="0094327C">
        <w:trPr>
          <w:trHeight w:val="454"/>
        </w:trPr>
        <w:tc>
          <w:tcPr>
            <w:tcW w:w="3266" w:type="dxa"/>
            <w:vAlign w:val="center"/>
          </w:tcPr>
          <w:p w14:paraId="2028CDA0" w14:textId="77777777" w:rsidR="0086556A" w:rsidRPr="00307360" w:rsidRDefault="0086556A" w:rsidP="0094327C">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 xml:space="preserve">Caso </w:t>
            </w:r>
            <w:proofErr w:type="spellStart"/>
            <w:r w:rsidRPr="00307360">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6F8A2395"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5E4537E2" w14:textId="77777777" w:rsidTr="0094327C">
        <w:trPr>
          <w:trHeight w:val="454"/>
        </w:trPr>
        <w:tc>
          <w:tcPr>
            <w:tcW w:w="3266" w:type="dxa"/>
            <w:vAlign w:val="center"/>
            <w:hideMark/>
          </w:tcPr>
          <w:p w14:paraId="62D24F6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393C6D98" w14:textId="404D137C" w:rsidR="0086556A" w:rsidRPr="00307360" w:rsidRDefault="0015158F"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719B0003" w14:textId="77777777" w:rsidTr="0094327C">
        <w:trPr>
          <w:trHeight w:val="454"/>
        </w:trPr>
        <w:tc>
          <w:tcPr>
            <w:tcW w:w="3266" w:type="dxa"/>
            <w:vAlign w:val="center"/>
            <w:hideMark/>
          </w:tcPr>
          <w:p w14:paraId="207DC6E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44336D3" w14:textId="3EC4FA4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C38DEF9" w14:textId="77777777" w:rsidTr="0094327C">
        <w:trPr>
          <w:trHeight w:val="454"/>
        </w:trPr>
        <w:tc>
          <w:tcPr>
            <w:tcW w:w="3266" w:type="dxa"/>
            <w:vAlign w:val="center"/>
          </w:tcPr>
          <w:p w14:paraId="625C583E"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0BB224C2" w14:textId="6A334DB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2EA51AF4" w14:textId="77777777" w:rsidTr="0094327C">
        <w:trPr>
          <w:trHeight w:val="454"/>
        </w:trPr>
        <w:tc>
          <w:tcPr>
            <w:tcW w:w="3266" w:type="dxa"/>
            <w:vAlign w:val="center"/>
            <w:hideMark/>
          </w:tcPr>
          <w:p w14:paraId="3CCECEA6"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64DA8820" w14:textId="1BD91689"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 xml:space="preserve">SOAT </w:t>
            </w:r>
          </w:p>
        </w:tc>
      </w:tr>
      <w:tr w:rsidR="0086556A" w:rsidRPr="00307360" w14:paraId="30A8DB6C" w14:textId="77777777" w:rsidTr="0094327C">
        <w:trPr>
          <w:trHeight w:val="454"/>
        </w:trPr>
        <w:tc>
          <w:tcPr>
            <w:tcW w:w="3266" w:type="dxa"/>
            <w:vAlign w:val="center"/>
          </w:tcPr>
          <w:p w14:paraId="0F07C8A1"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38A86EA1" w14:textId="64E7B44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24C24AC" w14:textId="77777777" w:rsidTr="0094327C">
        <w:trPr>
          <w:trHeight w:val="454"/>
        </w:trPr>
        <w:tc>
          <w:tcPr>
            <w:tcW w:w="3266" w:type="dxa"/>
            <w:vAlign w:val="center"/>
          </w:tcPr>
          <w:p w14:paraId="58F69C45"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7D5DB56" w14:textId="26DB74E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08/09/2022</w:t>
            </w:r>
          </w:p>
        </w:tc>
      </w:tr>
      <w:tr w:rsidR="0086556A" w:rsidRPr="00307360" w14:paraId="579D555B" w14:textId="77777777" w:rsidTr="0094327C">
        <w:trPr>
          <w:trHeight w:val="454"/>
        </w:trPr>
        <w:tc>
          <w:tcPr>
            <w:tcW w:w="3266" w:type="dxa"/>
            <w:vAlign w:val="center"/>
          </w:tcPr>
          <w:p w14:paraId="2E279754"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FE537E0" w14:textId="45E6FB5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715DB50D" w14:textId="77777777" w:rsidTr="0094327C">
        <w:trPr>
          <w:trHeight w:val="454"/>
        </w:trPr>
        <w:tc>
          <w:tcPr>
            <w:tcW w:w="3266" w:type="dxa"/>
            <w:vAlign w:val="center"/>
          </w:tcPr>
          <w:p w14:paraId="49E05AC0"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3F0657A9" w14:textId="02CBA1D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5E9A909B" w14:textId="77777777" w:rsidTr="0094327C">
        <w:trPr>
          <w:trHeight w:val="454"/>
        </w:trPr>
        <w:tc>
          <w:tcPr>
            <w:tcW w:w="3266" w:type="dxa"/>
            <w:vAlign w:val="center"/>
          </w:tcPr>
          <w:p w14:paraId="32F79894"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5FA52C1F" w14:textId="4C233A3A"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059DD4D" w14:textId="77777777" w:rsidTr="0094327C">
        <w:trPr>
          <w:trHeight w:val="454"/>
        </w:trPr>
        <w:tc>
          <w:tcPr>
            <w:tcW w:w="3266" w:type="dxa"/>
            <w:vAlign w:val="center"/>
            <w:hideMark/>
          </w:tcPr>
          <w:p w14:paraId="6AAA610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5581CE9" w14:textId="3DE26060" w:rsidR="00C62071"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SOAT</w:t>
            </w:r>
          </w:p>
        </w:tc>
      </w:tr>
      <w:tr w:rsidR="0086556A" w:rsidRPr="00307360" w14:paraId="15B39A1E" w14:textId="77777777" w:rsidTr="0094327C">
        <w:trPr>
          <w:trHeight w:val="454"/>
        </w:trPr>
        <w:tc>
          <w:tcPr>
            <w:tcW w:w="3266" w:type="dxa"/>
            <w:vAlign w:val="center"/>
            <w:hideMark/>
          </w:tcPr>
          <w:p w14:paraId="528BB7D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55180639" w14:textId="5179B42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3AC1CD1" w14:textId="77777777" w:rsidTr="0094327C">
        <w:trPr>
          <w:trHeight w:val="454"/>
        </w:trPr>
        <w:tc>
          <w:tcPr>
            <w:tcW w:w="3266" w:type="dxa"/>
            <w:vAlign w:val="center"/>
            <w:hideMark/>
          </w:tcPr>
          <w:p w14:paraId="262C297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73FBFC2" w14:textId="4A02AE96"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SOAT</w:t>
            </w:r>
          </w:p>
        </w:tc>
      </w:tr>
      <w:tr w:rsidR="0086556A" w:rsidRPr="00307360" w14:paraId="7359E797" w14:textId="77777777" w:rsidTr="0094327C">
        <w:trPr>
          <w:trHeight w:val="454"/>
        </w:trPr>
        <w:tc>
          <w:tcPr>
            <w:tcW w:w="3266" w:type="dxa"/>
            <w:vAlign w:val="center"/>
          </w:tcPr>
          <w:p w14:paraId="6CDA3F43"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Audiencia prejudicial</w:t>
            </w:r>
          </w:p>
        </w:tc>
        <w:tc>
          <w:tcPr>
            <w:tcW w:w="6941" w:type="dxa"/>
            <w:vAlign w:val="center"/>
          </w:tcPr>
          <w:p w14:paraId="0BB9D62B" w14:textId="4E1EAD9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NO</w:t>
            </w:r>
          </w:p>
        </w:tc>
      </w:tr>
      <w:tr w:rsidR="0086556A" w:rsidRPr="00307360" w14:paraId="6FDDBEFE" w14:textId="77777777" w:rsidTr="0094327C">
        <w:trPr>
          <w:trHeight w:val="454"/>
        </w:trPr>
        <w:tc>
          <w:tcPr>
            <w:tcW w:w="3266" w:type="dxa"/>
            <w:vAlign w:val="center"/>
            <w:hideMark/>
          </w:tcPr>
          <w:p w14:paraId="5B167FFE"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09392219" w14:textId="77777777" w:rsidR="0086556A" w:rsidRPr="00307360" w:rsidRDefault="0086556A"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NO</w:t>
            </w:r>
          </w:p>
        </w:tc>
      </w:tr>
    </w:tbl>
    <w:p w14:paraId="28F51308" w14:textId="77777777" w:rsidR="0086556A" w:rsidRPr="00307360" w:rsidRDefault="0086556A" w:rsidP="0086556A">
      <w:pPr>
        <w:spacing w:line="360" w:lineRule="auto"/>
        <w:rPr>
          <w:rFonts w:ascii="Century Gothic" w:hAnsi="Century Gothic"/>
          <w:sz w:val="22"/>
          <w:szCs w:val="22"/>
        </w:rPr>
      </w:pPr>
    </w:p>
    <w:p w14:paraId="5CE7DE04"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307360" w14:paraId="7B1C5B86" w14:textId="77777777" w:rsidTr="0094327C">
        <w:tc>
          <w:tcPr>
            <w:tcW w:w="3687" w:type="dxa"/>
          </w:tcPr>
          <w:p w14:paraId="463D1D90"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31A3FC8C"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sz w:val="22"/>
                <w:szCs w:val="22"/>
              </w:rPr>
              <w:t>PROBABLE</w:t>
            </w:r>
          </w:p>
        </w:tc>
      </w:tr>
      <w:tr w:rsidR="0086556A" w:rsidRPr="00307360" w14:paraId="1D4138FA" w14:textId="77777777" w:rsidTr="0094327C">
        <w:tc>
          <w:tcPr>
            <w:tcW w:w="3687" w:type="dxa"/>
          </w:tcPr>
          <w:p w14:paraId="09F02DA0"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lastRenderedPageBreak/>
              <w:t xml:space="preserve">Reserva sugerida: </w:t>
            </w:r>
          </w:p>
        </w:tc>
        <w:tc>
          <w:tcPr>
            <w:tcW w:w="6520" w:type="dxa"/>
          </w:tcPr>
          <w:p w14:paraId="5E131609" w14:textId="4415FC52" w:rsidR="0086556A" w:rsidRPr="00307360" w:rsidRDefault="0086556A" w:rsidP="0094327C">
            <w:pPr>
              <w:spacing w:line="360" w:lineRule="auto"/>
              <w:rPr>
                <w:rFonts w:ascii="Century Gothic" w:hAnsi="Century Gothic"/>
                <w:color w:val="EE0000"/>
                <w:sz w:val="22"/>
                <w:szCs w:val="22"/>
              </w:rPr>
            </w:pPr>
            <w:r w:rsidRPr="00307360">
              <w:rPr>
                <w:rFonts w:ascii="Century Gothic" w:hAnsi="Century Gothic"/>
                <w:color w:val="000000" w:themeColor="text1"/>
                <w:sz w:val="22"/>
                <w:szCs w:val="22"/>
              </w:rPr>
              <w:t xml:space="preserve">$ </w:t>
            </w:r>
            <w:r w:rsidR="0015158F">
              <w:rPr>
                <w:rFonts w:ascii="Century Gothic" w:hAnsi="Century Gothic"/>
                <w:color w:val="000000" w:themeColor="text1"/>
                <w:sz w:val="22"/>
                <w:szCs w:val="22"/>
              </w:rPr>
              <w:t>38.297.584.</w:t>
            </w:r>
            <w:r w:rsidR="00C62071" w:rsidRPr="00307360">
              <w:rPr>
                <w:rFonts w:ascii="Century Gothic" w:hAnsi="Century Gothic"/>
                <w:color w:val="000000" w:themeColor="text1"/>
                <w:sz w:val="22"/>
                <w:szCs w:val="22"/>
              </w:rPr>
              <w:t xml:space="preserve"> </w:t>
            </w:r>
            <w:r w:rsidRPr="00307360">
              <w:rPr>
                <w:rFonts w:ascii="Century Gothic" w:hAnsi="Century Gothic"/>
                <w:color w:val="000000" w:themeColor="text1"/>
                <w:sz w:val="22"/>
                <w:szCs w:val="22"/>
              </w:rPr>
              <w:t>(</w:t>
            </w:r>
            <w:r w:rsidR="0015158F">
              <w:rPr>
                <w:rFonts w:ascii="Century Gothic" w:hAnsi="Century Gothic"/>
                <w:color w:val="000000" w:themeColor="text1"/>
                <w:sz w:val="22"/>
                <w:szCs w:val="22"/>
              </w:rPr>
              <w:t>8</w:t>
            </w:r>
            <w:r w:rsidRPr="00307360">
              <w:rPr>
                <w:rFonts w:ascii="Century Gothic" w:hAnsi="Century Gothic"/>
                <w:color w:val="000000" w:themeColor="text1"/>
                <w:sz w:val="22"/>
                <w:szCs w:val="22"/>
              </w:rPr>
              <w:t>0% de la liquidación objetiva)</w:t>
            </w:r>
          </w:p>
        </w:tc>
      </w:tr>
      <w:tr w:rsidR="0086556A" w:rsidRPr="00307360" w14:paraId="5A0B3660" w14:textId="77777777" w:rsidTr="0094327C">
        <w:tc>
          <w:tcPr>
            <w:tcW w:w="10207" w:type="dxa"/>
            <w:gridSpan w:val="2"/>
            <w:shd w:val="clear" w:color="auto" w:fill="B3E5A1" w:themeFill="accent6" w:themeFillTint="66"/>
            <w:vAlign w:val="center"/>
          </w:tcPr>
          <w:p w14:paraId="6A33A343" w14:textId="77777777" w:rsidR="0086556A" w:rsidRPr="00307360" w:rsidRDefault="0086556A" w:rsidP="0094327C">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86556A" w:rsidRPr="00307360" w14:paraId="31DEC5A2" w14:textId="77777777" w:rsidTr="0094327C">
        <w:trPr>
          <w:trHeight w:val="3401"/>
        </w:trPr>
        <w:tc>
          <w:tcPr>
            <w:tcW w:w="10207" w:type="dxa"/>
            <w:gridSpan w:val="2"/>
            <w:vAlign w:val="center"/>
          </w:tcPr>
          <w:p w14:paraId="52584E15" w14:textId="77777777" w:rsidR="00AC6B40" w:rsidRDefault="00A4073C" w:rsidP="0094327C">
            <w:pPr>
              <w:spacing w:line="360" w:lineRule="auto"/>
              <w:jc w:val="both"/>
              <w:rPr>
                <w:rFonts w:ascii="Century Gothic" w:hAnsi="Century Gothic"/>
                <w:sz w:val="22"/>
                <w:szCs w:val="22"/>
              </w:rPr>
            </w:pPr>
            <w:r w:rsidRPr="00307360">
              <w:rPr>
                <w:rFonts w:ascii="Century Gothic" w:hAnsi="Century Gothic"/>
                <w:sz w:val="22"/>
                <w:szCs w:val="22"/>
              </w:rPr>
              <w:t>La contingencia se califica como</w:t>
            </w:r>
            <w:r w:rsidRPr="00307360">
              <w:rPr>
                <w:rFonts w:ascii="Century Gothic" w:hAnsi="Century Gothic"/>
                <w:b/>
                <w:bCs/>
                <w:sz w:val="22"/>
                <w:szCs w:val="22"/>
              </w:rPr>
              <w:t xml:space="preserve"> PROBABLE</w:t>
            </w:r>
            <w:r w:rsidRPr="00307360">
              <w:rPr>
                <w:rFonts w:ascii="Century Gothic" w:hAnsi="Century Gothic"/>
                <w:sz w:val="22"/>
                <w:szCs w:val="22"/>
              </w:rPr>
              <w:t xml:space="preserve">, toda vez que, respecto de 19 de las </w:t>
            </w:r>
            <w:r w:rsidR="001E54D1" w:rsidRPr="00307360">
              <w:rPr>
                <w:rFonts w:ascii="Century Gothic" w:hAnsi="Century Gothic"/>
                <w:sz w:val="22"/>
                <w:szCs w:val="22"/>
              </w:rPr>
              <w:t>22 facturas</w:t>
            </w:r>
            <w:r w:rsidRPr="00307360">
              <w:rPr>
                <w:rFonts w:ascii="Century Gothic" w:hAnsi="Century Gothic"/>
                <w:sz w:val="22"/>
                <w:szCs w:val="22"/>
              </w:rPr>
              <w:t xml:space="preserve"> objeto de ejecución, cumplen con los requisitos exigibles y no se acreditó objeción ni glosa alguna, por lo que se consideran plenamente exigibles. </w:t>
            </w:r>
          </w:p>
          <w:p w14:paraId="027484B0" w14:textId="77777777" w:rsidR="00AC6B40" w:rsidRDefault="00AC6B40" w:rsidP="0094327C">
            <w:pPr>
              <w:spacing w:line="360" w:lineRule="auto"/>
              <w:jc w:val="both"/>
              <w:rPr>
                <w:rFonts w:ascii="Century Gothic" w:hAnsi="Century Gothic"/>
                <w:sz w:val="22"/>
                <w:szCs w:val="22"/>
              </w:rPr>
            </w:pPr>
          </w:p>
          <w:p w14:paraId="691799C3" w14:textId="1A372261" w:rsidR="00F2769A" w:rsidRDefault="00F2769A" w:rsidP="0094327C">
            <w:pPr>
              <w:spacing w:line="360" w:lineRule="auto"/>
              <w:jc w:val="both"/>
              <w:rPr>
                <w:rFonts w:ascii="Century Gothic" w:hAnsi="Century Gothic"/>
                <w:sz w:val="22"/>
                <w:szCs w:val="22"/>
              </w:rPr>
            </w:pPr>
            <w:r w:rsidRPr="00F2769A">
              <w:rPr>
                <w:rFonts w:ascii="Century Gothic" w:hAnsi="Century Gothic"/>
                <w:sz w:val="22"/>
                <w:szCs w:val="22"/>
              </w:rPr>
              <w:t xml:space="preserve">Lo primero que debe tenerse en cuenta es que la compañía fue vinculada al proceso ejecutivo con fundamento en veintidós (22) facturas correspondientes a servicios médicos hospitalarios prestados a personas que, para el momento de su atención, se encontraban amparadas por el Seguro Obligatorio de Accidentes de Tránsito —SOAT— expedido por la </w:t>
            </w:r>
            <w:r>
              <w:rPr>
                <w:rFonts w:ascii="Century Gothic" w:hAnsi="Century Gothic"/>
                <w:sz w:val="22"/>
                <w:szCs w:val="22"/>
              </w:rPr>
              <w:t>compañía aseguradora</w:t>
            </w:r>
            <w:r w:rsidRPr="00F2769A">
              <w:rPr>
                <w:rFonts w:ascii="Century Gothic" w:hAnsi="Century Gothic"/>
                <w:sz w:val="22"/>
                <w:szCs w:val="22"/>
              </w:rPr>
              <w:t>. Tales facturas fueron aportadas junto con los documentos soporte exigidos por la normativa vigente y la jurisprudencia aplicable</w:t>
            </w:r>
            <w:r>
              <w:rPr>
                <w:rFonts w:ascii="Century Gothic" w:hAnsi="Century Gothic"/>
                <w:sz w:val="22"/>
                <w:szCs w:val="22"/>
              </w:rPr>
              <w:t xml:space="preserve"> (</w:t>
            </w:r>
            <w:r w:rsidRPr="00307360">
              <w:rPr>
                <w:rFonts w:ascii="Century Gothic" w:hAnsi="Century Gothic"/>
                <w:sz w:val="22"/>
                <w:szCs w:val="22"/>
              </w:rPr>
              <w:t>SC3075-2024</w:t>
            </w:r>
            <w:r>
              <w:rPr>
                <w:rFonts w:ascii="Century Gothic" w:hAnsi="Century Gothic"/>
                <w:sz w:val="22"/>
                <w:szCs w:val="22"/>
              </w:rPr>
              <w:t>)</w:t>
            </w:r>
            <w:r w:rsidRPr="00F2769A">
              <w:rPr>
                <w:rFonts w:ascii="Century Gothic" w:hAnsi="Century Gothic"/>
                <w:sz w:val="22"/>
                <w:szCs w:val="22"/>
              </w:rPr>
              <w:t xml:space="preserve"> para acreditar la existencia, cuantía y exigibilidad de la obligación</w:t>
            </w:r>
            <w:r>
              <w:rPr>
                <w:rFonts w:ascii="Century Gothic" w:hAnsi="Century Gothic"/>
                <w:sz w:val="22"/>
                <w:szCs w:val="22"/>
              </w:rPr>
              <w:t xml:space="preserve">. </w:t>
            </w:r>
            <w:r w:rsidRPr="00F2769A">
              <w:rPr>
                <w:rFonts w:ascii="Century Gothic" w:hAnsi="Century Gothic"/>
                <w:sz w:val="22"/>
                <w:szCs w:val="22"/>
              </w:rPr>
              <w:t xml:space="preserve">En ese orden, </w:t>
            </w:r>
            <w:r w:rsidR="004B04F5">
              <w:rPr>
                <w:rFonts w:ascii="Century Gothic" w:hAnsi="Century Gothic"/>
                <w:sz w:val="22"/>
                <w:szCs w:val="22"/>
              </w:rPr>
              <w:t>estas cumplen con la denominación</w:t>
            </w:r>
            <w:r w:rsidRPr="00F2769A">
              <w:rPr>
                <w:rFonts w:ascii="Century Gothic" w:hAnsi="Century Gothic"/>
                <w:sz w:val="22"/>
                <w:szCs w:val="22"/>
              </w:rPr>
              <w:t xml:space="preserve"> de títulos complejos que, integrados adecuadamente, cumplen con los requisitos establecidos para constituirse en títulos ejecutivos válidos en los términos del artículo 422 del Código General del Proceso.</w:t>
            </w:r>
          </w:p>
          <w:p w14:paraId="694316E0" w14:textId="77777777" w:rsidR="00F2769A" w:rsidRDefault="00F2769A" w:rsidP="0094327C">
            <w:pPr>
              <w:spacing w:line="360" w:lineRule="auto"/>
              <w:jc w:val="both"/>
              <w:rPr>
                <w:rFonts w:ascii="Century Gothic" w:hAnsi="Century Gothic"/>
                <w:sz w:val="22"/>
                <w:szCs w:val="22"/>
              </w:rPr>
            </w:pPr>
          </w:p>
          <w:p w14:paraId="76DC7DC0" w14:textId="03A14234" w:rsidR="001E54D1" w:rsidRPr="00307360" w:rsidRDefault="00F2769A" w:rsidP="0094327C">
            <w:pPr>
              <w:spacing w:line="360" w:lineRule="auto"/>
              <w:jc w:val="both"/>
              <w:rPr>
                <w:rFonts w:ascii="Century Gothic" w:hAnsi="Century Gothic"/>
                <w:sz w:val="22"/>
                <w:szCs w:val="22"/>
              </w:rPr>
            </w:pPr>
            <w:r>
              <w:rPr>
                <w:rFonts w:ascii="Century Gothic" w:hAnsi="Century Gothic"/>
                <w:sz w:val="22"/>
                <w:szCs w:val="22"/>
              </w:rPr>
              <w:t xml:space="preserve">Respecto de la obligación por pago de la compañía, debe decirse que </w:t>
            </w:r>
            <w:r w:rsidR="00A4073C" w:rsidRPr="00307360">
              <w:rPr>
                <w:rFonts w:ascii="Century Gothic" w:hAnsi="Century Gothic"/>
                <w:sz w:val="22"/>
                <w:szCs w:val="22"/>
              </w:rPr>
              <w:t xml:space="preserve">de que </w:t>
            </w:r>
            <w:r w:rsidR="001E54D1" w:rsidRPr="00307360">
              <w:rPr>
                <w:rFonts w:ascii="Century Gothic" w:hAnsi="Century Gothic"/>
                <w:sz w:val="22"/>
                <w:szCs w:val="22"/>
              </w:rPr>
              <w:t>3</w:t>
            </w:r>
            <w:r w:rsidR="00A4073C" w:rsidRPr="00307360">
              <w:rPr>
                <w:rFonts w:ascii="Century Gothic" w:hAnsi="Century Gothic"/>
                <w:sz w:val="22"/>
                <w:szCs w:val="22"/>
              </w:rPr>
              <w:t xml:space="preserve"> de </w:t>
            </w:r>
            <w:r w:rsidR="001E54D1" w:rsidRPr="00307360">
              <w:rPr>
                <w:rFonts w:ascii="Century Gothic" w:hAnsi="Century Gothic"/>
                <w:sz w:val="22"/>
                <w:szCs w:val="22"/>
              </w:rPr>
              <w:t>22</w:t>
            </w:r>
            <w:r w:rsidR="00A4073C" w:rsidRPr="00307360">
              <w:rPr>
                <w:rFonts w:ascii="Century Gothic" w:hAnsi="Century Gothic"/>
                <w:sz w:val="22"/>
                <w:szCs w:val="22"/>
              </w:rPr>
              <w:t xml:space="preserve"> facturas se configuró el fenómeno prescriptivo de la acción derivada del contrato de seguro establecido en el artículo 1081 del Código de Comercio postura jurisprudencia avalada en la sentencia SC3075-2024 MP Marta Patricia Guzmán Álvarez. Sin embargo, respecto de </w:t>
            </w:r>
            <w:r w:rsidR="001E54D1" w:rsidRPr="00307360">
              <w:rPr>
                <w:rFonts w:ascii="Century Gothic" w:hAnsi="Century Gothic"/>
                <w:sz w:val="22"/>
                <w:szCs w:val="22"/>
              </w:rPr>
              <w:t>19</w:t>
            </w:r>
            <w:r w:rsidR="00A4073C" w:rsidRPr="00307360">
              <w:rPr>
                <w:rFonts w:ascii="Century Gothic" w:hAnsi="Century Gothic"/>
                <w:sz w:val="22"/>
                <w:szCs w:val="22"/>
              </w:rPr>
              <w:t xml:space="preserve"> de 2</w:t>
            </w:r>
            <w:r w:rsidR="001E54D1" w:rsidRPr="00307360">
              <w:rPr>
                <w:rFonts w:ascii="Century Gothic" w:hAnsi="Century Gothic"/>
                <w:sz w:val="22"/>
                <w:szCs w:val="22"/>
              </w:rPr>
              <w:t xml:space="preserve">2 </w:t>
            </w:r>
            <w:r w:rsidR="00A4073C" w:rsidRPr="00307360">
              <w:rPr>
                <w:rFonts w:ascii="Century Gothic" w:hAnsi="Century Gothic"/>
                <w:sz w:val="22"/>
                <w:szCs w:val="22"/>
              </w:rPr>
              <w:t xml:space="preserve"> facturas allegadas con la demanda cumplen con los siguientes requisitos a saber: FURIPS, epicrisis, historia clínica y facturas para demostrar la prestación de servicios médicos a víctimas de accidentes de tránsito, debiéndose resaltar que, la necesidad de la copia de la póliza SOAT como anexo de la factura, no se encuentra expresamente determinada en el artículo 2.6.1.4.2.20 del decreto 780 de 2016 y dicha circunstancia no ha sido un factor determinante en las decisiones. A su vez, una vez validadas las facturas y sus respectivos soportes, se encuentra que estas cumplen con los requisitos establecidos en el artículo 2.6.1.4.2.20 del decreto 780 de 2016, encontrando que son exigibles y que a la fecha no se tiene soportes para sustentar las excepciones de pago, compensación, novación, prescripción o transacción. Aunado a lo anterior, también jurisprudencialmente como se estableció en la sentencia SC3075-2024 existe una carga de la prueba en cabeza de la aseguradora de </w:t>
            </w:r>
            <w:r w:rsidR="00A4073C" w:rsidRPr="00307360">
              <w:rPr>
                <w:rFonts w:ascii="Century Gothic" w:hAnsi="Century Gothic"/>
                <w:sz w:val="22"/>
                <w:szCs w:val="22"/>
              </w:rPr>
              <w:lastRenderedPageBreak/>
              <w:t xml:space="preserve">aportar las objeciones que se debieron haber presentado en su momento, ya sea para haber realizado un pago parcial o la objeción total de la factura, tal como ocurrió en el presente caso según el historial de pagos. Dado que, a la fecha de presentación de este informe no han sido allegados los soportes de las objeciones, la contingencia de califica como PROBABLE. </w:t>
            </w:r>
          </w:p>
          <w:p w14:paraId="084897BE" w14:textId="77777777" w:rsidR="001E54D1" w:rsidRPr="00307360" w:rsidRDefault="001E54D1" w:rsidP="0094327C">
            <w:pPr>
              <w:spacing w:line="360" w:lineRule="auto"/>
              <w:jc w:val="both"/>
              <w:rPr>
                <w:rFonts w:ascii="Century Gothic" w:hAnsi="Century Gothic"/>
                <w:sz w:val="22"/>
                <w:szCs w:val="22"/>
              </w:rPr>
            </w:pPr>
          </w:p>
          <w:p w14:paraId="4BDF0C7C" w14:textId="77777777" w:rsidR="0086556A" w:rsidRDefault="00A4073C" w:rsidP="0094327C">
            <w:pPr>
              <w:spacing w:line="360" w:lineRule="auto"/>
              <w:jc w:val="both"/>
              <w:rPr>
                <w:rFonts w:ascii="Century Gothic" w:hAnsi="Century Gothic"/>
                <w:sz w:val="22"/>
                <w:szCs w:val="22"/>
              </w:rPr>
            </w:pPr>
            <w:r w:rsidRPr="00307360">
              <w:rPr>
                <w:rFonts w:ascii="Century Gothic" w:hAnsi="Century Gothic"/>
                <w:sz w:val="22"/>
                <w:szCs w:val="22"/>
              </w:rPr>
              <w:t>**Se recomienda remitir las objeciones y/o glosas para estudiar lo correspondiente en cada caso y para ser aportadas por medio de testigo o dictamen pericial durante el trámite procesal</w:t>
            </w:r>
            <w:r w:rsidR="004B04F5">
              <w:rPr>
                <w:rFonts w:ascii="Century Gothic" w:hAnsi="Century Gothic"/>
                <w:sz w:val="22"/>
                <w:szCs w:val="22"/>
              </w:rPr>
              <w:t>.</w:t>
            </w:r>
          </w:p>
          <w:p w14:paraId="3C86AD45" w14:textId="77777777" w:rsidR="004B04F5" w:rsidRDefault="004B04F5" w:rsidP="0094327C">
            <w:pPr>
              <w:spacing w:line="360" w:lineRule="auto"/>
              <w:jc w:val="both"/>
              <w:rPr>
                <w:rFonts w:ascii="Century Gothic" w:hAnsi="Century Gothic"/>
                <w:sz w:val="22"/>
                <w:szCs w:val="22"/>
              </w:rPr>
            </w:pPr>
          </w:p>
          <w:p w14:paraId="4E266433" w14:textId="21F474AC" w:rsidR="004B04F5" w:rsidRPr="00307360" w:rsidRDefault="004B04F5" w:rsidP="0094327C">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tc>
      </w:tr>
      <w:tr w:rsidR="0086556A" w:rsidRPr="00307360" w14:paraId="63FF9637" w14:textId="77777777" w:rsidTr="0094327C">
        <w:trPr>
          <w:trHeight w:val="1361"/>
        </w:trPr>
        <w:tc>
          <w:tcPr>
            <w:tcW w:w="10207" w:type="dxa"/>
            <w:gridSpan w:val="2"/>
            <w:vAlign w:val="center"/>
          </w:tcPr>
          <w:p w14:paraId="4A509ECF" w14:textId="77777777" w:rsidR="0086556A" w:rsidRPr="00307360"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lastRenderedPageBreak/>
              <w:t>GUSTAVO ALBERTO HERRERA ÁVILA</w:t>
            </w:r>
          </w:p>
          <w:p w14:paraId="11E94591" w14:textId="77777777" w:rsidR="0086556A" w:rsidRPr="00307360"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C.C. </w:t>
            </w:r>
            <w:proofErr w:type="spellStart"/>
            <w:r w:rsidRPr="00307360">
              <w:rPr>
                <w:rFonts w:ascii="Century Gothic" w:hAnsi="Century Gothic"/>
                <w:b/>
                <w:bCs/>
                <w:sz w:val="22"/>
                <w:szCs w:val="22"/>
              </w:rPr>
              <w:t>Nº</w:t>
            </w:r>
            <w:proofErr w:type="spellEnd"/>
            <w:r w:rsidRPr="00307360">
              <w:rPr>
                <w:rFonts w:ascii="Century Gothic" w:hAnsi="Century Gothic"/>
                <w:b/>
                <w:bCs/>
                <w:sz w:val="22"/>
                <w:szCs w:val="22"/>
              </w:rPr>
              <w:t xml:space="preserve"> 19.395.114 de Bogotá</w:t>
            </w:r>
          </w:p>
          <w:p w14:paraId="3D1E8166" w14:textId="77777777" w:rsidR="0086556A"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T.P. </w:t>
            </w:r>
            <w:proofErr w:type="spellStart"/>
            <w:r w:rsidRPr="00307360">
              <w:rPr>
                <w:rFonts w:ascii="Century Gothic" w:hAnsi="Century Gothic"/>
                <w:b/>
                <w:bCs/>
                <w:sz w:val="22"/>
                <w:szCs w:val="22"/>
              </w:rPr>
              <w:t>N°</w:t>
            </w:r>
            <w:proofErr w:type="spellEnd"/>
            <w:r w:rsidRPr="00307360">
              <w:rPr>
                <w:rFonts w:ascii="Century Gothic" w:hAnsi="Century Gothic"/>
                <w:b/>
                <w:bCs/>
                <w:sz w:val="22"/>
                <w:szCs w:val="22"/>
              </w:rPr>
              <w:t xml:space="preserve"> 39.116 del C. S. de la J.</w:t>
            </w:r>
          </w:p>
          <w:p w14:paraId="05A80BA6" w14:textId="268FCAFC" w:rsidR="007732F7" w:rsidRPr="007732F7" w:rsidRDefault="007732F7" w:rsidP="0094327C">
            <w:pPr>
              <w:spacing w:line="360" w:lineRule="auto"/>
              <w:jc w:val="center"/>
              <w:rPr>
                <w:rFonts w:ascii="Century Gothic" w:hAnsi="Century Gothic"/>
                <w:b/>
                <w:bCs/>
                <w:sz w:val="16"/>
                <w:szCs w:val="16"/>
              </w:rPr>
            </w:pPr>
            <w:r w:rsidRPr="007732F7">
              <w:rPr>
                <w:rFonts w:ascii="Century Gothic" w:hAnsi="Century Gothic"/>
                <w:b/>
                <w:bCs/>
                <w:sz w:val="16"/>
                <w:szCs w:val="16"/>
              </w:rPr>
              <w:t>LCOC</w:t>
            </w:r>
          </w:p>
          <w:p w14:paraId="565708F6" w14:textId="475502B3" w:rsidR="0086556A" w:rsidRPr="00307360" w:rsidRDefault="0086556A" w:rsidP="0094327C">
            <w:pPr>
              <w:spacing w:line="360" w:lineRule="auto"/>
              <w:jc w:val="center"/>
              <w:rPr>
                <w:rFonts w:ascii="Century Gothic" w:hAnsi="Century Gothic"/>
                <w:b/>
                <w:bCs/>
                <w:sz w:val="22"/>
                <w:szCs w:val="22"/>
              </w:rPr>
            </w:pPr>
          </w:p>
        </w:tc>
      </w:tr>
    </w:tbl>
    <w:p w14:paraId="5F329571" w14:textId="77777777" w:rsidR="0086556A" w:rsidRPr="00307360" w:rsidRDefault="0086556A" w:rsidP="0086556A">
      <w:pPr>
        <w:spacing w:line="360" w:lineRule="auto"/>
        <w:rPr>
          <w:rFonts w:ascii="Century Gothic" w:hAnsi="Century Gothic"/>
          <w:color w:val="FF0000"/>
          <w:sz w:val="22"/>
          <w:szCs w:val="22"/>
        </w:rPr>
      </w:pPr>
    </w:p>
    <w:p w14:paraId="7A3B9D7C" w14:textId="77777777" w:rsidR="008F2A05" w:rsidRPr="007732F7" w:rsidRDefault="008F2A05">
      <w:pPr>
        <w:rPr>
          <w:rFonts w:ascii="Century Gothic" w:hAnsi="Century Gothic"/>
          <w:sz w:val="22"/>
          <w:szCs w:val="22"/>
        </w:rPr>
      </w:pPr>
    </w:p>
    <w:sectPr w:rsidR="008F2A05" w:rsidRPr="007732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C9D"/>
    <w:multiLevelType w:val="hybridMultilevel"/>
    <w:tmpl w:val="CC40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271736808">
    <w:abstractNumId w:val="3"/>
  </w:num>
  <w:num w:numId="2" w16cid:durableId="1561405136">
    <w:abstractNumId w:val="0"/>
  </w:num>
  <w:num w:numId="3" w16cid:durableId="1700624256">
    <w:abstractNumId w:val="4"/>
  </w:num>
  <w:num w:numId="4" w16cid:durableId="30142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 w:numId="6" w16cid:durableId="1373194631">
    <w:abstractNumId w:val="6"/>
  </w:num>
  <w:num w:numId="7" w16cid:durableId="14126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72732"/>
    <w:rsid w:val="0008138A"/>
    <w:rsid w:val="0015158F"/>
    <w:rsid w:val="00181DF4"/>
    <w:rsid w:val="001907B8"/>
    <w:rsid w:val="001A29D8"/>
    <w:rsid w:val="001E54D1"/>
    <w:rsid w:val="001F7D85"/>
    <w:rsid w:val="002156AB"/>
    <w:rsid w:val="00222516"/>
    <w:rsid w:val="00230B31"/>
    <w:rsid w:val="00267CF4"/>
    <w:rsid w:val="00274140"/>
    <w:rsid w:val="00290549"/>
    <w:rsid w:val="002F3911"/>
    <w:rsid w:val="00307360"/>
    <w:rsid w:val="00325A66"/>
    <w:rsid w:val="0039073F"/>
    <w:rsid w:val="00393CE7"/>
    <w:rsid w:val="003C2DDC"/>
    <w:rsid w:val="00420270"/>
    <w:rsid w:val="00424601"/>
    <w:rsid w:val="004447FF"/>
    <w:rsid w:val="0045762B"/>
    <w:rsid w:val="004664B1"/>
    <w:rsid w:val="0047356D"/>
    <w:rsid w:val="004A0719"/>
    <w:rsid w:val="004B04F5"/>
    <w:rsid w:val="004F0020"/>
    <w:rsid w:val="005116FD"/>
    <w:rsid w:val="00530EB7"/>
    <w:rsid w:val="00571BC9"/>
    <w:rsid w:val="00592F21"/>
    <w:rsid w:val="00593F7F"/>
    <w:rsid w:val="00597CB4"/>
    <w:rsid w:val="005B3028"/>
    <w:rsid w:val="005C1BE9"/>
    <w:rsid w:val="005C452C"/>
    <w:rsid w:val="00624388"/>
    <w:rsid w:val="00691095"/>
    <w:rsid w:val="00747AE8"/>
    <w:rsid w:val="007732F7"/>
    <w:rsid w:val="00786B5A"/>
    <w:rsid w:val="007A1F76"/>
    <w:rsid w:val="007A6B35"/>
    <w:rsid w:val="007C4757"/>
    <w:rsid w:val="008246A4"/>
    <w:rsid w:val="00825B3B"/>
    <w:rsid w:val="0086556A"/>
    <w:rsid w:val="00896C8B"/>
    <w:rsid w:val="008B4AA1"/>
    <w:rsid w:val="008F2A05"/>
    <w:rsid w:val="009C4252"/>
    <w:rsid w:val="00A4073C"/>
    <w:rsid w:val="00AB66D6"/>
    <w:rsid w:val="00AC6B40"/>
    <w:rsid w:val="00B26F50"/>
    <w:rsid w:val="00B417D4"/>
    <w:rsid w:val="00B470D1"/>
    <w:rsid w:val="00BD1320"/>
    <w:rsid w:val="00BD3FCC"/>
    <w:rsid w:val="00BF14B1"/>
    <w:rsid w:val="00C62071"/>
    <w:rsid w:val="00C8233B"/>
    <w:rsid w:val="00CA063B"/>
    <w:rsid w:val="00CE2E8B"/>
    <w:rsid w:val="00CF3105"/>
    <w:rsid w:val="00D95F87"/>
    <w:rsid w:val="00DB17BA"/>
    <w:rsid w:val="00DB60B6"/>
    <w:rsid w:val="00E25DA6"/>
    <w:rsid w:val="00E82322"/>
    <w:rsid w:val="00E836C3"/>
    <w:rsid w:val="00EC2F9E"/>
    <w:rsid w:val="00F2769A"/>
    <w:rsid w:val="00F33726"/>
    <w:rsid w:val="00F35D6C"/>
    <w:rsid w:val="00F475E3"/>
    <w:rsid w:val="00F71A8E"/>
    <w:rsid w:val="00FB6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unhideWhenUsed/>
    <w:rsid w:val="00DB17BA"/>
    <w:rPr>
      <w:sz w:val="20"/>
      <w:szCs w:val="20"/>
    </w:rPr>
  </w:style>
  <w:style w:type="character" w:customStyle="1" w:styleId="TextocomentarioCar">
    <w:name w:val="Texto comentario Car"/>
    <w:basedOn w:val="Fuentedeprrafopredeter"/>
    <w:link w:val="Textocomentario"/>
    <w:uiPriority w:val="99"/>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3542">
      <w:bodyDiv w:val="1"/>
      <w:marLeft w:val="0"/>
      <w:marRight w:val="0"/>
      <w:marTop w:val="0"/>
      <w:marBottom w:val="0"/>
      <w:divBdr>
        <w:top w:val="none" w:sz="0" w:space="0" w:color="auto"/>
        <w:left w:val="none" w:sz="0" w:space="0" w:color="auto"/>
        <w:bottom w:val="none" w:sz="0" w:space="0" w:color="auto"/>
        <w:right w:val="none" w:sz="0" w:space="0" w:color="auto"/>
      </w:divBdr>
    </w:div>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677851671">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893125482">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881474523">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2025-06-09T18:35:00Z</dcterms:created>
  <dcterms:modified xsi:type="dcterms:W3CDTF">2025-06-09T18:35:00Z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2025-06-09T18:34:51Z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6d66e656-74ac-426e-a1f4-7e68964a64bd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