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A70FF" w:rsidRDefault="003314A2" w:rsidP="003314A2">
      <w:pPr>
        <w:spacing w:line="360" w:lineRule="auto"/>
        <w:rPr>
          <w:rFonts w:ascii="Century Gothic" w:hAnsi="Century Gothic"/>
          <w:color w:val="FF0000"/>
          <w:sz w:val="22"/>
          <w:szCs w:val="22"/>
        </w:rPr>
      </w:pPr>
      <w:r w:rsidRPr="00CA70FF">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A70FF"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3E4A17" w:rsidRPr="00CA70FF" w14:paraId="077F9E4D" w14:textId="77777777" w:rsidTr="003827E1">
        <w:trPr>
          <w:trHeight w:val="454"/>
        </w:trPr>
        <w:tc>
          <w:tcPr>
            <w:tcW w:w="4537" w:type="dxa"/>
            <w:vAlign w:val="center"/>
          </w:tcPr>
          <w:p w14:paraId="239BC5A7" w14:textId="7E10D35F" w:rsidR="00F67EF8" w:rsidRPr="00CA70FF" w:rsidRDefault="00F67EF8" w:rsidP="003B7F1A">
            <w:pPr>
              <w:spacing w:line="360" w:lineRule="auto"/>
              <w:rPr>
                <w:rFonts w:ascii="Century Gothic" w:hAnsi="Century Gothic"/>
                <w:b/>
                <w:bCs/>
                <w:sz w:val="22"/>
                <w:szCs w:val="22"/>
              </w:rPr>
            </w:pPr>
            <w:r w:rsidRPr="00CA70FF">
              <w:rPr>
                <w:rFonts w:ascii="Century Gothic" w:hAnsi="Century Gothic"/>
                <w:b/>
                <w:bCs/>
                <w:sz w:val="22"/>
                <w:szCs w:val="22"/>
              </w:rPr>
              <w:t>Fecha de presentación</w:t>
            </w:r>
          </w:p>
        </w:tc>
        <w:tc>
          <w:tcPr>
            <w:tcW w:w="5670" w:type="dxa"/>
          </w:tcPr>
          <w:p w14:paraId="29FA6EF6" w14:textId="3CBA44FF" w:rsidR="00F67EF8" w:rsidRPr="00CA70FF" w:rsidRDefault="005563AF" w:rsidP="00F67EF8">
            <w:pPr>
              <w:spacing w:line="276" w:lineRule="auto"/>
              <w:jc w:val="both"/>
              <w:rPr>
                <w:rFonts w:ascii="Century Gothic" w:hAnsi="Century Gothic"/>
                <w:sz w:val="22"/>
                <w:szCs w:val="22"/>
              </w:rPr>
            </w:pPr>
            <w:r w:rsidRPr="00CA70FF">
              <w:rPr>
                <w:rFonts w:ascii="Century Gothic" w:hAnsi="Century Gothic"/>
                <w:sz w:val="22"/>
                <w:szCs w:val="22"/>
              </w:rPr>
              <w:t>14</w:t>
            </w:r>
            <w:r w:rsidR="002E1D33" w:rsidRPr="00CA70FF">
              <w:rPr>
                <w:rFonts w:ascii="Century Gothic" w:hAnsi="Century Gothic"/>
                <w:sz w:val="22"/>
                <w:szCs w:val="22"/>
              </w:rPr>
              <w:t>/0</w:t>
            </w:r>
            <w:r w:rsidR="00113720" w:rsidRPr="00CA70FF">
              <w:rPr>
                <w:rFonts w:ascii="Century Gothic" w:hAnsi="Century Gothic"/>
                <w:sz w:val="22"/>
                <w:szCs w:val="22"/>
              </w:rPr>
              <w:t>4</w:t>
            </w:r>
            <w:r w:rsidR="002E1D33" w:rsidRPr="00CA70FF">
              <w:rPr>
                <w:rFonts w:ascii="Century Gothic" w:hAnsi="Century Gothic"/>
                <w:sz w:val="22"/>
                <w:szCs w:val="22"/>
              </w:rPr>
              <w:t>/2025</w:t>
            </w:r>
          </w:p>
        </w:tc>
      </w:tr>
      <w:tr w:rsidR="003E4A17" w:rsidRPr="00CA70FF" w14:paraId="6959AD48" w14:textId="77777777" w:rsidTr="003827E1">
        <w:trPr>
          <w:trHeight w:val="454"/>
        </w:trPr>
        <w:tc>
          <w:tcPr>
            <w:tcW w:w="4537" w:type="dxa"/>
            <w:vAlign w:val="center"/>
          </w:tcPr>
          <w:p w14:paraId="45E895A9" w14:textId="1E20E681" w:rsidR="00F67EF8" w:rsidRPr="00CA70FF" w:rsidRDefault="00F67EF8" w:rsidP="003B7F1A">
            <w:pPr>
              <w:spacing w:line="360" w:lineRule="auto"/>
              <w:rPr>
                <w:rFonts w:ascii="Century Gothic" w:hAnsi="Century Gothic"/>
                <w:b/>
                <w:bCs/>
                <w:sz w:val="22"/>
                <w:szCs w:val="22"/>
              </w:rPr>
            </w:pPr>
            <w:r w:rsidRPr="00CA70FF">
              <w:rPr>
                <w:rFonts w:ascii="Century Gothic" w:hAnsi="Century Gothic"/>
                <w:b/>
                <w:bCs/>
                <w:sz w:val="22"/>
                <w:szCs w:val="22"/>
              </w:rPr>
              <w:t>Tipo de abogado</w:t>
            </w:r>
          </w:p>
        </w:tc>
        <w:tc>
          <w:tcPr>
            <w:tcW w:w="5670" w:type="dxa"/>
          </w:tcPr>
          <w:p w14:paraId="06C25C40" w14:textId="4AA4E42D" w:rsidR="00F67EF8" w:rsidRPr="00CA70FF" w:rsidRDefault="00824209" w:rsidP="00F67EF8">
            <w:pPr>
              <w:spacing w:line="276" w:lineRule="auto"/>
              <w:jc w:val="both"/>
              <w:rPr>
                <w:rFonts w:ascii="Century Gothic" w:hAnsi="Century Gothic"/>
                <w:sz w:val="22"/>
                <w:szCs w:val="22"/>
              </w:rPr>
            </w:pPr>
            <w:r w:rsidRPr="00CA70FF">
              <w:rPr>
                <w:rFonts w:ascii="Century Gothic" w:hAnsi="Century Gothic"/>
                <w:sz w:val="22"/>
                <w:szCs w:val="22"/>
              </w:rPr>
              <w:t>EXTERNO</w:t>
            </w:r>
          </w:p>
        </w:tc>
      </w:tr>
      <w:tr w:rsidR="003E4A17" w:rsidRPr="00CA70FF" w14:paraId="2F6DA3B0" w14:textId="77777777" w:rsidTr="003827E1">
        <w:trPr>
          <w:trHeight w:val="454"/>
        </w:trPr>
        <w:tc>
          <w:tcPr>
            <w:tcW w:w="4537" w:type="dxa"/>
            <w:vAlign w:val="center"/>
          </w:tcPr>
          <w:p w14:paraId="30599F8A" w14:textId="674A8832" w:rsidR="00F67EF8" w:rsidRPr="00CA70FF" w:rsidRDefault="00F67EF8" w:rsidP="003B7F1A">
            <w:pPr>
              <w:spacing w:line="360" w:lineRule="auto"/>
              <w:rPr>
                <w:rFonts w:ascii="Century Gothic" w:hAnsi="Century Gothic"/>
                <w:sz w:val="22"/>
                <w:szCs w:val="22"/>
              </w:rPr>
            </w:pPr>
            <w:r w:rsidRPr="00CA70FF">
              <w:rPr>
                <w:rFonts w:ascii="Century Gothic" w:hAnsi="Century Gothic"/>
                <w:b/>
                <w:bCs/>
                <w:sz w:val="22"/>
                <w:szCs w:val="22"/>
              </w:rPr>
              <w:t>Aseguradora vinculada al proceso</w:t>
            </w:r>
          </w:p>
        </w:tc>
        <w:tc>
          <w:tcPr>
            <w:tcW w:w="5670" w:type="dxa"/>
          </w:tcPr>
          <w:p w14:paraId="794A38B0" w14:textId="553C8818" w:rsidR="00F67EF8" w:rsidRPr="00CA70FF" w:rsidRDefault="0045204E" w:rsidP="00F67EF8">
            <w:pPr>
              <w:spacing w:line="276" w:lineRule="auto"/>
              <w:jc w:val="both"/>
              <w:rPr>
                <w:rFonts w:ascii="Century Gothic" w:hAnsi="Century Gothic"/>
                <w:sz w:val="22"/>
                <w:szCs w:val="22"/>
              </w:rPr>
            </w:pPr>
            <w:r w:rsidRPr="00CA70FF">
              <w:rPr>
                <w:rFonts w:ascii="Century Gothic" w:hAnsi="Century Gothic"/>
                <w:sz w:val="22"/>
                <w:szCs w:val="22"/>
              </w:rPr>
              <w:t xml:space="preserve">LA EQUIDAD SEGUROS </w:t>
            </w:r>
            <w:r w:rsidR="00824209" w:rsidRPr="00CA70FF">
              <w:rPr>
                <w:rFonts w:ascii="Century Gothic" w:hAnsi="Century Gothic"/>
                <w:sz w:val="22"/>
                <w:szCs w:val="22"/>
              </w:rPr>
              <w:t>GENERALES</w:t>
            </w:r>
            <w:r w:rsidRPr="00CA70FF">
              <w:rPr>
                <w:rFonts w:ascii="Century Gothic" w:hAnsi="Century Gothic"/>
                <w:sz w:val="22"/>
                <w:szCs w:val="22"/>
              </w:rPr>
              <w:t xml:space="preserve"> O.C</w:t>
            </w:r>
          </w:p>
        </w:tc>
      </w:tr>
      <w:tr w:rsidR="003E4A17" w:rsidRPr="00CA70FF" w14:paraId="490540BB" w14:textId="77777777" w:rsidTr="003827E1">
        <w:trPr>
          <w:trHeight w:val="454"/>
        </w:trPr>
        <w:tc>
          <w:tcPr>
            <w:tcW w:w="4537" w:type="dxa"/>
            <w:vAlign w:val="center"/>
          </w:tcPr>
          <w:p w14:paraId="1C2D5235" w14:textId="2B4007F3" w:rsidR="00F67EF8" w:rsidRPr="00CA70FF" w:rsidRDefault="00992368" w:rsidP="003B7F1A">
            <w:pPr>
              <w:spacing w:line="276" w:lineRule="auto"/>
              <w:rPr>
                <w:rFonts w:ascii="Century Gothic" w:hAnsi="Century Gothic"/>
                <w:b/>
                <w:bCs/>
                <w:sz w:val="22"/>
                <w:szCs w:val="22"/>
              </w:rPr>
            </w:pPr>
            <w:r w:rsidRPr="00CA70FF">
              <w:rPr>
                <w:rFonts w:ascii="Century Gothic" w:hAnsi="Century Gothic"/>
                <w:b/>
                <w:bCs/>
                <w:sz w:val="22"/>
                <w:szCs w:val="22"/>
              </w:rPr>
              <w:t>SGC</w:t>
            </w:r>
          </w:p>
        </w:tc>
        <w:tc>
          <w:tcPr>
            <w:tcW w:w="5670" w:type="dxa"/>
          </w:tcPr>
          <w:p w14:paraId="11B788BC" w14:textId="4BE29931" w:rsidR="00F67EF8" w:rsidRPr="0009037B" w:rsidRDefault="0009037B" w:rsidP="00F67EF8">
            <w:pPr>
              <w:spacing w:line="276" w:lineRule="auto"/>
              <w:jc w:val="both"/>
              <w:rPr>
                <w:rFonts w:ascii="Century Gothic" w:hAnsi="Century Gothic"/>
                <w:sz w:val="22"/>
                <w:szCs w:val="22"/>
                <w:lang w:val="es-CO"/>
              </w:rPr>
            </w:pPr>
            <w:r w:rsidRPr="0009037B">
              <w:rPr>
                <w:rFonts w:ascii="Century Gothic" w:hAnsi="Century Gothic"/>
                <w:sz w:val="22"/>
                <w:szCs w:val="22"/>
                <w:lang w:val="es-CO"/>
              </w:rPr>
              <w:t>10818</w:t>
            </w:r>
          </w:p>
        </w:tc>
      </w:tr>
      <w:tr w:rsidR="003E4A17" w:rsidRPr="00CA70FF" w14:paraId="1D86DF69" w14:textId="77777777" w:rsidTr="003827E1">
        <w:trPr>
          <w:trHeight w:val="454"/>
        </w:trPr>
        <w:tc>
          <w:tcPr>
            <w:tcW w:w="4537" w:type="dxa"/>
            <w:vAlign w:val="center"/>
          </w:tcPr>
          <w:p w14:paraId="699114C2" w14:textId="0BB9EC2F" w:rsidR="00F67EF8" w:rsidRPr="00CA70FF" w:rsidRDefault="00992368" w:rsidP="003B7F1A">
            <w:pPr>
              <w:spacing w:line="276" w:lineRule="auto"/>
              <w:rPr>
                <w:rFonts w:ascii="Century Gothic" w:hAnsi="Century Gothic"/>
                <w:b/>
                <w:bCs/>
                <w:sz w:val="22"/>
                <w:szCs w:val="22"/>
              </w:rPr>
            </w:pPr>
            <w:r w:rsidRPr="00CA70FF">
              <w:rPr>
                <w:rFonts w:ascii="Century Gothic" w:hAnsi="Century Gothic"/>
                <w:b/>
                <w:bCs/>
                <w:sz w:val="22"/>
                <w:szCs w:val="22"/>
              </w:rPr>
              <w:t>Despacho/Juzgado/ Tribunal</w:t>
            </w:r>
          </w:p>
        </w:tc>
        <w:tc>
          <w:tcPr>
            <w:tcW w:w="5670" w:type="dxa"/>
          </w:tcPr>
          <w:p w14:paraId="7DD6339C" w14:textId="1B7A3F68" w:rsidR="00F67EF8" w:rsidRPr="00CA70FF" w:rsidRDefault="002E1D33" w:rsidP="00F67EF8">
            <w:pPr>
              <w:spacing w:line="276" w:lineRule="auto"/>
              <w:jc w:val="both"/>
              <w:rPr>
                <w:rFonts w:ascii="Century Gothic" w:hAnsi="Century Gothic"/>
                <w:sz w:val="22"/>
                <w:szCs w:val="22"/>
              </w:rPr>
            </w:pPr>
            <w:r w:rsidRPr="00CA70FF">
              <w:rPr>
                <w:rFonts w:ascii="Century Gothic" w:hAnsi="Century Gothic"/>
                <w:sz w:val="22"/>
                <w:szCs w:val="22"/>
              </w:rPr>
              <w:t xml:space="preserve">JUZGADO </w:t>
            </w:r>
            <w:r w:rsidR="005563AF" w:rsidRPr="00CA70FF">
              <w:rPr>
                <w:rFonts w:ascii="Century Gothic" w:hAnsi="Century Gothic"/>
                <w:sz w:val="22"/>
                <w:szCs w:val="22"/>
              </w:rPr>
              <w:t>86</w:t>
            </w:r>
            <w:r w:rsidRPr="00CA70FF">
              <w:rPr>
                <w:rFonts w:ascii="Century Gothic" w:hAnsi="Century Gothic"/>
                <w:sz w:val="22"/>
                <w:szCs w:val="22"/>
              </w:rPr>
              <w:t xml:space="preserve"> CIVIL </w:t>
            </w:r>
            <w:r w:rsidR="00950A8C" w:rsidRPr="00CA70FF">
              <w:rPr>
                <w:rFonts w:ascii="Century Gothic" w:hAnsi="Century Gothic"/>
                <w:sz w:val="22"/>
                <w:szCs w:val="22"/>
              </w:rPr>
              <w:t>MUNICIPAL</w:t>
            </w:r>
            <w:r w:rsidR="005563AF" w:rsidRPr="00CA70FF">
              <w:rPr>
                <w:rFonts w:ascii="Century Gothic" w:hAnsi="Century Gothic"/>
                <w:sz w:val="22"/>
                <w:szCs w:val="22"/>
              </w:rPr>
              <w:t>-Transformado transitoriamente en JUZGADO 68 DE PEQUEÑAS CAUSAS Y COMPETENCIA MÚLTIPLE-</w:t>
            </w:r>
          </w:p>
        </w:tc>
      </w:tr>
      <w:tr w:rsidR="003E4A17" w:rsidRPr="00CA70FF" w14:paraId="54742FD8" w14:textId="77777777" w:rsidTr="003827E1">
        <w:trPr>
          <w:trHeight w:val="454"/>
        </w:trPr>
        <w:tc>
          <w:tcPr>
            <w:tcW w:w="4537" w:type="dxa"/>
            <w:vAlign w:val="center"/>
          </w:tcPr>
          <w:p w14:paraId="5A357CCF" w14:textId="3C7FFC83" w:rsidR="00F67EF8" w:rsidRPr="00CA70FF" w:rsidRDefault="00992368" w:rsidP="003B7F1A">
            <w:pPr>
              <w:spacing w:line="276" w:lineRule="auto"/>
              <w:rPr>
                <w:rFonts w:ascii="Century Gothic" w:hAnsi="Century Gothic"/>
                <w:b/>
                <w:bCs/>
                <w:sz w:val="22"/>
                <w:szCs w:val="22"/>
              </w:rPr>
            </w:pPr>
            <w:r w:rsidRPr="00CA70FF">
              <w:rPr>
                <w:rFonts w:ascii="Century Gothic" w:hAnsi="Century Gothic"/>
                <w:b/>
                <w:bCs/>
                <w:sz w:val="22"/>
                <w:szCs w:val="22"/>
              </w:rPr>
              <w:t xml:space="preserve">Ciudad </w:t>
            </w:r>
          </w:p>
        </w:tc>
        <w:tc>
          <w:tcPr>
            <w:tcW w:w="5670" w:type="dxa"/>
          </w:tcPr>
          <w:p w14:paraId="5101FDD8" w14:textId="28CD3E59" w:rsidR="00F67EF8" w:rsidRPr="00CA70FF" w:rsidRDefault="005563AF" w:rsidP="00F67EF8">
            <w:pPr>
              <w:spacing w:line="276" w:lineRule="auto"/>
              <w:jc w:val="both"/>
              <w:rPr>
                <w:rFonts w:ascii="Century Gothic" w:hAnsi="Century Gothic"/>
                <w:sz w:val="22"/>
                <w:szCs w:val="22"/>
              </w:rPr>
            </w:pPr>
            <w:r w:rsidRPr="00CA70FF">
              <w:rPr>
                <w:rFonts w:ascii="Century Gothic" w:hAnsi="Century Gothic"/>
                <w:sz w:val="22"/>
                <w:szCs w:val="22"/>
              </w:rPr>
              <w:t>BOGOTÁ, D.C.</w:t>
            </w:r>
          </w:p>
        </w:tc>
      </w:tr>
      <w:tr w:rsidR="003E4A17" w:rsidRPr="00CA70FF" w14:paraId="3983A9CE" w14:textId="77777777" w:rsidTr="003827E1">
        <w:trPr>
          <w:trHeight w:val="454"/>
        </w:trPr>
        <w:tc>
          <w:tcPr>
            <w:tcW w:w="4537" w:type="dxa"/>
            <w:vAlign w:val="center"/>
          </w:tcPr>
          <w:p w14:paraId="7EC7EF81" w14:textId="3CF9A0A9" w:rsidR="00992368" w:rsidRPr="00CA70FF" w:rsidRDefault="008E249B" w:rsidP="003B7F1A">
            <w:pPr>
              <w:spacing w:line="276" w:lineRule="auto"/>
              <w:rPr>
                <w:rFonts w:ascii="Century Gothic" w:hAnsi="Century Gothic"/>
                <w:b/>
                <w:bCs/>
                <w:sz w:val="22"/>
                <w:szCs w:val="22"/>
              </w:rPr>
            </w:pPr>
            <w:r w:rsidRPr="00CA70FF">
              <w:rPr>
                <w:rFonts w:ascii="Century Gothic" w:hAnsi="Century Gothic"/>
                <w:b/>
                <w:bCs/>
                <w:sz w:val="22"/>
                <w:szCs w:val="22"/>
              </w:rPr>
              <w:t>Radicado completo 23 dígitos</w:t>
            </w:r>
          </w:p>
        </w:tc>
        <w:tc>
          <w:tcPr>
            <w:tcW w:w="5670" w:type="dxa"/>
          </w:tcPr>
          <w:p w14:paraId="573C25D1" w14:textId="4B51979C" w:rsidR="00992368" w:rsidRPr="00CA70FF" w:rsidRDefault="005563AF" w:rsidP="00F67EF8">
            <w:pPr>
              <w:spacing w:line="276" w:lineRule="auto"/>
              <w:jc w:val="both"/>
              <w:rPr>
                <w:rFonts w:ascii="Century Gothic" w:hAnsi="Century Gothic"/>
                <w:sz w:val="22"/>
                <w:szCs w:val="22"/>
              </w:rPr>
            </w:pPr>
            <w:r w:rsidRPr="00CA70FF">
              <w:rPr>
                <w:rFonts w:ascii="Century Gothic" w:eastAsia="Times New Roman" w:hAnsi="Century Gothic" w:cs="Arial"/>
                <w:sz w:val="22"/>
                <w:szCs w:val="22"/>
                <w:lang w:eastAsia="es-CO"/>
              </w:rPr>
              <w:t>11001400308620240183900</w:t>
            </w:r>
            <w:r w:rsidR="00141EC5" w:rsidRPr="00CA70FF">
              <w:rPr>
                <w:rFonts w:ascii="Century Gothic" w:eastAsia="Times New Roman" w:hAnsi="Century Gothic" w:cs="Arial"/>
                <w:sz w:val="22"/>
                <w:szCs w:val="22"/>
                <w:lang w:eastAsia="es-CO"/>
              </w:rPr>
              <w:t>*</w:t>
            </w:r>
          </w:p>
        </w:tc>
      </w:tr>
      <w:tr w:rsidR="003E4A17" w:rsidRPr="00CA70FF" w14:paraId="4A0D8041" w14:textId="77777777" w:rsidTr="003827E1">
        <w:trPr>
          <w:trHeight w:val="454"/>
        </w:trPr>
        <w:tc>
          <w:tcPr>
            <w:tcW w:w="4537" w:type="dxa"/>
            <w:vAlign w:val="center"/>
          </w:tcPr>
          <w:p w14:paraId="6BA2EEB5" w14:textId="7369F36B" w:rsidR="00992368" w:rsidRPr="00CA70FF" w:rsidRDefault="00B2787D" w:rsidP="003B7F1A">
            <w:pPr>
              <w:spacing w:line="276" w:lineRule="auto"/>
              <w:rPr>
                <w:rFonts w:ascii="Century Gothic" w:hAnsi="Century Gothic"/>
                <w:b/>
                <w:bCs/>
                <w:sz w:val="22"/>
                <w:szCs w:val="22"/>
              </w:rPr>
            </w:pPr>
            <w:r w:rsidRPr="00CA70FF">
              <w:rPr>
                <w:rFonts w:ascii="Century Gothic" w:hAnsi="Century Gothic"/>
                <w:b/>
                <w:bCs/>
                <w:sz w:val="22"/>
                <w:szCs w:val="22"/>
              </w:rPr>
              <w:t>Fecha de notificación</w:t>
            </w:r>
          </w:p>
        </w:tc>
        <w:tc>
          <w:tcPr>
            <w:tcW w:w="5670" w:type="dxa"/>
          </w:tcPr>
          <w:p w14:paraId="64AC88EB" w14:textId="5CE962F6" w:rsidR="00992368" w:rsidRPr="00CA70FF" w:rsidRDefault="005563AF" w:rsidP="00F67EF8">
            <w:pPr>
              <w:spacing w:line="276" w:lineRule="auto"/>
              <w:jc w:val="both"/>
              <w:rPr>
                <w:rFonts w:ascii="Century Gothic" w:hAnsi="Century Gothic"/>
                <w:sz w:val="22"/>
                <w:szCs w:val="22"/>
              </w:rPr>
            </w:pPr>
            <w:r w:rsidRPr="00CA70FF">
              <w:rPr>
                <w:rFonts w:ascii="Century Gothic" w:hAnsi="Century Gothic"/>
                <w:sz w:val="22"/>
                <w:szCs w:val="22"/>
              </w:rPr>
              <w:t>26/03/2025</w:t>
            </w:r>
          </w:p>
        </w:tc>
      </w:tr>
      <w:tr w:rsidR="003E4A17" w:rsidRPr="00CA70FF" w14:paraId="028BDD81" w14:textId="77777777" w:rsidTr="003827E1">
        <w:trPr>
          <w:trHeight w:val="454"/>
        </w:trPr>
        <w:tc>
          <w:tcPr>
            <w:tcW w:w="4537" w:type="dxa"/>
            <w:vAlign w:val="center"/>
          </w:tcPr>
          <w:p w14:paraId="74AA3CB7" w14:textId="0154798B" w:rsidR="00992368" w:rsidRPr="00CA70FF" w:rsidRDefault="00B2787D" w:rsidP="003B7F1A">
            <w:pPr>
              <w:spacing w:line="276" w:lineRule="auto"/>
              <w:rPr>
                <w:rFonts w:ascii="Century Gothic" w:hAnsi="Century Gothic"/>
                <w:b/>
                <w:bCs/>
                <w:sz w:val="22"/>
                <w:szCs w:val="22"/>
              </w:rPr>
            </w:pPr>
            <w:r w:rsidRPr="00CA70FF">
              <w:rPr>
                <w:rFonts w:ascii="Century Gothic" w:hAnsi="Century Gothic"/>
                <w:b/>
                <w:bCs/>
                <w:sz w:val="22"/>
                <w:szCs w:val="22"/>
              </w:rPr>
              <w:t>Fecha vencimiento del término</w:t>
            </w:r>
          </w:p>
        </w:tc>
        <w:tc>
          <w:tcPr>
            <w:tcW w:w="5670" w:type="dxa"/>
          </w:tcPr>
          <w:p w14:paraId="41E82979" w14:textId="7FB519B2" w:rsidR="00992368" w:rsidRPr="00CA70FF" w:rsidRDefault="005563AF" w:rsidP="00F67EF8">
            <w:pPr>
              <w:spacing w:line="276" w:lineRule="auto"/>
              <w:jc w:val="both"/>
              <w:rPr>
                <w:rFonts w:ascii="Century Gothic" w:hAnsi="Century Gothic"/>
                <w:sz w:val="22"/>
                <w:szCs w:val="22"/>
              </w:rPr>
            </w:pPr>
            <w:r w:rsidRPr="00CA70FF">
              <w:rPr>
                <w:rFonts w:ascii="Century Gothic" w:hAnsi="Century Gothic"/>
                <w:sz w:val="22"/>
                <w:szCs w:val="22"/>
              </w:rPr>
              <w:t>09/04/2025</w:t>
            </w:r>
          </w:p>
        </w:tc>
      </w:tr>
    </w:tbl>
    <w:p w14:paraId="619AE562" w14:textId="77777777" w:rsidR="00BA1E5F" w:rsidRPr="00CA70FF" w:rsidRDefault="00BA1E5F">
      <w:pPr>
        <w:rPr>
          <w:rFonts w:ascii="Century Gothic" w:hAnsi="Century Gothic"/>
          <w:color w:val="FF0000"/>
          <w:sz w:val="22"/>
          <w:szCs w:val="22"/>
        </w:rPr>
      </w:pPr>
    </w:p>
    <w:p w14:paraId="64A76143" w14:textId="77777777" w:rsidR="00BA1E5F" w:rsidRPr="00CA70FF"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3E4A17" w:rsidRPr="00CA70FF" w14:paraId="55765E90" w14:textId="77777777" w:rsidTr="0095378E">
        <w:tc>
          <w:tcPr>
            <w:tcW w:w="10207" w:type="dxa"/>
            <w:shd w:val="clear" w:color="auto" w:fill="C5E0B3" w:themeFill="accent6" w:themeFillTint="66"/>
            <w:vAlign w:val="center"/>
          </w:tcPr>
          <w:p w14:paraId="7B465D4D" w14:textId="5CAE6B68" w:rsidR="00B2787D" w:rsidRPr="00CA70FF" w:rsidRDefault="00B2787D" w:rsidP="00B2787D">
            <w:pPr>
              <w:spacing w:line="276" w:lineRule="auto"/>
              <w:jc w:val="center"/>
              <w:rPr>
                <w:rFonts w:ascii="Century Gothic" w:hAnsi="Century Gothic"/>
                <w:color w:val="FF0000"/>
                <w:sz w:val="22"/>
                <w:szCs w:val="22"/>
              </w:rPr>
            </w:pPr>
            <w:r w:rsidRPr="00CA70FF">
              <w:rPr>
                <w:rFonts w:ascii="Century Gothic" w:hAnsi="Century Gothic"/>
                <w:b/>
                <w:bCs/>
                <w:sz w:val="22"/>
                <w:szCs w:val="22"/>
              </w:rPr>
              <w:t>Hechos</w:t>
            </w:r>
            <w:r w:rsidR="007C37D7" w:rsidRPr="00CA70FF">
              <w:rPr>
                <w:rFonts w:ascii="Century Gothic" w:hAnsi="Century Gothic"/>
                <w:b/>
                <w:bCs/>
                <w:sz w:val="22"/>
                <w:szCs w:val="22"/>
              </w:rPr>
              <w:t xml:space="preserve"> </w:t>
            </w:r>
            <w:r w:rsidR="007C37D7" w:rsidRPr="00CA70F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3E4A17" w:rsidRPr="00CA70FF" w14:paraId="59EA92D0" w14:textId="77777777" w:rsidTr="006056E7">
        <w:tc>
          <w:tcPr>
            <w:tcW w:w="10207" w:type="dxa"/>
            <w:vAlign w:val="center"/>
          </w:tcPr>
          <w:p w14:paraId="68C9CB77" w14:textId="77777777" w:rsidR="00FD53B3" w:rsidRPr="00CA70FF" w:rsidRDefault="00FD53B3" w:rsidP="002E1D33">
            <w:pPr>
              <w:spacing w:line="276" w:lineRule="auto"/>
              <w:rPr>
                <w:rFonts w:ascii="Century Gothic" w:hAnsi="Century Gothic"/>
                <w:color w:val="FF0000"/>
                <w:sz w:val="22"/>
                <w:szCs w:val="22"/>
              </w:rPr>
            </w:pPr>
          </w:p>
          <w:p w14:paraId="2AA52C90" w14:textId="77777777" w:rsidR="005563AF" w:rsidRPr="00CA70FF" w:rsidRDefault="005563AF" w:rsidP="00FC6AC3">
            <w:pPr>
              <w:spacing w:line="276" w:lineRule="auto"/>
              <w:jc w:val="both"/>
              <w:rPr>
                <w:rFonts w:ascii="Century Gothic" w:hAnsi="Century Gothic"/>
                <w:sz w:val="22"/>
                <w:szCs w:val="22"/>
              </w:rPr>
            </w:pPr>
            <w:r w:rsidRPr="00CA70FF">
              <w:rPr>
                <w:rFonts w:ascii="Century Gothic" w:hAnsi="Century Gothic"/>
                <w:sz w:val="22"/>
                <w:szCs w:val="22"/>
              </w:rPr>
              <w:t>Se trata de un proceso de responsabilidad civil contractual en contra del CONSORCIO ÉXITO al incumplir las obligaciones del Contrato de Trabajo Social No. 075-2018 celebrado con Patrimonio Autónomo VISR (FIDUAGRARIA) el 29 de agosto de 2018, relativas a la devolución de $18.180.335.26 entregados a título de anticipo, los cuales no fueron amortizados y que se encontraban pendientes de amortizar desde el 11 de noviembre de 2020.</w:t>
            </w:r>
          </w:p>
          <w:p w14:paraId="1DAB6B5A" w14:textId="77777777" w:rsidR="005563AF" w:rsidRPr="00CA70FF" w:rsidRDefault="005563AF" w:rsidP="00FC6AC3">
            <w:pPr>
              <w:spacing w:line="276" w:lineRule="auto"/>
              <w:jc w:val="both"/>
              <w:rPr>
                <w:rFonts w:ascii="Century Gothic" w:hAnsi="Century Gothic"/>
                <w:sz w:val="22"/>
                <w:szCs w:val="22"/>
              </w:rPr>
            </w:pPr>
          </w:p>
          <w:p w14:paraId="285181BA" w14:textId="544229C5" w:rsidR="00B2787D" w:rsidRPr="00CA70FF" w:rsidRDefault="005563AF" w:rsidP="005452D3">
            <w:pPr>
              <w:spacing w:line="276" w:lineRule="auto"/>
              <w:jc w:val="both"/>
              <w:rPr>
                <w:rFonts w:ascii="Century Gothic" w:hAnsi="Century Gothic"/>
                <w:color w:val="FF0000"/>
                <w:sz w:val="22"/>
                <w:szCs w:val="22"/>
              </w:rPr>
            </w:pPr>
            <w:r w:rsidRPr="00CA70FF">
              <w:rPr>
                <w:rFonts w:ascii="Century Gothic" w:hAnsi="Century Gothic"/>
                <w:sz w:val="22"/>
                <w:szCs w:val="22"/>
              </w:rPr>
              <w:t>El 22 de julio de 2022, FIDUAGARIA presentó reclamación a la EQUIDAD SEGUROS por la póliza de cumplimiento para particulares No. AA010416, por el amparo de “buen manejo y correcta inversión del anticipo” la cual fue objetada el 25 de mayo de 2023. FIDUAGRARIA solicita reconsideración el 15 de junio de 2023 pero la objeción es ratificada por la aseguradora el 4 de julio de 2023 por falta de prueba de la indebida apropiación de los recursos del anticipo.</w:t>
            </w:r>
          </w:p>
        </w:tc>
      </w:tr>
    </w:tbl>
    <w:p w14:paraId="20C76EE3" w14:textId="77777777" w:rsidR="003827E1" w:rsidRPr="00CA70FF"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3E4A17" w:rsidRPr="00CA70FF" w14:paraId="2BD14B8D" w14:textId="77777777" w:rsidTr="0095378E">
        <w:tc>
          <w:tcPr>
            <w:tcW w:w="10207" w:type="dxa"/>
            <w:gridSpan w:val="2"/>
            <w:shd w:val="clear" w:color="auto" w:fill="C5E0B3" w:themeFill="accent6" w:themeFillTint="66"/>
            <w:vAlign w:val="center"/>
          </w:tcPr>
          <w:p w14:paraId="00111EA5" w14:textId="08575358" w:rsidR="007C37D7" w:rsidRPr="00CA70FF" w:rsidRDefault="007C37D7" w:rsidP="007C37D7">
            <w:pPr>
              <w:spacing w:line="276" w:lineRule="auto"/>
              <w:jc w:val="center"/>
              <w:rPr>
                <w:rFonts w:ascii="Century Gothic" w:hAnsi="Century Gothic"/>
                <w:sz w:val="22"/>
                <w:szCs w:val="22"/>
              </w:rPr>
            </w:pPr>
            <w:r w:rsidRPr="00CA70FF">
              <w:rPr>
                <w:rFonts w:ascii="Century Gothic" w:hAnsi="Century Gothic"/>
                <w:b/>
                <w:bCs/>
                <w:sz w:val="22"/>
                <w:szCs w:val="22"/>
              </w:rPr>
              <w:t xml:space="preserve">Pretensiones </w:t>
            </w:r>
            <w:r w:rsidRPr="00CA70FF">
              <w:rPr>
                <w:rFonts w:ascii="Century Gothic" w:hAnsi="Century Gothic"/>
                <w:sz w:val="22"/>
                <w:szCs w:val="22"/>
              </w:rPr>
              <w:t>(haga un relato o enliste las pretensiones de la demanda/llamamiento en garantía)</w:t>
            </w:r>
          </w:p>
        </w:tc>
      </w:tr>
      <w:tr w:rsidR="003E4A17" w:rsidRPr="00CA70FF" w14:paraId="2B7256CB" w14:textId="77777777" w:rsidTr="006056E7">
        <w:tc>
          <w:tcPr>
            <w:tcW w:w="10207" w:type="dxa"/>
            <w:gridSpan w:val="2"/>
            <w:vAlign w:val="center"/>
          </w:tcPr>
          <w:p w14:paraId="3389C76C" w14:textId="086807D8" w:rsidR="00051DC4" w:rsidRPr="00CA70FF" w:rsidRDefault="00051DC4" w:rsidP="00051DC4">
            <w:pPr>
              <w:pStyle w:val="Prrafodelista"/>
              <w:numPr>
                <w:ilvl w:val="0"/>
                <w:numId w:val="3"/>
              </w:numPr>
              <w:spacing w:line="276" w:lineRule="auto"/>
              <w:jc w:val="both"/>
              <w:rPr>
                <w:rFonts w:ascii="Century Gothic" w:hAnsi="Century Gothic"/>
                <w:sz w:val="22"/>
                <w:szCs w:val="22"/>
              </w:rPr>
            </w:pPr>
            <w:r w:rsidRPr="00CA70FF">
              <w:rPr>
                <w:rFonts w:ascii="Century Gothic" w:hAnsi="Century Gothic"/>
                <w:sz w:val="22"/>
                <w:szCs w:val="22"/>
              </w:rPr>
              <w:t xml:space="preserve">Declarar la responsabilidad civil contractual de los demandados y su correspondiente condena solidaria por la suma de $18.180.335,26, por concepto de dineros entregados a título de anticipo en el Contrato de Trabajo Social No. 075-2018. Teniendo en cuenta que el CONSORCIO ÉXITO incumplió las obligaciones del Contrato de Trabajo Social No. 075-2018, relativas a la devolución de los dineros entregados a título de anticipo los </w:t>
            </w:r>
            <w:r w:rsidRPr="00CA70FF">
              <w:rPr>
                <w:rFonts w:ascii="Century Gothic" w:hAnsi="Century Gothic"/>
                <w:sz w:val="22"/>
                <w:szCs w:val="22"/>
              </w:rPr>
              <w:lastRenderedPageBreak/>
              <w:t>cuales no fueron amortizados, y en cabeza de la EQUIDAD SEGUROS porque incumplió con la póliza de cumplimiento para particulares No. AA010416, al no garantizar el pago o devolución de los dineros entregados a título de anticipo cubiertos bajo el amparo de “buen manejo y correcta inversión del anticipo”.</w:t>
            </w:r>
          </w:p>
          <w:p w14:paraId="47B45067" w14:textId="77777777" w:rsidR="00051DC4" w:rsidRPr="00CA70FF" w:rsidRDefault="00051DC4" w:rsidP="00051DC4">
            <w:pPr>
              <w:spacing w:line="276" w:lineRule="auto"/>
              <w:jc w:val="both"/>
              <w:rPr>
                <w:rFonts w:ascii="Century Gothic" w:hAnsi="Century Gothic"/>
                <w:sz w:val="22"/>
                <w:szCs w:val="22"/>
              </w:rPr>
            </w:pPr>
          </w:p>
          <w:p w14:paraId="6B7D54E9" w14:textId="77777777" w:rsidR="00051DC4" w:rsidRPr="00CA70FF" w:rsidRDefault="00051DC4" w:rsidP="00051DC4">
            <w:pPr>
              <w:pStyle w:val="Prrafodelista"/>
              <w:numPr>
                <w:ilvl w:val="0"/>
                <w:numId w:val="3"/>
              </w:numPr>
              <w:spacing w:line="276" w:lineRule="auto"/>
              <w:jc w:val="both"/>
              <w:rPr>
                <w:rFonts w:ascii="Century Gothic" w:hAnsi="Century Gothic"/>
                <w:sz w:val="22"/>
                <w:szCs w:val="22"/>
              </w:rPr>
            </w:pPr>
            <w:r w:rsidRPr="00CA70FF">
              <w:rPr>
                <w:rFonts w:ascii="Century Gothic" w:hAnsi="Century Gothic"/>
                <w:sz w:val="22"/>
                <w:szCs w:val="22"/>
              </w:rPr>
              <w:t>Liquidar el Contrato de Trabajo Social No. 075-2018</w:t>
            </w:r>
          </w:p>
          <w:p w14:paraId="422F5226" w14:textId="77777777" w:rsidR="00051DC4" w:rsidRPr="00CA70FF" w:rsidRDefault="00051DC4" w:rsidP="00051DC4">
            <w:pPr>
              <w:spacing w:line="276" w:lineRule="auto"/>
              <w:jc w:val="both"/>
              <w:rPr>
                <w:rFonts w:ascii="Century Gothic" w:hAnsi="Century Gothic"/>
                <w:sz w:val="22"/>
                <w:szCs w:val="22"/>
              </w:rPr>
            </w:pPr>
          </w:p>
          <w:p w14:paraId="0F73A1DD" w14:textId="2C6F5E0A" w:rsidR="00FD53B3" w:rsidRPr="00CA70FF" w:rsidRDefault="00051DC4" w:rsidP="00051DC4">
            <w:pPr>
              <w:pStyle w:val="Prrafodelista"/>
              <w:numPr>
                <w:ilvl w:val="0"/>
                <w:numId w:val="3"/>
              </w:numPr>
              <w:spacing w:line="276" w:lineRule="auto"/>
              <w:rPr>
                <w:rFonts w:ascii="Century Gothic" w:hAnsi="Century Gothic"/>
                <w:sz w:val="22"/>
                <w:szCs w:val="22"/>
              </w:rPr>
            </w:pPr>
            <w:r w:rsidRPr="00CA70FF">
              <w:rPr>
                <w:rFonts w:ascii="Century Gothic" w:hAnsi="Century Gothic"/>
                <w:sz w:val="22"/>
                <w:szCs w:val="22"/>
              </w:rPr>
              <w:t>Condenar en costas y agencias.</w:t>
            </w:r>
          </w:p>
          <w:p w14:paraId="68FF438A" w14:textId="77777777" w:rsidR="00FD53B3" w:rsidRPr="00CA70FF" w:rsidRDefault="00FD53B3" w:rsidP="007C37D7">
            <w:pPr>
              <w:spacing w:line="276" w:lineRule="auto"/>
              <w:jc w:val="center"/>
              <w:rPr>
                <w:rFonts w:ascii="Century Gothic" w:hAnsi="Century Gothic"/>
                <w:sz w:val="22"/>
                <w:szCs w:val="22"/>
              </w:rPr>
            </w:pPr>
          </w:p>
          <w:p w14:paraId="579F4AD4" w14:textId="77777777" w:rsidR="00FD53B3" w:rsidRPr="00CA70FF" w:rsidRDefault="00FD53B3" w:rsidP="007C37D7">
            <w:pPr>
              <w:spacing w:line="276" w:lineRule="auto"/>
              <w:jc w:val="center"/>
              <w:rPr>
                <w:rFonts w:ascii="Century Gothic" w:hAnsi="Century Gothic"/>
                <w:sz w:val="22"/>
                <w:szCs w:val="22"/>
              </w:rPr>
            </w:pPr>
          </w:p>
          <w:p w14:paraId="77C06868" w14:textId="77777777" w:rsidR="00FD53B3" w:rsidRPr="00CA70FF" w:rsidRDefault="00FD53B3" w:rsidP="00413A1F">
            <w:pPr>
              <w:spacing w:line="276" w:lineRule="auto"/>
              <w:rPr>
                <w:rFonts w:ascii="Century Gothic" w:hAnsi="Century Gothic"/>
                <w:sz w:val="22"/>
                <w:szCs w:val="22"/>
              </w:rPr>
            </w:pPr>
          </w:p>
        </w:tc>
      </w:tr>
      <w:tr w:rsidR="003E4A17" w:rsidRPr="00CA70FF" w14:paraId="50D1C7A7" w14:textId="77777777" w:rsidTr="003827E1">
        <w:trPr>
          <w:trHeight w:val="510"/>
        </w:trPr>
        <w:tc>
          <w:tcPr>
            <w:tcW w:w="4537" w:type="dxa"/>
            <w:vAlign w:val="center"/>
          </w:tcPr>
          <w:p w14:paraId="013247F4" w14:textId="68D4118C" w:rsidR="00992368" w:rsidRPr="00CA70FF" w:rsidRDefault="001E1616" w:rsidP="003B7F1A">
            <w:pPr>
              <w:spacing w:line="276" w:lineRule="auto"/>
              <w:rPr>
                <w:rFonts w:ascii="Century Gothic" w:hAnsi="Century Gothic"/>
                <w:b/>
                <w:bCs/>
                <w:sz w:val="22"/>
                <w:szCs w:val="22"/>
              </w:rPr>
            </w:pPr>
            <w:r w:rsidRPr="00CA70FF">
              <w:rPr>
                <w:rFonts w:ascii="Century Gothic" w:hAnsi="Century Gothic"/>
                <w:b/>
                <w:bCs/>
                <w:sz w:val="22"/>
                <w:szCs w:val="22"/>
              </w:rPr>
              <w:lastRenderedPageBreak/>
              <w:t xml:space="preserve">Valor total de las pretensiones </w:t>
            </w:r>
          </w:p>
        </w:tc>
        <w:tc>
          <w:tcPr>
            <w:tcW w:w="5670" w:type="dxa"/>
            <w:vAlign w:val="center"/>
          </w:tcPr>
          <w:p w14:paraId="00FEFA37" w14:textId="39060074" w:rsidR="00992368" w:rsidRPr="00CA70FF" w:rsidRDefault="00C4153F" w:rsidP="003827E1">
            <w:pPr>
              <w:spacing w:line="276" w:lineRule="auto"/>
              <w:rPr>
                <w:rFonts w:ascii="Century Gothic" w:hAnsi="Century Gothic"/>
                <w:sz w:val="22"/>
                <w:szCs w:val="22"/>
              </w:rPr>
            </w:pPr>
            <w:r w:rsidRPr="00CA70FF">
              <w:rPr>
                <w:rFonts w:ascii="Century Gothic" w:hAnsi="Century Gothic"/>
                <w:sz w:val="22"/>
                <w:szCs w:val="22"/>
              </w:rPr>
              <w:t>$</w:t>
            </w:r>
            <w:r w:rsidR="00051DC4" w:rsidRPr="00CA70FF">
              <w:rPr>
                <w:rFonts w:ascii="Century Gothic" w:hAnsi="Century Gothic"/>
                <w:sz w:val="22"/>
                <w:szCs w:val="22"/>
              </w:rPr>
              <w:t>18.180.335,26</w:t>
            </w:r>
          </w:p>
        </w:tc>
      </w:tr>
      <w:tr w:rsidR="003E4A17" w:rsidRPr="00CA70FF" w14:paraId="668F9413" w14:textId="77777777" w:rsidTr="003827E1">
        <w:trPr>
          <w:trHeight w:val="510"/>
        </w:trPr>
        <w:tc>
          <w:tcPr>
            <w:tcW w:w="4537" w:type="dxa"/>
            <w:vAlign w:val="center"/>
          </w:tcPr>
          <w:p w14:paraId="34E17619" w14:textId="7EF66606" w:rsidR="00992368" w:rsidRPr="00CA70FF" w:rsidRDefault="00FD53B3" w:rsidP="003B7F1A">
            <w:pPr>
              <w:spacing w:line="276" w:lineRule="auto"/>
              <w:rPr>
                <w:rFonts w:ascii="Century Gothic" w:hAnsi="Century Gothic"/>
                <w:b/>
                <w:bCs/>
                <w:sz w:val="22"/>
                <w:szCs w:val="22"/>
              </w:rPr>
            </w:pPr>
            <w:r w:rsidRPr="00CA70FF">
              <w:rPr>
                <w:rFonts w:ascii="Century Gothic" w:hAnsi="Century Gothic"/>
                <w:b/>
                <w:bCs/>
                <w:sz w:val="22"/>
                <w:szCs w:val="22"/>
              </w:rPr>
              <w:t>Valor total de las pretensiones objetivadas</w:t>
            </w:r>
          </w:p>
        </w:tc>
        <w:tc>
          <w:tcPr>
            <w:tcW w:w="5670" w:type="dxa"/>
            <w:vAlign w:val="center"/>
          </w:tcPr>
          <w:p w14:paraId="487C6084" w14:textId="222C3E99" w:rsidR="00992368" w:rsidRPr="00CA70FF" w:rsidRDefault="00FD53B3" w:rsidP="003827E1">
            <w:pPr>
              <w:spacing w:line="276" w:lineRule="auto"/>
              <w:rPr>
                <w:rFonts w:ascii="Century Gothic" w:hAnsi="Century Gothic"/>
                <w:sz w:val="22"/>
                <w:szCs w:val="22"/>
              </w:rPr>
            </w:pPr>
            <w:r w:rsidRPr="00CA70FF">
              <w:rPr>
                <w:rFonts w:ascii="Century Gothic" w:hAnsi="Century Gothic"/>
                <w:sz w:val="22"/>
                <w:szCs w:val="22"/>
              </w:rPr>
              <w:t>$</w:t>
            </w:r>
            <w:r w:rsidR="00727FC3" w:rsidRPr="00CA70FF">
              <w:rPr>
                <w:rFonts w:ascii="Century Gothic" w:hAnsi="Century Gothic"/>
                <w:sz w:val="22"/>
                <w:szCs w:val="22"/>
              </w:rPr>
              <w:t>18.180.335,26</w:t>
            </w:r>
          </w:p>
        </w:tc>
      </w:tr>
    </w:tbl>
    <w:p w14:paraId="146E9C6D" w14:textId="77777777" w:rsidR="0095378E" w:rsidRPr="00CA70FF" w:rsidRDefault="0095378E">
      <w:pPr>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3E4A17" w:rsidRPr="00CA70FF" w14:paraId="77F9F71B" w14:textId="77777777" w:rsidTr="0095378E">
        <w:trPr>
          <w:trHeight w:val="285"/>
        </w:trPr>
        <w:tc>
          <w:tcPr>
            <w:tcW w:w="10191" w:type="dxa"/>
            <w:shd w:val="clear" w:color="auto" w:fill="C5E0B3" w:themeFill="accent6" w:themeFillTint="66"/>
            <w:vAlign w:val="center"/>
          </w:tcPr>
          <w:p w14:paraId="10E33877" w14:textId="0E982702" w:rsidR="00E802BC" w:rsidRPr="00CA70FF" w:rsidRDefault="00E802BC" w:rsidP="00E802BC">
            <w:pPr>
              <w:spacing w:line="276" w:lineRule="auto"/>
              <w:jc w:val="center"/>
              <w:rPr>
                <w:rFonts w:ascii="Century Gothic" w:hAnsi="Century Gothic"/>
                <w:sz w:val="22"/>
                <w:szCs w:val="22"/>
              </w:rPr>
            </w:pPr>
            <w:r w:rsidRPr="00CA70FF">
              <w:rPr>
                <w:rFonts w:ascii="Century Gothic" w:hAnsi="Century Gothic"/>
                <w:b/>
                <w:bCs/>
                <w:sz w:val="22"/>
                <w:szCs w:val="22"/>
              </w:rPr>
              <w:t>Liquidación de las pretensiones objetivadas</w:t>
            </w:r>
          </w:p>
        </w:tc>
      </w:tr>
      <w:tr w:rsidR="003E4A17" w:rsidRPr="00CA70FF" w14:paraId="33786C43" w14:textId="77777777" w:rsidTr="0095378E">
        <w:trPr>
          <w:trHeight w:val="6406"/>
        </w:trPr>
        <w:tc>
          <w:tcPr>
            <w:tcW w:w="10191" w:type="dxa"/>
            <w:vAlign w:val="center"/>
          </w:tcPr>
          <w:p w14:paraId="3897FBD4" w14:textId="6949EBD8" w:rsidR="00727FC3" w:rsidRPr="00CA70FF" w:rsidRDefault="00727FC3" w:rsidP="00727FC3">
            <w:pPr>
              <w:spacing w:line="276" w:lineRule="auto"/>
              <w:jc w:val="both"/>
              <w:rPr>
                <w:rFonts w:ascii="Century Gothic" w:hAnsi="Century Gothic"/>
                <w:sz w:val="22"/>
                <w:szCs w:val="22"/>
              </w:rPr>
            </w:pPr>
            <w:r w:rsidRPr="00CA70FF">
              <w:rPr>
                <w:rFonts w:ascii="Century Gothic" w:hAnsi="Century Gothic"/>
                <w:sz w:val="22"/>
                <w:szCs w:val="22"/>
              </w:rPr>
              <w:t>Como liquidación objetiva se llegó a la suma de $18.180.335,26 con base en los siguientes argumentos fácticos y jurídicos:</w:t>
            </w:r>
          </w:p>
          <w:p w14:paraId="39A4B5A7" w14:textId="77777777" w:rsidR="00727FC3" w:rsidRPr="00CA70FF" w:rsidRDefault="00727FC3" w:rsidP="00727FC3">
            <w:pPr>
              <w:spacing w:line="276" w:lineRule="auto"/>
              <w:jc w:val="both"/>
              <w:rPr>
                <w:rFonts w:ascii="Century Gothic" w:hAnsi="Century Gothic"/>
                <w:sz w:val="22"/>
                <w:szCs w:val="22"/>
              </w:rPr>
            </w:pPr>
          </w:p>
          <w:p w14:paraId="5FF28F95" w14:textId="29330DD2" w:rsidR="00D63A16" w:rsidRPr="00CA70FF" w:rsidRDefault="00727FC3" w:rsidP="00727FC3">
            <w:pPr>
              <w:pStyle w:val="Prrafodelista"/>
              <w:numPr>
                <w:ilvl w:val="0"/>
                <w:numId w:val="6"/>
              </w:numPr>
              <w:spacing w:line="276" w:lineRule="auto"/>
              <w:jc w:val="both"/>
              <w:rPr>
                <w:rFonts w:ascii="Century Gothic" w:hAnsi="Century Gothic"/>
                <w:sz w:val="22"/>
                <w:szCs w:val="22"/>
              </w:rPr>
            </w:pPr>
            <w:r w:rsidRPr="00CA70FF">
              <w:rPr>
                <w:rFonts w:ascii="Century Gothic" w:hAnsi="Century Gothic"/>
                <w:b/>
                <w:bCs/>
                <w:sz w:val="22"/>
                <w:szCs w:val="22"/>
              </w:rPr>
              <w:t>Amparo de buen manejo y correcta inversión del anticipo:</w:t>
            </w:r>
            <w:r w:rsidRPr="00CA70FF">
              <w:rPr>
                <w:rFonts w:ascii="Century Gothic" w:hAnsi="Century Gothic"/>
                <w:sz w:val="22"/>
                <w:szCs w:val="22"/>
              </w:rPr>
              <w:t xml:space="preserve"> se reconoce la suma de $18.180.335,26, por concepto de los perjuicios derivados del uso indebido del anticipo, teniendo en cuenta que este rubro corresponde al valor entregado como anticipo que no fue ejecutado en los términos del Contrato de Trabajo Social No. 075-2018</w:t>
            </w:r>
          </w:p>
          <w:p w14:paraId="777B284F" w14:textId="77777777" w:rsidR="00D63A16" w:rsidRPr="00CA70FF" w:rsidRDefault="00D63A16" w:rsidP="00D63A16">
            <w:pPr>
              <w:pStyle w:val="Prrafodelista"/>
              <w:rPr>
                <w:rFonts w:ascii="Century Gothic" w:hAnsi="Century Gothic"/>
                <w:sz w:val="22"/>
                <w:szCs w:val="22"/>
              </w:rPr>
            </w:pPr>
          </w:p>
          <w:p w14:paraId="31FF8AB1" w14:textId="453855F0" w:rsidR="00E802BC" w:rsidRPr="0008262B" w:rsidRDefault="0064593C" w:rsidP="002E1D33">
            <w:pPr>
              <w:pStyle w:val="Prrafodelista"/>
              <w:numPr>
                <w:ilvl w:val="0"/>
                <w:numId w:val="6"/>
              </w:numPr>
              <w:spacing w:line="276" w:lineRule="auto"/>
              <w:jc w:val="both"/>
              <w:rPr>
                <w:rFonts w:ascii="Century Gothic" w:hAnsi="Century Gothic"/>
                <w:sz w:val="22"/>
                <w:szCs w:val="22"/>
              </w:rPr>
            </w:pPr>
            <w:r w:rsidRPr="00CA70FF">
              <w:rPr>
                <w:rFonts w:ascii="Century Gothic" w:hAnsi="Century Gothic"/>
                <w:b/>
                <w:bCs/>
                <w:sz w:val="22"/>
                <w:szCs w:val="22"/>
              </w:rPr>
              <w:t>Deducible:</w:t>
            </w:r>
            <w:r w:rsidR="00D63A16" w:rsidRPr="00CA70FF">
              <w:rPr>
                <w:rFonts w:ascii="Century Gothic" w:hAnsi="Century Gothic"/>
                <w:sz w:val="22"/>
                <w:szCs w:val="22"/>
              </w:rPr>
              <w:t xml:space="preserve"> Esta póliza no contempla deducibles.</w:t>
            </w:r>
          </w:p>
        </w:tc>
      </w:tr>
    </w:tbl>
    <w:p w14:paraId="7273C5A1" w14:textId="77777777" w:rsidR="0095378E" w:rsidRPr="00CA70FF"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3E4A17" w:rsidRPr="00CA70FF" w14:paraId="05674BEA" w14:textId="77777777" w:rsidTr="0095378E">
        <w:trPr>
          <w:trHeight w:val="321"/>
        </w:trPr>
        <w:tc>
          <w:tcPr>
            <w:tcW w:w="10207" w:type="dxa"/>
            <w:shd w:val="clear" w:color="auto" w:fill="C5E0B3" w:themeFill="accent6" w:themeFillTint="66"/>
            <w:vAlign w:val="center"/>
          </w:tcPr>
          <w:p w14:paraId="2BB97918" w14:textId="52E94393" w:rsidR="003B7F1A" w:rsidRPr="00CA70FF" w:rsidRDefault="003B7F1A" w:rsidP="003B7F1A">
            <w:pPr>
              <w:spacing w:line="276" w:lineRule="auto"/>
              <w:jc w:val="center"/>
              <w:rPr>
                <w:rFonts w:ascii="Century Gothic" w:hAnsi="Century Gothic"/>
                <w:color w:val="FF0000"/>
                <w:sz w:val="22"/>
                <w:szCs w:val="22"/>
              </w:rPr>
            </w:pPr>
            <w:r w:rsidRPr="00CA70FF">
              <w:rPr>
                <w:rFonts w:ascii="Century Gothic" w:hAnsi="Century Gothic"/>
                <w:b/>
                <w:bCs/>
                <w:sz w:val="22"/>
                <w:szCs w:val="22"/>
              </w:rPr>
              <w:t>Excepciones</w:t>
            </w:r>
          </w:p>
        </w:tc>
      </w:tr>
      <w:tr w:rsidR="003E4A17" w:rsidRPr="00CA70FF" w14:paraId="4AAD7549" w14:textId="77777777" w:rsidTr="0095378E">
        <w:trPr>
          <w:trHeight w:val="3906"/>
        </w:trPr>
        <w:tc>
          <w:tcPr>
            <w:tcW w:w="10207" w:type="dxa"/>
            <w:vAlign w:val="center"/>
          </w:tcPr>
          <w:p w14:paraId="298F9ED5" w14:textId="77777777" w:rsidR="00CC42DF" w:rsidRPr="00CA70FF" w:rsidRDefault="00CC42DF" w:rsidP="00CC42DF">
            <w:pPr>
              <w:spacing w:line="276" w:lineRule="auto"/>
              <w:jc w:val="both"/>
              <w:rPr>
                <w:rFonts w:ascii="Century Gothic" w:hAnsi="Century Gothic"/>
                <w:sz w:val="22"/>
                <w:szCs w:val="22"/>
              </w:rPr>
            </w:pPr>
            <w:r w:rsidRPr="00CA70FF">
              <w:rPr>
                <w:rFonts w:ascii="Century Gothic" w:hAnsi="Century Gothic"/>
                <w:sz w:val="22"/>
                <w:szCs w:val="22"/>
              </w:rPr>
              <w:lastRenderedPageBreak/>
              <w:t>A.</w:t>
            </w:r>
            <w:r w:rsidRPr="00CA70FF">
              <w:rPr>
                <w:rFonts w:ascii="Century Gothic" w:hAnsi="Century Gothic"/>
                <w:sz w:val="22"/>
                <w:szCs w:val="22"/>
              </w:rPr>
              <w:tab/>
              <w:t>EXCEPCIONES DE MÉRITO FRENTE AL INEXISTENTE INCUMPLIMIENTO DEL CONTRATO DE TRABAJO SOCIAL NO. 075-2018</w:t>
            </w:r>
          </w:p>
          <w:p w14:paraId="05CD0E26" w14:textId="77777777" w:rsidR="00CC42DF" w:rsidRPr="00CA70FF" w:rsidRDefault="00CC42DF" w:rsidP="00CC42DF">
            <w:pPr>
              <w:spacing w:line="276" w:lineRule="auto"/>
              <w:jc w:val="both"/>
              <w:rPr>
                <w:rFonts w:ascii="Century Gothic" w:hAnsi="Century Gothic"/>
                <w:sz w:val="22"/>
                <w:szCs w:val="22"/>
              </w:rPr>
            </w:pPr>
          </w:p>
          <w:p w14:paraId="451CB039" w14:textId="78A164A7" w:rsidR="003B7F1A" w:rsidRPr="00CA70FF" w:rsidRDefault="00CC42DF" w:rsidP="00CC42DF">
            <w:pPr>
              <w:pStyle w:val="Prrafodelista"/>
              <w:numPr>
                <w:ilvl w:val="0"/>
                <w:numId w:val="4"/>
              </w:numPr>
              <w:spacing w:line="276" w:lineRule="auto"/>
              <w:jc w:val="both"/>
              <w:rPr>
                <w:rFonts w:ascii="Century Gothic" w:hAnsi="Century Gothic"/>
                <w:sz w:val="22"/>
                <w:szCs w:val="22"/>
              </w:rPr>
            </w:pPr>
            <w:r w:rsidRPr="00CA70FF">
              <w:rPr>
                <w:rFonts w:ascii="Century Gothic" w:hAnsi="Century Gothic"/>
                <w:sz w:val="22"/>
                <w:szCs w:val="22"/>
              </w:rPr>
              <w:t>INEXISTENCIA DE PRUEBA SOBRE EL PRESUNTO INCUMPLIMIENTO QUE SE ATRIBUYE A CONSORCIO ÉXITO.</w:t>
            </w:r>
          </w:p>
          <w:p w14:paraId="3704D808" w14:textId="77777777" w:rsidR="00CC42DF" w:rsidRPr="00CA70FF" w:rsidRDefault="00CC42DF" w:rsidP="00CC42DF">
            <w:pPr>
              <w:pStyle w:val="Prrafodelista"/>
              <w:numPr>
                <w:ilvl w:val="0"/>
                <w:numId w:val="4"/>
              </w:numPr>
              <w:rPr>
                <w:rFonts w:ascii="Century Gothic" w:hAnsi="Century Gothic"/>
                <w:sz w:val="22"/>
                <w:szCs w:val="22"/>
              </w:rPr>
            </w:pPr>
            <w:r w:rsidRPr="00CA70FF">
              <w:rPr>
                <w:rFonts w:ascii="Century Gothic" w:hAnsi="Century Gothic"/>
                <w:sz w:val="22"/>
                <w:szCs w:val="22"/>
              </w:rPr>
              <w:t xml:space="preserve">EXCEPCIÓN DE CONTRATO NO CUMPLIDO – ARTÍCULO 1609 C.C. </w:t>
            </w:r>
          </w:p>
          <w:p w14:paraId="7B86CC5A" w14:textId="77777777" w:rsidR="00CC42DF" w:rsidRPr="00CA70FF" w:rsidRDefault="00CC42DF" w:rsidP="00CC42DF">
            <w:pPr>
              <w:pStyle w:val="Prrafodelista"/>
              <w:numPr>
                <w:ilvl w:val="0"/>
                <w:numId w:val="4"/>
              </w:numPr>
              <w:rPr>
                <w:rFonts w:ascii="Century Gothic" w:hAnsi="Century Gothic"/>
                <w:sz w:val="22"/>
                <w:szCs w:val="22"/>
              </w:rPr>
            </w:pPr>
            <w:r w:rsidRPr="00CA70FF">
              <w:rPr>
                <w:rFonts w:ascii="Century Gothic" w:hAnsi="Century Gothic"/>
                <w:sz w:val="22"/>
                <w:szCs w:val="22"/>
              </w:rPr>
              <w:t xml:space="preserve">COMPENSACIÓN. </w:t>
            </w:r>
          </w:p>
          <w:p w14:paraId="3F03032F" w14:textId="77777777" w:rsidR="00CC42DF" w:rsidRPr="00CA70FF" w:rsidRDefault="00CC42DF" w:rsidP="00CC42DF">
            <w:pPr>
              <w:pStyle w:val="Prrafodelista"/>
              <w:numPr>
                <w:ilvl w:val="0"/>
                <w:numId w:val="4"/>
              </w:numPr>
              <w:rPr>
                <w:rFonts w:ascii="Century Gothic" w:hAnsi="Century Gothic"/>
                <w:sz w:val="22"/>
                <w:szCs w:val="22"/>
              </w:rPr>
            </w:pPr>
            <w:r w:rsidRPr="00CA70FF">
              <w:rPr>
                <w:rFonts w:ascii="Century Gothic" w:hAnsi="Century Gothic"/>
                <w:sz w:val="22"/>
                <w:szCs w:val="22"/>
              </w:rPr>
              <w:t>ENRIQUECIMIENTO SIN CAUSA.</w:t>
            </w:r>
          </w:p>
          <w:p w14:paraId="63D98931" w14:textId="77777777" w:rsidR="00CC42DF" w:rsidRPr="00CA70FF" w:rsidRDefault="00CC42DF" w:rsidP="00CC42DF">
            <w:pPr>
              <w:spacing w:line="276" w:lineRule="auto"/>
              <w:jc w:val="both"/>
              <w:rPr>
                <w:rFonts w:ascii="Century Gothic" w:hAnsi="Century Gothic"/>
                <w:sz w:val="22"/>
                <w:szCs w:val="22"/>
              </w:rPr>
            </w:pPr>
          </w:p>
          <w:p w14:paraId="25CAC3D2" w14:textId="77777777" w:rsidR="00CC42DF" w:rsidRPr="00CA70FF" w:rsidRDefault="00CC42DF" w:rsidP="00CC42DF">
            <w:pPr>
              <w:spacing w:line="276" w:lineRule="auto"/>
              <w:jc w:val="both"/>
              <w:rPr>
                <w:rFonts w:ascii="Century Gothic" w:hAnsi="Century Gothic"/>
                <w:sz w:val="22"/>
                <w:szCs w:val="22"/>
              </w:rPr>
            </w:pPr>
          </w:p>
          <w:p w14:paraId="6EC70383" w14:textId="77777777" w:rsidR="00CC42DF" w:rsidRPr="00CA70FF" w:rsidRDefault="00CC42DF" w:rsidP="00CC42DF">
            <w:pPr>
              <w:spacing w:line="276" w:lineRule="auto"/>
              <w:jc w:val="both"/>
              <w:rPr>
                <w:rFonts w:ascii="Century Gothic" w:hAnsi="Century Gothic"/>
                <w:sz w:val="22"/>
                <w:szCs w:val="22"/>
              </w:rPr>
            </w:pPr>
            <w:r w:rsidRPr="00CA70FF">
              <w:rPr>
                <w:rFonts w:ascii="Century Gothic" w:hAnsi="Century Gothic"/>
                <w:sz w:val="22"/>
                <w:szCs w:val="22"/>
              </w:rPr>
              <w:t>B.</w:t>
            </w:r>
            <w:r w:rsidRPr="00CA70FF">
              <w:rPr>
                <w:rFonts w:ascii="Century Gothic" w:hAnsi="Century Gothic"/>
                <w:sz w:val="22"/>
                <w:szCs w:val="22"/>
              </w:rPr>
              <w:tab/>
              <w:t xml:space="preserve"> EXCEPCIONES DE MÉRITO FRENTE AL CONTRATO DE SEGURO</w:t>
            </w:r>
          </w:p>
          <w:p w14:paraId="63DEA994" w14:textId="77777777" w:rsidR="00CC42DF" w:rsidRPr="00CA70FF" w:rsidRDefault="00CC42DF" w:rsidP="00CC42DF">
            <w:pPr>
              <w:spacing w:line="276" w:lineRule="auto"/>
              <w:jc w:val="both"/>
              <w:rPr>
                <w:rFonts w:ascii="Century Gothic" w:hAnsi="Century Gothic"/>
                <w:sz w:val="22"/>
                <w:szCs w:val="22"/>
              </w:rPr>
            </w:pPr>
          </w:p>
          <w:p w14:paraId="7AB1E2DC" w14:textId="155904DD" w:rsidR="00CC42DF" w:rsidRPr="00CA70FF" w:rsidRDefault="00CC42DF" w:rsidP="00CC42DF">
            <w:pPr>
              <w:pStyle w:val="Prrafodelista"/>
              <w:numPr>
                <w:ilvl w:val="0"/>
                <w:numId w:val="5"/>
              </w:numPr>
              <w:spacing w:line="276" w:lineRule="auto"/>
              <w:jc w:val="both"/>
              <w:rPr>
                <w:rFonts w:ascii="Century Gothic" w:hAnsi="Century Gothic"/>
                <w:sz w:val="22"/>
                <w:szCs w:val="22"/>
              </w:rPr>
            </w:pPr>
            <w:r w:rsidRPr="00CA70FF">
              <w:rPr>
                <w:rFonts w:ascii="Century Gothic" w:hAnsi="Century Gothic"/>
                <w:sz w:val="22"/>
                <w:szCs w:val="22"/>
              </w:rPr>
              <w:t>PRESCRIPCIÓN DE LA ACCION DERIVADA DEL CONTRATO DE SEGURO.</w:t>
            </w:r>
          </w:p>
          <w:p w14:paraId="59B38F4B"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FALTA DE COBERTURA MATERIAL DE LA PÓLIZA DE SEGURO DE CUMPLIMIENTO EN FAVOR DE ENTIDADES PARTICULARES NO. AA010416 - IMPROCEDENCIA DE AFECTACIÓN DEL AMPARO DEL BUEN MANEJO DEL ANTICIPO- NO SE INCLUYE LA AMORTIZACIÓN.</w:t>
            </w:r>
          </w:p>
          <w:p w14:paraId="6E37BD45"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 xml:space="preserve">NO SE ENCUENTRA PROBADA LA OCURRENCIA DEL SINIESTRO DERIVADO DE LA PÓLIZA NO. AA010416, NI LA CUANTÍA DE LOS PERJUICIOS EN LOS TÉRMINOS DEL ARTÍCULO 1077 DEL CÓDIGO DE COMERCIO. </w:t>
            </w:r>
          </w:p>
          <w:p w14:paraId="20B2B45A"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FALTA DE COBERTURA DE FRENTE A RIESGOS EXPRESAMENTE EXCLUIDOS.</w:t>
            </w:r>
          </w:p>
          <w:p w14:paraId="4668FE36"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TERMINACIÓN AUTOMÁTICA DEL CONTRATO DE SEGURO Y, EN CONSECUENCIA, INEXISTENCIA DE OBLIGACIÓN INDEMNIZATORIA A CARGO DE ASEGURADORA, POR LA AGRAVACIÓN Y/O ALTERACIÓN DEL ESTADO DEL RIESGO Y LA AUSENCIA DE NOTIFICACIÓN AL ASEGURADOR, CONFORME LO ESTABLECE EL ARTÍCULO 1060 DEL CÓDIGO DE COMERCIO.</w:t>
            </w:r>
          </w:p>
          <w:p w14:paraId="57ADD90B"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 xml:space="preserve">FALTA DE COBERTURA DEL CONTRATO DE SEGURO FRENTE A LOS ACTOS DE LA ENTIDAD CONTRATANTE. LOS ACTOS MERAMENTE POTESTATIVOS DEL CONTRATANTE NO ESTÁN AMPARADOS EN LA PÓLIZA DE CUMPLIMENTO. </w:t>
            </w:r>
          </w:p>
          <w:p w14:paraId="0730C0F0"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 xml:space="preserve">CARÁCTER MERAMENTE INDEMNIZATORIO QUE REVISTEN LOS CONTRATOS DE SEGUROS. </w:t>
            </w:r>
          </w:p>
          <w:p w14:paraId="30856BEA"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EN CUALQUIER CASO, DE NINGUNA FORMA SE PODRÁ EXCEDER EL LÍMITE DEL VALOR ASEGURADO.</w:t>
            </w:r>
          </w:p>
          <w:p w14:paraId="2CB84086" w14:textId="77777777" w:rsidR="00CC42DF" w:rsidRPr="00CA70FF" w:rsidRDefault="00332371" w:rsidP="00CC42DF">
            <w:pPr>
              <w:pStyle w:val="Prrafodelista"/>
              <w:numPr>
                <w:ilvl w:val="0"/>
                <w:numId w:val="5"/>
              </w:numPr>
              <w:spacing w:line="276" w:lineRule="auto"/>
              <w:jc w:val="both"/>
              <w:rPr>
                <w:rFonts w:ascii="Century Gothic" w:hAnsi="Century Gothic"/>
                <w:sz w:val="22"/>
                <w:szCs w:val="22"/>
              </w:rPr>
            </w:pPr>
            <w:r w:rsidRPr="00CA70FF">
              <w:rPr>
                <w:rFonts w:ascii="Century Gothic" w:hAnsi="Century Gothic"/>
                <w:sz w:val="22"/>
                <w:szCs w:val="22"/>
              </w:rPr>
              <w:t>APLICACIÓN DE LA SUBROGACIÓN.</w:t>
            </w:r>
          </w:p>
          <w:p w14:paraId="204B1587"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 xml:space="preserve">IMPOSIBILIDAD DE AFECTAR LA PÓLIZA DE RESPONSABILIDAD CIVIL EXTRACONTRACTUAL NO. AA010417 ALLEGADA CON LA DEMANDA, POR CUANTO NO ESTÁ EN DISCUSIÓN ESTE TIPO DE RESPONSABILIDAD POR PARTE DE CONCORCIO ÉXITO. </w:t>
            </w:r>
          </w:p>
          <w:p w14:paraId="0B6AFDAF" w14:textId="77777777" w:rsidR="00332371" w:rsidRPr="00CA70FF" w:rsidRDefault="00332371" w:rsidP="00332371">
            <w:pPr>
              <w:pStyle w:val="Prrafodelista"/>
              <w:numPr>
                <w:ilvl w:val="0"/>
                <w:numId w:val="5"/>
              </w:numPr>
              <w:rPr>
                <w:rFonts w:ascii="Century Gothic" w:hAnsi="Century Gothic"/>
                <w:sz w:val="22"/>
                <w:szCs w:val="22"/>
              </w:rPr>
            </w:pPr>
            <w:r w:rsidRPr="00CA70FF">
              <w:rPr>
                <w:rFonts w:ascii="Century Gothic" w:hAnsi="Century Gothic"/>
                <w:sz w:val="22"/>
                <w:szCs w:val="22"/>
              </w:rPr>
              <w:t>EXCEPCIÓN GENÉRICA O INNOMINADA.</w:t>
            </w:r>
          </w:p>
          <w:p w14:paraId="52CE2D52" w14:textId="19F6D0E2" w:rsidR="00332371" w:rsidRPr="00CA70FF" w:rsidRDefault="00332371" w:rsidP="00332371">
            <w:pPr>
              <w:pStyle w:val="Prrafodelista"/>
              <w:spacing w:line="276" w:lineRule="auto"/>
              <w:ind w:left="1065"/>
              <w:jc w:val="both"/>
              <w:rPr>
                <w:rFonts w:ascii="Century Gothic" w:hAnsi="Century Gothic"/>
                <w:sz w:val="22"/>
                <w:szCs w:val="22"/>
              </w:rPr>
            </w:pPr>
          </w:p>
        </w:tc>
      </w:tr>
    </w:tbl>
    <w:p w14:paraId="0AA122B4" w14:textId="77777777" w:rsidR="00F67EF8" w:rsidRPr="00CA70FF"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3E4A17" w:rsidRPr="00CA70FF" w14:paraId="4B531C7D" w14:textId="77777777" w:rsidTr="40F7E47C">
        <w:trPr>
          <w:trHeight w:val="454"/>
        </w:trPr>
        <w:tc>
          <w:tcPr>
            <w:tcW w:w="3266" w:type="dxa"/>
            <w:vAlign w:val="center"/>
            <w:hideMark/>
          </w:tcPr>
          <w:p w14:paraId="3F99B56F" w14:textId="1315CCDB" w:rsidR="00EE687D" w:rsidRPr="00CA70FF" w:rsidRDefault="006F0CAA" w:rsidP="00EB6A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Siniestro</w:t>
            </w:r>
          </w:p>
        </w:tc>
        <w:tc>
          <w:tcPr>
            <w:tcW w:w="6941" w:type="dxa"/>
            <w:vAlign w:val="center"/>
            <w:hideMark/>
          </w:tcPr>
          <w:p w14:paraId="06D242A3" w14:textId="7AD8193D" w:rsidR="00EE687D" w:rsidRPr="00CA70FF" w:rsidRDefault="000D69B3" w:rsidP="00EB6A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10256770</w:t>
            </w:r>
          </w:p>
        </w:tc>
      </w:tr>
      <w:tr w:rsidR="003E4A17" w:rsidRPr="00CA70FF" w14:paraId="7A21B905" w14:textId="77777777" w:rsidTr="40F7E47C">
        <w:trPr>
          <w:trHeight w:val="454"/>
        </w:trPr>
        <w:tc>
          <w:tcPr>
            <w:tcW w:w="3266" w:type="dxa"/>
            <w:vAlign w:val="center"/>
          </w:tcPr>
          <w:p w14:paraId="533380A9" w14:textId="7103E52D" w:rsidR="006F0CAA" w:rsidRPr="00CA70FF" w:rsidRDefault="006F0CAA" w:rsidP="40F7E47C">
            <w:pPr>
              <w:jc w:val="both"/>
              <w:textAlignment w:val="baseline"/>
              <w:rPr>
                <w:rFonts w:ascii="Century Gothic" w:hAnsi="Century Gothic"/>
                <w:b/>
                <w:bCs/>
                <w:sz w:val="22"/>
                <w:szCs w:val="22"/>
                <w:shd w:val="clear" w:color="auto" w:fill="FFFFFF"/>
                <w:lang w:val="es-ES" w:eastAsia="es-CO"/>
              </w:rPr>
            </w:pPr>
            <w:r w:rsidRPr="00CA70FF">
              <w:rPr>
                <w:rFonts w:ascii="Century Gothic" w:hAnsi="Century Gothic"/>
                <w:b/>
                <w:bCs/>
                <w:sz w:val="22"/>
                <w:szCs w:val="22"/>
                <w:shd w:val="clear" w:color="auto" w:fill="FFFFFF"/>
                <w:lang w:val="es-ES" w:eastAsia="es-CO"/>
              </w:rPr>
              <w:t xml:space="preserve">Caso </w:t>
            </w:r>
            <w:proofErr w:type="spellStart"/>
            <w:r w:rsidRPr="00CA70FF">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11FDBD03" w:rsidR="006F0CAA" w:rsidRPr="00CA70FF" w:rsidRDefault="000D69B3" w:rsidP="00EB6A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139044</w:t>
            </w:r>
          </w:p>
        </w:tc>
      </w:tr>
      <w:tr w:rsidR="003E4A17" w:rsidRPr="00CA70FF" w14:paraId="00877764" w14:textId="77777777" w:rsidTr="40F7E47C">
        <w:trPr>
          <w:trHeight w:val="454"/>
        </w:trPr>
        <w:tc>
          <w:tcPr>
            <w:tcW w:w="3266" w:type="dxa"/>
            <w:vAlign w:val="center"/>
            <w:hideMark/>
          </w:tcPr>
          <w:p w14:paraId="749E810E" w14:textId="77777777" w:rsidR="00EE687D" w:rsidRPr="00CA70FF" w:rsidRDefault="00EE687D" w:rsidP="00EB6A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lastRenderedPageBreak/>
              <w:t>Póliza</w:t>
            </w:r>
          </w:p>
        </w:tc>
        <w:tc>
          <w:tcPr>
            <w:tcW w:w="6941" w:type="dxa"/>
            <w:vAlign w:val="center"/>
          </w:tcPr>
          <w:p w14:paraId="7FC9EC9E" w14:textId="419B3B83" w:rsidR="00EE687D" w:rsidRPr="00CA70FF" w:rsidRDefault="00051DC4" w:rsidP="00EB6A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AA010416</w:t>
            </w:r>
          </w:p>
        </w:tc>
      </w:tr>
      <w:tr w:rsidR="003E4A17" w:rsidRPr="00CA70FF" w14:paraId="3260B646" w14:textId="77777777" w:rsidTr="40F7E47C">
        <w:trPr>
          <w:trHeight w:val="454"/>
        </w:trPr>
        <w:tc>
          <w:tcPr>
            <w:tcW w:w="3266" w:type="dxa"/>
            <w:vAlign w:val="center"/>
            <w:hideMark/>
          </w:tcPr>
          <w:p w14:paraId="67FBF2E5" w14:textId="77777777" w:rsidR="00EE687D" w:rsidRPr="00CA70FF" w:rsidRDefault="00EE687D" w:rsidP="00EB6A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Certificado</w:t>
            </w:r>
          </w:p>
        </w:tc>
        <w:tc>
          <w:tcPr>
            <w:tcW w:w="6941" w:type="dxa"/>
            <w:vAlign w:val="center"/>
          </w:tcPr>
          <w:p w14:paraId="47A2248B" w14:textId="5EC859BD" w:rsidR="00EE687D" w:rsidRPr="00CA70FF" w:rsidRDefault="00051DC4" w:rsidP="00EB6A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AA108174</w:t>
            </w:r>
          </w:p>
        </w:tc>
      </w:tr>
      <w:tr w:rsidR="003E4A17" w:rsidRPr="00CA70FF" w14:paraId="0BC7C6A3" w14:textId="77777777" w:rsidTr="40F7E47C">
        <w:trPr>
          <w:trHeight w:val="454"/>
        </w:trPr>
        <w:tc>
          <w:tcPr>
            <w:tcW w:w="3266" w:type="dxa"/>
            <w:vAlign w:val="center"/>
            <w:hideMark/>
          </w:tcPr>
          <w:p w14:paraId="433D63BC" w14:textId="77777777" w:rsidR="00EE687D" w:rsidRPr="00CA70FF" w:rsidRDefault="00EE687D" w:rsidP="00EB6A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Orden</w:t>
            </w:r>
          </w:p>
        </w:tc>
        <w:tc>
          <w:tcPr>
            <w:tcW w:w="6941" w:type="dxa"/>
            <w:vAlign w:val="center"/>
          </w:tcPr>
          <w:p w14:paraId="25280801" w14:textId="4E48CE97" w:rsidR="00EE687D" w:rsidRPr="00CA70FF" w:rsidRDefault="000D69B3" w:rsidP="00EB6A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1</w:t>
            </w:r>
          </w:p>
        </w:tc>
      </w:tr>
      <w:tr w:rsidR="003E4A17" w:rsidRPr="00CA70FF" w14:paraId="3ACEF28A" w14:textId="77777777" w:rsidTr="40F7E47C">
        <w:trPr>
          <w:trHeight w:val="454"/>
        </w:trPr>
        <w:tc>
          <w:tcPr>
            <w:tcW w:w="3266" w:type="dxa"/>
            <w:vAlign w:val="center"/>
          </w:tcPr>
          <w:p w14:paraId="0881BFDC" w14:textId="40C44F4A" w:rsidR="00B90E05" w:rsidRPr="00CA70FF" w:rsidRDefault="00B90E05" w:rsidP="00EB6AB4">
            <w:pPr>
              <w:jc w:val="both"/>
              <w:textAlignment w:val="baseline"/>
              <w:rPr>
                <w:rFonts w:ascii="Century Gothic" w:hAnsi="Century Gothic"/>
                <w:b/>
                <w:bCs/>
                <w:sz w:val="22"/>
                <w:szCs w:val="22"/>
                <w:shd w:val="clear" w:color="auto" w:fill="FFFFFF"/>
                <w:lang w:eastAsia="es-CO"/>
              </w:rPr>
            </w:pPr>
            <w:r w:rsidRPr="00CA70FF">
              <w:rPr>
                <w:rFonts w:ascii="Century Gothic" w:hAnsi="Century Gothic"/>
                <w:b/>
                <w:bCs/>
                <w:sz w:val="22"/>
                <w:szCs w:val="22"/>
                <w:shd w:val="clear" w:color="auto" w:fill="FFFFFF"/>
                <w:lang w:eastAsia="es-CO"/>
              </w:rPr>
              <w:t>Sucursal</w:t>
            </w:r>
          </w:p>
        </w:tc>
        <w:tc>
          <w:tcPr>
            <w:tcW w:w="6941" w:type="dxa"/>
            <w:vAlign w:val="center"/>
          </w:tcPr>
          <w:p w14:paraId="74AA0D59" w14:textId="4C37FF15" w:rsidR="00B90E05" w:rsidRPr="00CA70FF" w:rsidRDefault="000D69B3" w:rsidP="00EB6A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100033</w:t>
            </w:r>
          </w:p>
        </w:tc>
      </w:tr>
      <w:tr w:rsidR="003E4A17" w:rsidRPr="00CA70FF" w14:paraId="4BCD09C7" w14:textId="77777777" w:rsidTr="40F7E47C">
        <w:trPr>
          <w:trHeight w:val="454"/>
        </w:trPr>
        <w:tc>
          <w:tcPr>
            <w:tcW w:w="3266" w:type="dxa"/>
            <w:vAlign w:val="center"/>
            <w:hideMark/>
          </w:tcPr>
          <w:p w14:paraId="0A1C1E81" w14:textId="17519C67" w:rsidR="00EE687D" w:rsidRPr="00CA70FF" w:rsidRDefault="001C44B4" w:rsidP="00EB6A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Placa del vehículo</w:t>
            </w:r>
          </w:p>
        </w:tc>
        <w:tc>
          <w:tcPr>
            <w:tcW w:w="6941" w:type="dxa"/>
            <w:vAlign w:val="center"/>
          </w:tcPr>
          <w:p w14:paraId="73CAF2AF" w14:textId="0C8D5EAC" w:rsidR="00EE687D" w:rsidRPr="00CA70FF" w:rsidRDefault="000D69B3" w:rsidP="00EB6A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NO APLICA</w:t>
            </w:r>
          </w:p>
        </w:tc>
      </w:tr>
      <w:tr w:rsidR="003E4A17" w:rsidRPr="00CA70FF" w14:paraId="0BA9ECEE" w14:textId="77777777" w:rsidTr="40F7E47C">
        <w:trPr>
          <w:trHeight w:val="454"/>
        </w:trPr>
        <w:tc>
          <w:tcPr>
            <w:tcW w:w="3266" w:type="dxa"/>
            <w:vAlign w:val="center"/>
          </w:tcPr>
          <w:p w14:paraId="7B70AF59" w14:textId="749D67BE" w:rsidR="001C44B4" w:rsidRPr="00CA70FF" w:rsidRDefault="001C44B4" w:rsidP="001C44B4">
            <w:pPr>
              <w:jc w:val="both"/>
              <w:textAlignment w:val="baseline"/>
              <w:rPr>
                <w:rFonts w:ascii="Century Gothic" w:hAnsi="Century Gothic"/>
                <w:b/>
                <w:bCs/>
                <w:sz w:val="22"/>
                <w:szCs w:val="22"/>
                <w:shd w:val="clear" w:color="auto" w:fill="FFFFFF"/>
                <w:lang w:eastAsia="es-CO"/>
              </w:rPr>
            </w:pPr>
            <w:r w:rsidRPr="00CA70FF">
              <w:rPr>
                <w:rFonts w:ascii="Century Gothic" w:hAnsi="Century Gothic"/>
                <w:b/>
                <w:bCs/>
                <w:sz w:val="22"/>
                <w:szCs w:val="22"/>
                <w:shd w:val="clear" w:color="auto" w:fill="FFFFFF"/>
                <w:lang w:eastAsia="es-CO"/>
              </w:rPr>
              <w:t>Fecha del siniestro</w:t>
            </w:r>
          </w:p>
        </w:tc>
        <w:tc>
          <w:tcPr>
            <w:tcW w:w="6941" w:type="dxa"/>
            <w:vAlign w:val="center"/>
          </w:tcPr>
          <w:p w14:paraId="2D03F3BA" w14:textId="2C8509D5" w:rsidR="001C44B4" w:rsidRPr="00CA70FF" w:rsidRDefault="000D69B3"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23/05/2022</w:t>
            </w:r>
          </w:p>
        </w:tc>
      </w:tr>
      <w:tr w:rsidR="003E4A17" w:rsidRPr="00CA70FF" w14:paraId="05412033" w14:textId="77777777" w:rsidTr="40F7E47C">
        <w:trPr>
          <w:trHeight w:val="454"/>
        </w:trPr>
        <w:tc>
          <w:tcPr>
            <w:tcW w:w="3266" w:type="dxa"/>
            <w:vAlign w:val="center"/>
          </w:tcPr>
          <w:p w14:paraId="43E688BB" w14:textId="54B02C3E" w:rsidR="001C44B4" w:rsidRPr="00CA70FF" w:rsidRDefault="001C44B4" w:rsidP="001C44B4">
            <w:pPr>
              <w:jc w:val="both"/>
              <w:textAlignment w:val="baseline"/>
              <w:rPr>
                <w:rFonts w:ascii="Century Gothic" w:hAnsi="Century Gothic"/>
                <w:b/>
                <w:bCs/>
                <w:sz w:val="22"/>
                <w:szCs w:val="22"/>
                <w:shd w:val="clear" w:color="auto" w:fill="FFFFFF"/>
                <w:lang w:eastAsia="es-CO"/>
              </w:rPr>
            </w:pPr>
            <w:r w:rsidRPr="00CA70FF">
              <w:rPr>
                <w:rFonts w:ascii="Century Gothic" w:hAnsi="Century Gothic"/>
                <w:b/>
                <w:bCs/>
                <w:sz w:val="22"/>
                <w:szCs w:val="22"/>
                <w:shd w:val="clear" w:color="auto" w:fill="FFFFFF"/>
                <w:lang w:eastAsia="es-CO"/>
              </w:rPr>
              <w:t>Fecha del aviso</w:t>
            </w:r>
          </w:p>
        </w:tc>
        <w:tc>
          <w:tcPr>
            <w:tcW w:w="6941" w:type="dxa"/>
            <w:vAlign w:val="center"/>
          </w:tcPr>
          <w:p w14:paraId="7E184CA4" w14:textId="303C3F5B" w:rsidR="001C44B4" w:rsidRPr="00CA70FF" w:rsidRDefault="000D69B3"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08/01/2022</w:t>
            </w:r>
          </w:p>
        </w:tc>
      </w:tr>
      <w:tr w:rsidR="003E4A17" w:rsidRPr="00CA70FF" w14:paraId="6DB6B020" w14:textId="77777777" w:rsidTr="40F7E47C">
        <w:trPr>
          <w:trHeight w:val="454"/>
        </w:trPr>
        <w:tc>
          <w:tcPr>
            <w:tcW w:w="3266" w:type="dxa"/>
            <w:vAlign w:val="center"/>
          </w:tcPr>
          <w:p w14:paraId="13FCE7D8" w14:textId="6EA7D194" w:rsidR="001C44B4" w:rsidRPr="00CA70FF" w:rsidRDefault="001C44B4" w:rsidP="001C44B4">
            <w:pPr>
              <w:jc w:val="both"/>
              <w:textAlignment w:val="baseline"/>
              <w:rPr>
                <w:rFonts w:ascii="Century Gothic" w:hAnsi="Century Gothic"/>
                <w:b/>
                <w:bCs/>
                <w:sz w:val="22"/>
                <w:szCs w:val="22"/>
                <w:shd w:val="clear" w:color="auto" w:fill="FFFFFF"/>
                <w:lang w:eastAsia="es-CO"/>
              </w:rPr>
            </w:pPr>
            <w:r w:rsidRPr="00CA70FF">
              <w:rPr>
                <w:rFonts w:ascii="Century Gothic" w:hAnsi="Century Gothic"/>
                <w:b/>
                <w:bCs/>
                <w:sz w:val="22"/>
                <w:szCs w:val="22"/>
                <w:shd w:val="clear" w:color="auto" w:fill="FFFFFF"/>
                <w:lang w:eastAsia="es-CO"/>
              </w:rPr>
              <w:t>Colocación de reaseguro</w:t>
            </w:r>
          </w:p>
        </w:tc>
        <w:tc>
          <w:tcPr>
            <w:tcW w:w="6941" w:type="dxa"/>
            <w:vAlign w:val="center"/>
          </w:tcPr>
          <w:p w14:paraId="6857070F" w14:textId="3C76E849" w:rsidR="001C44B4" w:rsidRPr="00CA70FF" w:rsidRDefault="000D69B3"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CUOTA PARTE</w:t>
            </w:r>
          </w:p>
        </w:tc>
      </w:tr>
      <w:tr w:rsidR="003E4A17" w:rsidRPr="00CA70FF" w14:paraId="2F1DA9E6" w14:textId="77777777" w:rsidTr="40F7E47C">
        <w:trPr>
          <w:trHeight w:val="454"/>
        </w:trPr>
        <w:tc>
          <w:tcPr>
            <w:tcW w:w="3266" w:type="dxa"/>
            <w:vAlign w:val="center"/>
          </w:tcPr>
          <w:p w14:paraId="3ECF2237" w14:textId="5FB6285C" w:rsidR="001C44B4" w:rsidRPr="00CA70FF" w:rsidRDefault="008B685D" w:rsidP="001C44B4">
            <w:pPr>
              <w:jc w:val="both"/>
              <w:textAlignment w:val="baseline"/>
              <w:rPr>
                <w:rFonts w:ascii="Century Gothic" w:hAnsi="Century Gothic"/>
                <w:b/>
                <w:bCs/>
                <w:sz w:val="22"/>
                <w:szCs w:val="22"/>
                <w:shd w:val="clear" w:color="auto" w:fill="FFFFFF"/>
                <w:lang w:eastAsia="es-CO"/>
              </w:rPr>
            </w:pPr>
            <w:r w:rsidRPr="00CA70FF">
              <w:rPr>
                <w:rFonts w:ascii="Century Gothic" w:hAnsi="Century Gothic"/>
                <w:b/>
                <w:bCs/>
                <w:sz w:val="22"/>
                <w:szCs w:val="22"/>
                <w:shd w:val="clear" w:color="auto" w:fill="FFFFFF"/>
                <w:lang w:eastAsia="es-CO"/>
              </w:rPr>
              <w:t>Tomador</w:t>
            </w:r>
          </w:p>
        </w:tc>
        <w:tc>
          <w:tcPr>
            <w:tcW w:w="6941" w:type="dxa"/>
            <w:vAlign w:val="center"/>
          </w:tcPr>
          <w:p w14:paraId="2B607964" w14:textId="45F4009A" w:rsidR="001C44B4" w:rsidRPr="00CA70FF" w:rsidRDefault="00051DC4" w:rsidP="001C44B4">
            <w:pPr>
              <w:jc w:val="both"/>
              <w:rPr>
                <w:rFonts w:ascii="Century Gothic" w:hAnsi="Century Gothic" w:cs="Segoe UI"/>
                <w:sz w:val="22"/>
                <w:szCs w:val="22"/>
                <w:lang w:eastAsia="es-CO"/>
              </w:rPr>
            </w:pPr>
            <w:r w:rsidRPr="00CA70FF">
              <w:rPr>
                <w:rFonts w:ascii="Century Gothic" w:eastAsia="Times New Roman" w:hAnsi="Century Gothic" w:cs="Arial"/>
                <w:sz w:val="22"/>
                <w:szCs w:val="22"/>
                <w:bdr w:val="none" w:sz="0" w:space="0" w:color="auto" w:frame="1"/>
                <w:lang w:val="es-CO" w:eastAsia="es-CO"/>
              </w:rPr>
              <w:t>CONSORCIO ÉXITO</w:t>
            </w:r>
          </w:p>
        </w:tc>
      </w:tr>
      <w:tr w:rsidR="003E4A17" w:rsidRPr="00CA70FF" w14:paraId="1165CBE1" w14:textId="77777777" w:rsidTr="40F7E47C">
        <w:trPr>
          <w:trHeight w:val="454"/>
        </w:trPr>
        <w:tc>
          <w:tcPr>
            <w:tcW w:w="3266" w:type="dxa"/>
            <w:vAlign w:val="center"/>
          </w:tcPr>
          <w:p w14:paraId="640F2169" w14:textId="4903327C" w:rsidR="001C44B4" w:rsidRPr="00CA70FF" w:rsidRDefault="008B685D" w:rsidP="001C44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Asegurado</w:t>
            </w:r>
          </w:p>
        </w:tc>
        <w:tc>
          <w:tcPr>
            <w:tcW w:w="6941" w:type="dxa"/>
            <w:vAlign w:val="center"/>
          </w:tcPr>
          <w:p w14:paraId="3381B0BB" w14:textId="3746BD61" w:rsidR="001C44B4" w:rsidRPr="00CA70FF" w:rsidRDefault="000D69B3"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PATRIMONIO AUTÓNOMO FONDO DE SEGURIDAD VIAL</w:t>
            </w:r>
          </w:p>
        </w:tc>
      </w:tr>
      <w:tr w:rsidR="003E4A17" w:rsidRPr="00CA70FF" w14:paraId="513C2A8D" w14:textId="77777777" w:rsidTr="40F7E47C">
        <w:trPr>
          <w:trHeight w:val="454"/>
        </w:trPr>
        <w:tc>
          <w:tcPr>
            <w:tcW w:w="3266" w:type="dxa"/>
            <w:vAlign w:val="center"/>
            <w:hideMark/>
          </w:tcPr>
          <w:p w14:paraId="5E1FDA28" w14:textId="16DB1B8E" w:rsidR="001C44B4" w:rsidRPr="00CA70FF" w:rsidRDefault="008B685D" w:rsidP="001C44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Ramo</w:t>
            </w:r>
          </w:p>
        </w:tc>
        <w:tc>
          <w:tcPr>
            <w:tcW w:w="6941" w:type="dxa"/>
            <w:vAlign w:val="center"/>
          </w:tcPr>
          <w:p w14:paraId="0701202E" w14:textId="3A090802" w:rsidR="001C44B4" w:rsidRPr="00CA70FF" w:rsidRDefault="00051DC4"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 xml:space="preserve">CUMPLIMIENTO </w:t>
            </w:r>
            <w:r w:rsidR="000D69B3" w:rsidRPr="00CA70FF">
              <w:rPr>
                <w:rFonts w:ascii="Century Gothic" w:hAnsi="Century Gothic" w:cs="Segoe UI"/>
                <w:sz w:val="22"/>
                <w:szCs w:val="22"/>
                <w:lang w:eastAsia="es-CO"/>
              </w:rPr>
              <w:t>PARTICULAR</w:t>
            </w:r>
          </w:p>
        </w:tc>
      </w:tr>
      <w:tr w:rsidR="003E4A17" w:rsidRPr="00CA70FF" w14:paraId="2F8ECFA3" w14:textId="77777777" w:rsidTr="40F7E47C">
        <w:trPr>
          <w:trHeight w:val="454"/>
        </w:trPr>
        <w:tc>
          <w:tcPr>
            <w:tcW w:w="3266" w:type="dxa"/>
            <w:vAlign w:val="center"/>
            <w:hideMark/>
          </w:tcPr>
          <w:p w14:paraId="0C3932A6" w14:textId="2792643B" w:rsidR="001C44B4" w:rsidRPr="00CA70FF" w:rsidRDefault="008B685D" w:rsidP="001C44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Cobertura</w:t>
            </w:r>
          </w:p>
        </w:tc>
        <w:tc>
          <w:tcPr>
            <w:tcW w:w="6941" w:type="dxa"/>
            <w:vAlign w:val="center"/>
          </w:tcPr>
          <w:p w14:paraId="0958D277" w14:textId="48791D01" w:rsidR="001C44B4" w:rsidRPr="00CA70FF" w:rsidRDefault="00051DC4"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BUEN MANEJO Y CORRECTA INVERSIÓN DEL ANTICIPO</w:t>
            </w:r>
          </w:p>
        </w:tc>
      </w:tr>
      <w:tr w:rsidR="003E4A17" w:rsidRPr="00CA70FF" w14:paraId="59B4A554" w14:textId="77777777" w:rsidTr="40F7E47C">
        <w:trPr>
          <w:trHeight w:val="454"/>
        </w:trPr>
        <w:tc>
          <w:tcPr>
            <w:tcW w:w="3266" w:type="dxa"/>
            <w:vAlign w:val="center"/>
            <w:hideMark/>
          </w:tcPr>
          <w:p w14:paraId="0412A958" w14:textId="77777777" w:rsidR="001C44B4" w:rsidRPr="00CA70FF" w:rsidRDefault="001C44B4" w:rsidP="001C44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Valor asegurado</w:t>
            </w:r>
          </w:p>
        </w:tc>
        <w:tc>
          <w:tcPr>
            <w:tcW w:w="6941" w:type="dxa"/>
            <w:vAlign w:val="center"/>
          </w:tcPr>
          <w:p w14:paraId="5AF73B8E" w14:textId="4339E379" w:rsidR="001C44B4" w:rsidRPr="00CA70FF" w:rsidRDefault="00051DC4"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$22.645.68</w:t>
            </w:r>
            <w:r w:rsidR="000D69B3" w:rsidRPr="00CA70FF">
              <w:rPr>
                <w:rFonts w:ascii="Century Gothic" w:hAnsi="Century Gothic" w:cs="Segoe UI"/>
                <w:sz w:val="22"/>
                <w:szCs w:val="22"/>
                <w:lang w:eastAsia="es-CO"/>
              </w:rPr>
              <w:t>1</w:t>
            </w:r>
          </w:p>
        </w:tc>
      </w:tr>
      <w:tr w:rsidR="003E4A17" w:rsidRPr="00CA70FF" w14:paraId="2F24D88E" w14:textId="77777777" w:rsidTr="40F7E47C">
        <w:trPr>
          <w:trHeight w:val="454"/>
        </w:trPr>
        <w:tc>
          <w:tcPr>
            <w:tcW w:w="3266" w:type="dxa"/>
            <w:vAlign w:val="center"/>
          </w:tcPr>
          <w:p w14:paraId="0E72F2CD" w14:textId="1A6BE851" w:rsidR="001129B6" w:rsidRPr="00CA70FF" w:rsidRDefault="001129B6" w:rsidP="001C44B4">
            <w:pPr>
              <w:jc w:val="both"/>
              <w:textAlignment w:val="baseline"/>
              <w:rPr>
                <w:rFonts w:ascii="Century Gothic" w:hAnsi="Century Gothic"/>
                <w:b/>
                <w:bCs/>
                <w:sz w:val="22"/>
                <w:szCs w:val="22"/>
                <w:shd w:val="clear" w:color="auto" w:fill="FFFFFF"/>
                <w:lang w:eastAsia="es-CO"/>
              </w:rPr>
            </w:pPr>
            <w:r w:rsidRPr="00CA70FF">
              <w:rPr>
                <w:rFonts w:ascii="Century Gothic" w:hAnsi="Century Gothic"/>
                <w:b/>
                <w:bCs/>
                <w:sz w:val="22"/>
                <w:szCs w:val="22"/>
                <w:shd w:val="clear" w:color="auto" w:fill="FFFFFF"/>
                <w:lang w:eastAsia="es-CO"/>
              </w:rPr>
              <w:t>Audiencia prejudicial</w:t>
            </w:r>
          </w:p>
        </w:tc>
        <w:tc>
          <w:tcPr>
            <w:tcW w:w="6941" w:type="dxa"/>
            <w:vAlign w:val="center"/>
          </w:tcPr>
          <w:p w14:paraId="6AD9587E" w14:textId="52992509" w:rsidR="001129B6" w:rsidRPr="00CA70FF" w:rsidRDefault="00051DC4"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NO</w:t>
            </w:r>
          </w:p>
        </w:tc>
      </w:tr>
      <w:tr w:rsidR="003E4A17" w:rsidRPr="00CA70FF" w14:paraId="658B9E4D" w14:textId="77777777" w:rsidTr="40F7E47C">
        <w:trPr>
          <w:trHeight w:val="454"/>
        </w:trPr>
        <w:tc>
          <w:tcPr>
            <w:tcW w:w="3266" w:type="dxa"/>
            <w:vAlign w:val="center"/>
            <w:hideMark/>
          </w:tcPr>
          <w:p w14:paraId="02377331" w14:textId="79A3F98F" w:rsidR="001C44B4" w:rsidRPr="00CA70FF" w:rsidRDefault="002633C0" w:rsidP="001C44B4">
            <w:pPr>
              <w:jc w:val="both"/>
              <w:textAlignment w:val="baseline"/>
              <w:rPr>
                <w:rFonts w:ascii="Century Gothic" w:hAnsi="Century Gothic" w:cs="Segoe UI"/>
                <w:sz w:val="22"/>
                <w:szCs w:val="22"/>
                <w:lang w:eastAsia="es-CO"/>
              </w:rPr>
            </w:pPr>
            <w:r w:rsidRPr="00CA70FF">
              <w:rPr>
                <w:rFonts w:ascii="Century Gothic" w:hAnsi="Century Gothic"/>
                <w:b/>
                <w:bCs/>
                <w:sz w:val="22"/>
                <w:szCs w:val="22"/>
                <w:shd w:val="clear" w:color="auto" w:fill="FFFFFF"/>
                <w:lang w:eastAsia="es-CO"/>
              </w:rPr>
              <w:t>Ofrecimiento previo</w:t>
            </w:r>
          </w:p>
        </w:tc>
        <w:tc>
          <w:tcPr>
            <w:tcW w:w="6941" w:type="dxa"/>
            <w:vAlign w:val="center"/>
          </w:tcPr>
          <w:p w14:paraId="244AD2F4" w14:textId="7DB02D14" w:rsidR="001C44B4" w:rsidRPr="00CA70FF" w:rsidRDefault="000D69B3" w:rsidP="001C44B4">
            <w:pPr>
              <w:jc w:val="both"/>
              <w:rPr>
                <w:rFonts w:ascii="Century Gothic" w:hAnsi="Century Gothic" w:cs="Segoe UI"/>
                <w:sz w:val="22"/>
                <w:szCs w:val="22"/>
                <w:lang w:eastAsia="es-CO"/>
              </w:rPr>
            </w:pPr>
            <w:r w:rsidRPr="00CA70FF">
              <w:rPr>
                <w:rFonts w:ascii="Century Gothic" w:hAnsi="Century Gothic" w:cs="Segoe UI"/>
                <w:sz w:val="22"/>
                <w:szCs w:val="22"/>
                <w:lang w:eastAsia="es-CO"/>
              </w:rPr>
              <w:t>$0</w:t>
            </w:r>
          </w:p>
        </w:tc>
      </w:tr>
    </w:tbl>
    <w:p w14:paraId="397A1D68" w14:textId="77777777" w:rsidR="003B44CB" w:rsidRPr="00CA70FF" w:rsidRDefault="003B44CB" w:rsidP="003314A2">
      <w:pPr>
        <w:spacing w:line="360" w:lineRule="auto"/>
        <w:rPr>
          <w:rFonts w:ascii="Century Gothic" w:hAnsi="Century Gothic"/>
          <w:color w:val="FF0000"/>
          <w:sz w:val="22"/>
          <w:szCs w:val="22"/>
        </w:rPr>
      </w:pPr>
    </w:p>
    <w:p w14:paraId="61F56879" w14:textId="77777777" w:rsidR="0095378E" w:rsidRPr="00CA70FF"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3E4A17" w:rsidRPr="00CA70FF" w14:paraId="49B1F103" w14:textId="77777777" w:rsidTr="00BA1E5F">
        <w:tc>
          <w:tcPr>
            <w:tcW w:w="3687" w:type="dxa"/>
          </w:tcPr>
          <w:p w14:paraId="673B76C6" w14:textId="23992614" w:rsidR="002633C0" w:rsidRPr="00CA70FF" w:rsidRDefault="00BA1E5F" w:rsidP="003314A2">
            <w:pPr>
              <w:spacing w:line="360" w:lineRule="auto"/>
              <w:rPr>
                <w:rFonts w:ascii="Century Gothic" w:hAnsi="Century Gothic"/>
                <w:sz w:val="22"/>
                <w:szCs w:val="22"/>
              </w:rPr>
            </w:pPr>
            <w:r w:rsidRPr="00CA70FF">
              <w:rPr>
                <w:rFonts w:ascii="Century Gothic" w:hAnsi="Century Gothic"/>
                <w:b/>
                <w:bCs/>
                <w:sz w:val="22"/>
                <w:szCs w:val="22"/>
              </w:rPr>
              <w:t>Calificación de la contingencia</w:t>
            </w:r>
          </w:p>
        </w:tc>
        <w:tc>
          <w:tcPr>
            <w:tcW w:w="6520" w:type="dxa"/>
          </w:tcPr>
          <w:p w14:paraId="6F4874B3" w14:textId="548F81BF" w:rsidR="002633C0" w:rsidRPr="00CA70FF" w:rsidRDefault="001E0B01" w:rsidP="003314A2">
            <w:pPr>
              <w:spacing w:line="360" w:lineRule="auto"/>
              <w:rPr>
                <w:rFonts w:ascii="Century Gothic" w:hAnsi="Century Gothic"/>
                <w:sz w:val="22"/>
                <w:szCs w:val="22"/>
              </w:rPr>
            </w:pPr>
            <w:r w:rsidRPr="00CA70FF">
              <w:rPr>
                <w:rFonts w:ascii="Century Gothic" w:hAnsi="Century Gothic"/>
                <w:sz w:val="22"/>
                <w:szCs w:val="22"/>
              </w:rPr>
              <w:t>REMOTA</w:t>
            </w:r>
          </w:p>
        </w:tc>
      </w:tr>
      <w:tr w:rsidR="003E4A17" w:rsidRPr="00CA70FF" w14:paraId="47B026EC" w14:textId="77777777" w:rsidTr="00BA1E5F">
        <w:tc>
          <w:tcPr>
            <w:tcW w:w="3687" w:type="dxa"/>
          </w:tcPr>
          <w:p w14:paraId="4A77CED7" w14:textId="00C97735" w:rsidR="002633C0" w:rsidRPr="00CA70FF" w:rsidRDefault="00BA1E5F" w:rsidP="003314A2">
            <w:pPr>
              <w:spacing w:line="360" w:lineRule="auto"/>
              <w:rPr>
                <w:rFonts w:ascii="Century Gothic" w:hAnsi="Century Gothic"/>
                <w:b/>
                <w:bCs/>
                <w:sz w:val="22"/>
                <w:szCs w:val="22"/>
              </w:rPr>
            </w:pPr>
            <w:r w:rsidRPr="00CA70FF">
              <w:rPr>
                <w:rFonts w:ascii="Century Gothic" w:hAnsi="Century Gothic"/>
                <w:b/>
                <w:bCs/>
                <w:sz w:val="22"/>
                <w:szCs w:val="22"/>
              </w:rPr>
              <w:t xml:space="preserve">Reserva sugerida: </w:t>
            </w:r>
          </w:p>
        </w:tc>
        <w:tc>
          <w:tcPr>
            <w:tcW w:w="6520" w:type="dxa"/>
          </w:tcPr>
          <w:p w14:paraId="7146E445" w14:textId="45EFE518" w:rsidR="002633C0" w:rsidRPr="00CA70FF" w:rsidRDefault="000D69B3" w:rsidP="003314A2">
            <w:pPr>
              <w:spacing w:line="360" w:lineRule="auto"/>
              <w:rPr>
                <w:rFonts w:ascii="Century Gothic" w:hAnsi="Century Gothic"/>
                <w:sz w:val="22"/>
                <w:szCs w:val="22"/>
              </w:rPr>
            </w:pPr>
            <w:r w:rsidRPr="00CA70FF">
              <w:rPr>
                <w:rFonts w:ascii="Century Gothic" w:hAnsi="Century Gothic"/>
                <w:sz w:val="22"/>
                <w:szCs w:val="22"/>
              </w:rPr>
              <w:t>$ 7.272.134 (Corresponde a un 40% de la liquidación objetivada).</w:t>
            </w:r>
          </w:p>
        </w:tc>
      </w:tr>
      <w:tr w:rsidR="003E4A17" w:rsidRPr="00CA70FF" w14:paraId="22F780E0" w14:textId="77777777" w:rsidTr="008B59F4">
        <w:tc>
          <w:tcPr>
            <w:tcW w:w="10207" w:type="dxa"/>
            <w:gridSpan w:val="2"/>
            <w:shd w:val="clear" w:color="auto" w:fill="C5E0B3" w:themeFill="accent6" w:themeFillTint="66"/>
            <w:vAlign w:val="center"/>
          </w:tcPr>
          <w:p w14:paraId="2E984764" w14:textId="51214522" w:rsidR="00BA1E5F" w:rsidRPr="00CA70FF" w:rsidRDefault="00BA1E5F" w:rsidP="00BA1E5F">
            <w:pPr>
              <w:spacing w:line="360" w:lineRule="auto"/>
              <w:jc w:val="center"/>
              <w:rPr>
                <w:rFonts w:ascii="Century Gothic" w:hAnsi="Century Gothic"/>
                <w:sz w:val="22"/>
                <w:szCs w:val="22"/>
              </w:rPr>
            </w:pPr>
            <w:r w:rsidRPr="00CA70FF">
              <w:rPr>
                <w:rFonts w:ascii="Century Gothic" w:hAnsi="Century Gothic"/>
                <w:b/>
                <w:bCs/>
                <w:sz w:val="22"/>
                <w:szCs w:val="22"/>
              </w:rPr>
              <w:t>Concepto del apoderado</w:t>
            </w:r>
          </w:p>
        </w:tc>
      </w:tr>
      <w:tr w:rsidR="003E4A17" w:rsidRPr="00CA70FF" w14:paraId="4C51FAC2" w14:textId="77777777" w:rsidTr="0008262B">
        <w:trPr>
          <w:trHeight w:val="708"/>
        </w:trPr>
        <w:tc>
          <w:tcPr>
            <w:tcW w:w="10207" w:type="dxa"/>
            <w:gridSpan w:val="2"/>
            <w:vAlign w:val="center"/>
          </w:tcPr>
          <w:p w14:paraId="39FE5F38" w14:textId="7F270EDA" w:rsidR="001E0B01" w:rsidRPr="00CA70FF" w:rsidRDefault="001E0B01" w:rsidP="001E0B01">
            <w:pPr>
              <w:spacing w:line="360" w:lineRule="auto"/>
              <w:jc w:val="both"/>
              <w:rPr>
                <w:rFonts w:ascii="Century Gothic" w:hAnsi="Century Gothic"/>
                <w:sz w:val="22"/>
                <w:szCs w:val="22"/>
              </w:rPr>
            </w:pPr>
            <w:r w:rsidRPr="00CA70FF">
              <w:rPr>
                <w:rFonts w:ascii="Century Gothic" w:hAnsi="Century Gothic"/>
                <w:sz w:val="22"/>
                <w:szCs w:val="22"/>
              </w:rPr>
              <w:t>La contingencia se califica como REMOTA teniendo en cuenta que la acción derivada del contrato de seguro se encuentra prescrita</w:t>
            </w:r>
            <w:r w:rsidR="00517BA8" w:rsidRPr="00CA70FF">
              <w:rPr>
                <w:rFonts w:ascii="Century Gothic" w:hAnsi="Century Gothic"/>
                <w:sz w:val="22"/>
                <w:szCs w:val="22"/>
              </w:rPr>
              <w:t>. A</w:t>
            </w:r>
            <w:r w:rsidR="00727FC3" w:rsidRPr="00CA70FF">
              <w:rPr>
                <w:rFonts w:ascii="Century Gothic" w:hAnsi="Century Gothic"/>
                <w:sz w:val="22"/>
                <w:szCs w:val="22"/>
              </w:rPr>
              <w:t>demás</w:t>
            </w:r>
            <w:r w:rsidR="00517BA8" w:rsidRPr="00CA70FF">
              <w:rPr>
                <w:rFonts w:ascii="Century Gothic" w:hAnsi="Century Gothic"/>
                <w:sz w:val="22"/>
                <w:szCs w:val="22"/>
              </w:rPr>
              <w:t>,</w:t>
            </w:r>
            <w:r w:rsidR="00727FC3" w:rsidRPr="00CA70FF">
              <w:rPr>
                <w:rFonts w:ascii="Century Gothic" w:hAnsi="Century Gothic"/>
                <w:sz w:val="22"/>
                <w:szCs w:val="22"/>
              </w:rPr>
              <w:t xml:space="preserve"> </w:t>
            </w:r>
            <w:r w:rsidR="00517BA8" w:rsidRPr="00CA70FF">
              <w:rPr>
                <w:rFonts w:ascii="Century Gothic" w:hAnsi="Century Gothic"/>
                <w:sz w:val="22"/>
                <w:szCs w:val="22"/>
              </w:rPr>
              <w:t xml:space="preserve">la póliza no presta cobertura material para los hechos y pretensiones de la demanda.  </w:t>
            </w:r>
          </w:p>
          <w:p w14:paraId="6E97B5F1" w14:textId="77777777" w:rsidR="001E0B01" w:rsidRPr="00CA70FF" w:rsidRDefault="001E0B01" w:rsidP="001E0B01">
            <w:pPr>
              <w:spacing w:line="360" w:lineRule="auto"/>
              <w:jc w:val="both"/>
              <w:rPr>
                <w:rFonts w:ascii="Century Gothic" w:hAnsi="Century Gothic"/>
                <w:color w:val="FF0000"/>
                <w:sz w:val="22"/>
                <w:szCs w:val="22"/>
              </w:rPr>
            </w:pPr>
          </w:p>
          <w:p w14:paraId="4D2BCD25" w14:textId="3A043904" w:rsidR="001E0B01" w:rsidRPr="00CA70FF" w:rsidRDefault="00517BA8" w:rsidP="00FC6AC3">
            <w:pPr>
              <w:spacing w:line="360" w:lineRule="auto"/>
              <w:jc w:val="both"/>
              <w:rPr>
                <w:rFonts w:ascii="Century Gothic" w:hAnsi="Century Gothic"/>
                <w:sz w:val="22"/>
                <w:szCs w:val="22"/>
              </w:rPr>
            </w:pPr>
            <w:r w:rsidRPr="00CA70FF">
              <w:rPr>
                <w:rFonts w:ascii="Century Gothic" w:hAnsi="Century Gothic"/>
                <w:sz w:val="22"/>
                <w:szCs w:val="22"/>
              </w:rPr>
              <w:t xml:space="preserve">Frente a la póliza de cumplimiento a favor de entidades particulares No. </w:t>
            </w:r>
            <w:r w:rsidRPr="00CA70FF">
              <w:rPr>
                <w:rFonts w:ascii="Century Gothic" w:hAnsi="Century Gothic" w:cs="Segoe UI"/>
                <w:sz w:val="22"/>
                <w:szCs w:val="22"/>
                <w:lang w:eastAsia="es-CO"/>
              </w:rPr>
              <w:t>AA010416</w:t>
            </w:r>
            <w:r w:rsidRPr="00CA70FF">
              <w:rPr>
                <w:rFonts w:ascii="Century Gothic" w:hAnsi="Century Gothic"/>
                <w:sz w:val="22"/>
                <w:szCs w:val="22"/>
              </w:rPr>
              <w:t xml:space="preserve">, cuyo asegurado es el </w:t>
            </w:r>
            <w:r w:rsidRPr="00CA70FF">
              <w:rPr>
                <w:rFonts w:ascii="Century Gothic" w:hAnsi="Century Gothic" w:cs="Segoe UI"/>
                <w:sz w:val="22"/>
                <w:szCs w:val="22"/>
                <w:lang w:eastAsia="es-CO"/>
              </w:rPr>
              <w:t>Patrimonio Autónomo VISR (FIDUAGRARIA)</w:t>
            </w:r>
            <w:r w:rsidRPr="00CA70FF">
              <w:rPr>
                <w:rFonts w:ascii="Century Gothic" w:hAnsi="Century Gothic"/>
                <w:sz w:val="22"/>
                <w:szCs w:val="22"/>
              </w:rPr>
              <w:t xml:space="preserve">, </w:t>
            </w:r>
            <w:r w:rsidR="00DF4D4E" w:rsidRPr="00CA70FF">
              <w:rPr>
                <w:rFonts w:ascii="Century Gothic" w:hAnsi="Century Gothic"/>
                <w:sz w:val="22"/>
                <w:szCs w:val="22"/>
              </w:rPr>
              <w:t xml:space="preserve">debe decirse que </w:t>
            </w:r>
            <w:r w:rsidRPr="00CA70FF">
              <w:rPr>
                <w:rFonts w:ascii="Century Gothic" w:hAnsi="Century Gothic"/>
                <w:sz w:val="22"/>
                <w:szCs w:val="22"/>
              </w:rPr>
              <w:t xml:space="preserve">presta cobertura temporal, pero no presta cobertura material, de conformidad con los hechos y pretensiones de la demanda. Frente a la cobertura temporal, debe señalarse que los hechos que dan lugar a la presente acción acontecieron dentro de la vigencia de la póliza, </w:t>
            </w:r>
            <w:r w:rsidRPr="00CA70FF">
              <w:rPr>
                <w:rFonts w:ascii="Century Gothic" w:hAnsi="Century Gothic"/>
                <w:sz w:val="22"/>
                <w:szCs w:val="22"/>
              </w:rPr>
              <w:lastRenderedPageBreak/>
              <w:t>comprendida entre el 29 de agosto de 2018 al 23 de febrero de 2024. Pese a ello, esta póliza no presta cobertura material</w:t>
            </w:r>
            <w:r w:rsidR="00370A64" w:rsidRPr="00CA70FF">
              <w:rPr>
                <w:rFonts w:ascii="Century Gothic" w:hAnsi="Century Gothic"/>
                <w:sz w:val="22"/>
                <w:szCs w:val="22"/>
              </w:rPr>
              <w:t xml:space="preserve">, pues, </w:t>
            </w:r>
            <w:r w:rsidRPr="00CA70FF">
              <w:rPr>
                <w:rFonts w:ascii="Century Gothic" w:hAnsi="Century Gothic"/>
                <w:sz w:val="22"/>
                <w:szCs w:val="22"/>
              </w:rPr>
              <w:t xml:space="preserve">se pretende el pago o devolución de los dineros entregados a título de anticipo </w:t>
            </w:r>
            <w:r w:rsidR="00370A64" w:rsidRPr="00CA70FF">
              <w:rPr>
                <w:rFonts w:ascii="Century Gothic" w:hAnsi="Century Gothic"/>
                <w:sz w:val="22"/>
                <w:szCs w:val="22"/>
              </w:rPr>
              <w:t>que no</w:t>
            </w:r>
            <w:r w:rsidRPr="00CA70FF">
              <w:rPr>
                <w:rFonts w:ascii="Century Gothic" w:hAnsi="Century Gothic"/>
                <w:sz w:val="22"/>
                <w:szCs w:val="22"/>
              </w:rPr>
              <w:t xml:space="preserve"> fueron amortizados por el contratista </w:t>
            </w:r>
            <w:r w:rsidR="00370A64" w:rsidRPr="00CA70FF">
              <w:rPr>
                <w:rFonts w:ascii="Century Gothic" w:hAnsi="Century Gothic"/>
                <w:sz w:val="22"/>
                <w:szCs w:val="22"/>
              </w:rPr>
              <w:t>pese a</w:t>
            </w:r>
            <w:r w:rsidRPr="00CA70FF">
              <w:rPr>
                <w:rFonts w:ascii="Century Gothic" w:hAnsi="Century Gothic"/>
                <w:sz w:val="22"/>
                <w:szCs w:val="22"/>
              </w:rPr>
              <w:t xml:space="preserve"> haberlos utilizado para cubrir los gastos del contrato, este incumplimiento no implica un manejo inadecuado o indebido del dinero del anticipo, sino la ausencia del reembolso progresivo o final de las sumas anticipadas. Sin embargo, esta circunstancia no fue cubierta por la póliza de cumplimiento para particulares No. AA010416, al no estar expresamente estipulada dentro del alcance del contrato de aseguramiento, ya que se diferencia de los riesgos de apropiación indebida o uso incorrecto del anticipo. Por lo tanto, no existe cobertura para los hechos y pretensiones de la demanda</w:t>
            </w:r>
            <w:r w:rsidR="00370A64" w:rsidRPr="00CA70FF">
              <w:rPr>
                <w:rFonts w:ascii="Century Gothic" w:hAnsi="Century Gothic"/>
                <w:sz w:val="22"/>
                <w:szCs w:val="22"/>
              </w:rPr>
              <w:t>.</w:t>
            </w:r>
            <w:r w:rsidR="00FC6AC3" w:rsidRPr="00CA70FF">
              <w:rPr>
                <w:rFonts w:ascii="Century Gothic" w:hAnsi="Century Gothic"/>
                <w:sz w:val="22"/>
                <w:szCs w:val="22"/>
              </w:rPr>
              <w:t xml:space="preserve"> Además,</w:t>
            </w:r>
            <w:r w:rsidR="001E0B01" w:rsidRPr="00CA70FF">
              <w:rPr>
                <w:rFonts w:ascii="Century Gothic" w:hAnsi="Century Gothic"/>
                <w:sz w:val="22"/>
                <w:szCs w:val="22"/>
              </w:rPr>
              <w:t xml:space="preserve"> en este caso se encuentra acreditada la prescripción de la acción derivada del contrato de seguro. Lo anterior, considerando que la </w:t>
            </w:r>
            <w:r w:rsidR="00370A64" w:rsidRPr="00CA70FF">
              <w:rPr>
                <w:rFonts w:ascii="Century Gothic" w:hAnsi="Century Gothic"/>
                <w:sz w:val="22"/>
                <w:szCs w:val="22"/>
              </w:rPr>
              <w:t>demanda fue incoada el 5 de diciembre de 2024</w:t>
            </w:r>
            <w:r w:rsidR="001E0B01" w:rsidRPr="00CA70FF">
              <w:rPr>
                <w:rFonts w:ascii="Century Gothic" w:hAnsi="Century Gothic"/>
                <w:sz w:val="22"/>
                <w:szCs w:val="22"/>
              </w:rPr>
              <w:t xml:space="preserve"> </w:t>
            </w:r>
            <w:r w:rsidR="00370A64" w:rsidRPr="00CA70FF">
              <w:rPr>
                <w:rFonts w:ascii="Century Gothic" w:hAnsi="Century Gothic"/>
                <w:sz w:val="22"/>
                <w:szCs w:val="22"/>
              </w:rPr>
              <w:t xml:space="preserve">y, </w:t>
            </w:r>
            <w:r w:rsidR="001E0B01" w:rsidRPr="00CA70FF">
              <w:rPr>
                <w:rFonts w:ascii="Century Gothic" w:hAnsi="Century Gothic"/>
                <w:sz w:val="22"/>
                <w:szCs w:val="22"/>
              </w:rPr>
              <w:t xml:space="preserve">el hecho que da base a la acción </w:t>
            </w:r>
            <w:r w:rsidR="00370A64" w:rsidRPr="00CA70FF">
              <w:rPr>
                <w:rFonts w:ascii="Century Gothic" w:hAnsi="Century Gothic"/>
                <w:sz w:val="22"/>
                <w:szCs w:val="22"/>
              </w:rPr>
              <w:t xml:space="preserve">fue conocido por el asegurado FIDUAGRARIA el 4 de abril de 2022, con el Balance financiero que relacionó la ausencia de amortización de los dineros del anticipo, </w:t>
            </w:r>
            <w:r w:rsidR="005452D3" w:rsidRPr="00CA70FF">
              <w:rPr>
                <w:rFonts w:ascii="Century Gothic" w:hAnsi="Century Gothic"/>
                <w:sz w:val="22"/>
                <w:szCs w:val="22"/>
              </w:rPr>
              <w:t>término que fue interrumpido con la reclamación</w:t>
            </w:r>
            <w:r w:rsidR="00267F7F" w:rsidRPr="00CA70FF">
              <w:rPr>
                <w:rFonts w:ascii="Century Gothic" w:hAnsi="Century Gothic"/>
                <w:sz w:val="22"/>
                <w:szCs w:val="22"/>
              </w:rPr>
              <w:t xml:space="preserve">, realizada por el asegurado </w:t>
            </w:r>
            <w:r w:rsidR="005452D3" w:rsidRPr="00CA70FF">
              <w:rPr>
                <w:rFonts w:ascii="Century Gothic" w:hAnsi="Century Gothic"/>
                <w:sz w:val="22"/>
                <w:szCs w:val="22"/>
              </w:rPr>
              <w:t xml:space="preserve">el 22 de julio de 2022, data en la que reinició el conteo del término bienal, por </w:t>
            </w:r>
            <w:r w:rsidR="00267F7F" w:rsidRPr="00CA70FF">
              <w:rPr>
                <w:rFonts w:ascii="Century Gothic" w:hAnsi="Century Gothic"/>
                <w:sz w:val="22"/>
                <w:szCs w:val="22"/>
              </w:rPr>
              <w:t>ende</w:t>
            </w:r>
            <w:r w:rsidR="005452D3" w:rsidRPr="00CA70FF">
              <w:rPr>
                <w:rFonts w:ascii="Century Gothic" w:hAnsi="Century Gothic"/>
                <w:sz w:val="22"/>
                <w:szCs w:val="22"/>
              </w:rPr>
              <w:t>, el mismo feneció el 22 de julio de 2024 sin que se hubiese ejercido la acción contra la aseguradora. Por lo ta</w:t>
            </w:r>
            <w:r w:rsidR="001E0B01" w:rsidRPr="00CA70FF">
              <w:rPr>
                <w:rFonts w:ascii="Century Gothic" w:hAnsi="Century Gothic"/>
                <w:sz w:val="22"/>
                <w:szCs w:val="22"/>
              </w:rPr>
              <w:t>nto,</w:t>
            </w:r>
            <w:r w:rsidR="005452D3" w:rsidRPr="00CA70FF">
              <w:rPr>
                <w:rFonts w:ascii="Century Gothic" w:hAnsi="Century Gothic"/>
                <w:sz w:val="22"/>
                <w:szCs w:val="22"/>
              </w:rPr>
              <w:t xml:space="preserve"> teniendo en cuenta que la demanda se radicó el 5 de diciembre de 2024,</w:t>
            </w:r>
            <w:r w:rsidR="001E0B01" w:rsidRPr="00CA70FF">
              <w:rPr>
                <w:rFonts w:ascii="Century Gothic" w:hAnsi="Century Gothic"/>
                <w:sz w:val="22"/>
                <w:szCs w:val="22"/>
              </w:rPr>
              <w:t xml:space="preserve"> el término de las acciones derivadas del contrato de seguro se enc</w:t>
            </w:r>
            <w:r w:rsidR="005452D3" w:rsidRPr="00CA70FF">
              <w:rPr>
                <w:rFonts w:ascii="Century Gothic" w:hAnsi="Century Gothic"/>
                <w:sz w:val="22"/>
                <w:szCs w:val="22"/>
              </w:rPr>
              <w:t xml:space="preserve">uentra </w:t>
            </w:r>
            <w:r w:rsidR="00E25E3A" w:rsidRPr="00CA70FF">
              <w:rPr>
                <w:rFonts w:ascii="Century Gothic" w:hAnsi="Century Gothic"/>
                <w:sz w:val="22"/>
                <w:szCs w:val="22"/>
              </w:rPr>
              <w:t>prescrito</w:t>
            </w:r>
            <w:r w:rsidR="005452D3" w:rsidRPr="00CA70FF">
              <w:rPr>
                <w:rFonts w:ascii="Century Gothic" w:hAnsi="Century Gothic"/>
                <w:sz w:val="22"/>
                <w:szCs w:val="22"/>
              </w:rPr>
              <w:t>.</w:t>
            </w:r>
          </w:p>
          <w:p w14:paraId="2469E22E" w14:textId="61205578" w:rsidR="001E0B01" w:rsidRPr="00CA70FF" w:rsidRDefault="001E0B01" w:rsidP="001E0B01">
            <w:pPr>
              <w:spacing w:line="360" w:lineRule="auto"/>
              <w:jc w:val="both"/>
              <w:rPr>
                <w:rFonts w:ascii="Century Gothic" w:hAnsi="Century Gothic"/>
                <w:sz w:val="22"/>
                <w:szCs w:val="22"/>
              </w:rPr>
            </w:pPr>
          </w:p>
          <w:p w14:paraId="307BD9E0" w14:textId="5A25F601" w:rsidR="00DF4D4E" w:rsidRPr="00CA70FF" w:rsidRDefault="00DF4D4E" w:rsidP="001E0B01">
            <w:pPr>
              <w:spacing w:line="360" w:lineRule="auto"/>
              <w:jc w:val="both"/>
              <w:rPr>
                <w:rFonts w:ascii="Century Gothic" w:hAnsi="Century Gothic"/>
                <w:sz w:val="22"/>
                <w:szCs w:val="22"/>
              </w:rPr>
            </w:pPr>
            <w:r w:rsidRPr="00CA70FF">
              <w:rPr>
                <w:rFonts w:ascii="Century Gothic" w:hAnsi="Century Gothic"/>
                <w:sz w:val="22"/>
                <w:szCs w:val="22"/>
              </w:rPr>
              <w:t xml:space="preserve">Frente a la responsabilidad del contratista afianzado CONSORCIO EXITO debe decirse que dependerá del debate probatorio determinar la existencia de incumplimiento del Contrato de Trabajo Social No. 075-2018 y, el supuesto uso inadecuado de los recursos del anticipo, así como la cuantía de los perjuicios derivados de este. Sobre el particular, debe mencionarse que </w:t>
            </w:r>
            <w:r w:rsidR="00267F7F" w:rsidRPr="00CA70FF">
              <w:rPr>
                <w:rFonts w:ascii="Century Gothic" w:hAnsi="Century Gothic"/>
                <w:sz w:val="22"/>
                <w:szCs w:val="22"/>
              </w:rPr>
              <w:t>en e</w:t>
            </w:r>
            <w:r w:rsidRPr="00CA70FF">
              <w:rPr>
                <w:rFonts w:ascii="Century Gothic" w:hAnsi="Century Gothic"/>
                <w:sz w:val="22"/>
                <w:szCs w:val="22"/>
              </w:rPr>
              <w:t xml:space="preserve">l plenario se relacionó un informe denominado Balance financiero en el que se señala se describe un incumplimiento atribuible al contratista demandado, pero este no se aporta con la demanda. Razón por la cual, a la fecha de este informe inicial no podría existir prueba del incumplimiento o de alguna relación causa y efecto entre el incumplimiento y el uso inadecuado de los recursos del anticipo. </w:t>
            </w:r>
            <w:r w:rsidR="00FC6AC3" w:rsidRPr="00CA70FF">
              <w:rPr>
                <w:rFonts w:ascii="Century Gothic" w:hAnsi="Century Gothic"/>
                <w:sz w:val="22"/>
                <w:szCs w:val="22"/>
              </w:rPr>
              <w:t>Independientemente de la responsabilidad del tomador afianzado, la contingencia se califica como remota, por cuanto, se configuró la prescripción ordinaria de las acciones derivadas del contrato de seguro.</w:t>
            </w:r>
          </w:p>
          <w:p w14:paraId="3C14BDB8" w14:textId="77777777" w:rsidR="001E0B01" w:rsidRPr="00CA70FF" w:rsidRDefault="001E0B01" w:rsidP="001E0B01">
            <w:pPr>
              <w:spacing w:line="360" w:lineRule="auto"/>
              <w:jc w:val="both"/>
              <w:rPr>
                <w:rFonts w:ascii="Century Gothic" w:hAnsi="Century Gothic"/>
                <w:sz w:val="22"/>
                <w:szCs w:val="22"/>
              </w:rPr>
            </w:pPr>
          </w:p>
          <w:p w14:paraId="58FF1192" w14:textId="433C820F" w:rsidR="00BA1E5F" w:rsidRPr="00CA70FF" w:rsidRDefault="001E0B01" w:rsidP="001E0B01">
            <w:pPr>
              <w:spacing w:line="360" w:lineRule="auto"/>
              <w:jc w:val="both"/>
              <w:rPr>
                <w:rFonts w:ascii="Century Gothic" w:hAnsi="Century Gothic"/>
                <w:color w:val="FF0000"/>
                <w:sz w:val="22"/>
                <w:szCs w:val="22"/>
              </w:rPr>
            </w:pPr>
            <w:r w:rsidRPr="00CA70FF">
              <w:rPr>
                <w:rFonts w:ascii="Century Gothic" w:hAnsi="Century Gothic"/>
                <w:sz w:val="22"/>
                <w:szCs w:val="22"/>
              </w:rPr>
              <w:lastRenderedPageBreak/>
              <w:t>Lo anterior sin perjuicio del carácter contingente del proceso.</w:t>
            </w:r>
          </w:p>
        </w:tc>
      </w:tr>
      <w:tr w:rsidR="003E4A17" w:rsidRPr="00CA70FF" w14:paraId="6A3F4D91" w14:textId="77777777" w:rsidTr="008B59F4">
        <w:trPr>
          <w:trHeight w:val="1361"/>
        </w:trPr>
        <w:tc>
          <w:tcPr>
            <w:tcW w:w="10207" w:type="dxa"/>
            <w:gridSpan w:val="2"/>
            <w:vAlign w:val="center"/>
          </w:tcPr>
          <w:p w14:paraId="79341F3E" w14:textId="77777777" w:rsidR="005452D3" w:rsidRPr="00CA70FF" w:rsidRDefault="005452D3" w:rsidP="005452D3">
            <w:pPr>
              <w:spacing w:line="360" w:lineRule="auto"/>
              <w:jc w:val="center"/>
              <w:rPr>
                <w:rFonts w:ascii="Century Gothic" w:hAnsi="Century Gothic"/>
                <w:b/>
                <w:bCs/>
                <w:sz w:val="22"/>
                <w:szCs w:val="22"/>
              </w:rPr>
            </w:pPr>
            <w:r w:rsidRPr="00CA70FF">
              <w:rPr>
                <w:rFonts w:ascii="Century Gothic" w:hAnsi="Century Gothic"/>
                <w:b/>
                <w:bCs/>
                <w:sz w:val="22"/>
                <w:szCs w:val="22"/>
              </w:rPr>
              <w:lastRenderedPageBreak/>
              <w:t>GUSTAVO ALBERTO HERRERA ÁVILA</w:t>
            </w:r>
          </w:p>
          <w:p w14:paraId="5F9F8ABA" w14:textId="77777777" w:rsidR="005452D3" w:rsidRPr="00CA70FF" w:rsidRDefault="005452D3" w:rsidP="005452D3">
            <w:pPr>
              <w:spacing w:line="360" w:lineRule="auto"/>
              <w:jc w:val="center"/>
              <w:rPr>
                <w:rFonts w:ascii="Century Gothic" w:hAnsi="Century Gothic"/>
                <w:b/>
                <w:bCs/>
                <w:sz w:val="22"/>
                <w:szCs w:val="22"/>
              </w:rPr>
            </w:pPr>
            <w:r w:rsidRPr="00CA70FF">
              <w:rPr>
                <w:rFonts w:ascii="Century Gothic" w:hAnsi="Century Gothic"/>
                <w:b/>
                <w:bCs/>
                <w:sz w:val="22"/>
                <w:szCs w:val="22"/>
              </w:rPr>
              <w:t xml:space="preserve">C.C. </w:t>
            </w:r>
            <w:proofErr w:type="spellStart"/>
            <w:r w:rsidRPr="00CA70FF">
              <w:rPr>
                <w:rFonts w:ascii="Century Gothic" w:hAnsi="Century Gothic"/>
                <w:b/>
                <w:bCs/>
                <w:sz w:val="22"/>
                <w:szCs w:val="22"/>
              </w:rPr>
              <w:t>Nº</w:t>
            </w:r>
            <w:proofErr w:type="spellEnd"/>
            <w:r w:rsidRPr="00CA70FF">
              <w:rPr>
                <w:rFonts w:ascii="Century Gothic" w:hAnsi="Century Gothic"/>
                <w:b/>
                <w:bCs/>
                <w:sz w:val="22"/>
                <w:szCs w:val="22"/>
              </w:rPr>
              <w:t xml:space="preserve"> 19.395.114 de Bogotá</w:t>
            </w:r>
          </w:p>
          <w:p w14:paraId="4DAC3203" w14:textId="77777777" w:rsidR="00BA1E5F" w:rsidRPr="00CA70FF" w:rsidRDefault="005452D3" w:rsidP="005452D3">
            <w:pPr>
              <w:spacing w:line="360" w:lineRule="auto"/>
              <w:jc w:val="center"/>
              <w:rPr>
                <w:rFonts w:ascii="Century Gothic" w:hAnsi="Century Gothic"/>
                <w:b/>
                <w:bCs/>
                <w:sz w:val="22"/>
                <w:szCs w:val="22"/>
              </w:rPr>
            </w:pPr>
            <w:r w:rsidRPr="00CA70FF">
              <w:rPr>
                <w:rFonts w:ascii="Century Gothic" w:hAnsi="Century Gothic"/>
                <w:b/>
                <w:bCs/>
                <w:sz w:val="22"/>
                <w:szCs w:val="22"/>
              </w:rPr>
              <w:t xml:space="preserve">T.P. </w:t>
            </w:r>
            <w:proofErr w:type="spellStart"/>
            <w:r w:rsidRPr="00CA70FF">
              <w:rPr>
                <w:rFonts w:ascii="Century Gothic" w:hAnsi="Century Gothic"/>
                <w:b/>
                <w:bCs/>
                <w:sz w:val="22"/>
                <w:szCs w:val="22"/>
              </w:rPr>
              <w:t>N°</w:t>
            </w:r>
            <w:proofErr w:type="spellEnd"/>
            <w:r w:rsidRPr="00CA70FF">
              <w:rPr>
                <w:rFonts w:ascii="Century Gothic" w:hAnsi="Century Gothic"/>
                <w:b/>
                <w:bCs/>
                <w:sz w:val="22"/>
                <w:szCs w:val="22"/>
              </w:rPr>
              <w:t xml:space="preserve"> 39.116 del C. S. de la J.</w:t>
            </w:r>
          </w:p>
          <w:p w14:paraId="3A806213" w14:textId="65AFEB47" w:rsidR="005452D3" w:rsidRPr="00CA70FF" w:rsidRDefault="005452D3" w:rsidP="005452D3">
            <w:pPr>
              <w:spacing w:line="360" w:lineRule="auto"/>
              <w:jc w:val="center"/>
              <w:rPr>
                <w:rFonts w:ascii="Century Gothic" w:hAnsi="Century Gothic"/>
                <w:b/>
                <w:bCs/>
                <w:color w:val="FF0000"/>
                <w:sz w:val="22"/>
                <w:szCs w:val="22"/>
              </w:rPr>
            </w:pPr>
            <w:r w:rsidRPr="00CA70FF">
              <w:rPr>
                <w:rFonts w:ascii="Century Gothic" w:hAnsi="Century Gothic"/>
                <w:b/>
                <w:bCs/>
                <w:sz w:val="22"/>
                <w:szCs w:val="22"/>
              </w:rPr>
              <w:t>YVJD</w:t>
            </w:r>
          </w:p>
        </w:tc>
      </w:tr>
    </w:tbl>
    <w:p w14:paraId="66CA6B89" w14:textId="77777777" w:rsidR="002633C0" w:rsidRPr="00CA70FF" w:rsidRDefault="002633C0" w:rsidP="003314A2">
      <w:pPr>
        <w:spacing w:line="360" w:lineRule="auto"/>
        <w:rPr>
          <w:rFonts w:ascii="Century Gothic" w:hAnsi="Century Gothic"/>
          <w:color w:val="FF0000"/>
          <w:sz w:val="22"/>
          <w:szCs w:val="22"/>
        </w:rPr>
      </w:pPr>
    </w:p>
    <w:sectPr w:rsidR="002633C0" w:rsidRPr="00CA70FF"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2A1F" w14:textId="77777777" w:rsidR="00C2141A" w:rsidRDefault="00C2141A" w:rsidP="00E7033F">
      <w:r>
        <w:separator/>
      </w:r>
    </w:p>
  </w:endnote>
  <w:endnote w:type="continuationSeparator" w:id="0">
    <w:p w14:paraId="10BAD2EB" w14:textId="77777777" w:rsidR="00C2141A" w:rsidRDefault="00C2141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5D00" w14:textId="77777777" w:rsidR="00C2141A" w:rsidRDefault="00C2141A" w:rsidP="00E7033F">
      <w:r>
        <w:separator/>
      </w:r>
    </w:p>
  </w:footnote>
  <w:footnote w:type="continuationSeparator" w:id="0">
    <w:p w14:paraId="6FDD1FF4" w14:textId="77777777" w:rsidR="00C2141A" w:rsidRDefault="00C2141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4"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9747934">
    <w:abstractNumId w:val="3"/>
  </w:num>
  <w:num w:numId="2" w16cid:durableId="1431658414">
    <w:abstractNumId w:val="2"/>
  </w:num>
  <w:num w:numId="3" w16cid:durableId="1875843377">
    <w:abstractNumId w:val="1"/>
  </w:num>
  <w:num w:numId="4" w16cid:durableId="1172449861">
    <w:abstractNumId w:val="4"/>
  </w:num>
  <w:num w:numId="5" w16cid:durableId="739786106">
    <w:abstractNumId w:val="0"/>
  </w:num>
  <w:num w:numId="6" w16cid:durableId="367026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4BFD"/>
    <w:rsid w:val="00051DC4"/>
    <w:rsid w:val="000554F9"/>
    <w:rsid w:val="00060489"/>
    <w:rsid w:val="00072BFC"/>
    <w:rsid w:val="0008262B"/>
    <w:rsid w:val="0009037B"/>
    <w:rsid w:val="000D23FC"/>
    <w:rsid w:val="000D69B3"/>
    <w:rsid w:val="000E4329"/>
    <w:rsid w:val="000F6F26"/>
    <w:rsid w:val="00103D94"/>
    <w:rsid w:val="001129B6"/>
    <w:rsid w:val="00113720"/>
    <w:rsid w:val="00133741"/>
    <w:rsid w:val="00141EC5"/>
    <w:rsid w:val="00181E11"/>
    <w:rsid w:val="001A6BC0"/>
    <w:rsid w:val="001C44B4"/>
    <w:rsid w:val="001E096B"/>
    <w:rsid w:val="001E0B01"/>
    <w:rsid w:val="001E1616"/>
    <w:rsid w:val="001E5C79"/>
    <w:rsid w:val="00263011"/>
    <w:rsid w:val="002633C0"/>
    <w:rsid w:val="00267F7F"/>
    <w:rsid w:val="00283B1A"/>
    <w:rsid w:val="002A0E98"/>
    <w:rsid w:val="002D350B"/>
    <w:rsid w:val="002D5D22"/>
    <w:rsid w:val="002E1D33"/>
    <w:rsid w:val="00311097"/>
    <w:rsid w:val="00314CAF"/>
    <w:rsid w:val="00324E27"/>
    <w:rsid w:val="003314A2"/>
    <w:rsid w:val="00332371"/>
    <w:rsid w:val="00356A4E"/>
    <w:rsid w:val="00370A64"/>
    <w:rsid w:val="003827E1"/>
    <w:rsid w:val="003B44CB"/>
    <w:rsid w:val="003B7F1A"/>
    <w:rsid w:val="003E4A17"/>
    <w:rsid w:val="00403BFC"/>
    <w:rsid w:val="00413A1F"/>
    <w:rsid w:val="00415C13"/>
    <w:rsid w:val="0043051F"/>
    <w:rsid w:val="0043661B"/>
    <w:rsid w:val="00437455"/>
    <w:rsid w:val="0045204E"/>
    <w:rsid w:val="00493936"/>
    <w:rsid w:val="004B3A9B"/>
    <w:rsid w:val="004C7D4E"/>
    <w:rsid w:val="00504FFB"/>
    <w:rsid w:val="00517BA8"/>
    <w:rsid w:val="005452D3"/>
    <w:rsid w:val="005563AF"/>
    <w:rsid w:val="005C319A"/>
    <w:rsid w:val="005C38FA"/>
    <w:rsid w:val="005F61D3"/>
    <w:rsid w:val="0060538A"/>
    <w:rsid w:val="006056E7"/>
    <w:rsid w:val="0064593C"/>
    <w:rsid w:val="00652A4A"/>
    <w:rsid w:val="00694306"/>
    <w:rsid w:val="006A1563"/>
    <w:rsid w:val="006C2B65"/>
    <w:rsid w:val="006E57AC"/>
    <w:rsid w:val="006F0CAA"/>
    <w:rsid w:val="00727FC3"/>
    <w:rsid w:val="0073642F"/>
    <w:rsid w:val="007443CD"/>
    <w:rsid w:val="00761B63"/>
    <w:rsid w:val="007C37D7"/>
    <w:rsid w:val="008160D8"/>
    <w:rsid w:val="00824209"/>
    <w:rsid w:val="0086005A"/>
    <w:rsid w:val="008B59F4"/>
    <w:rsid w:val="008B61E5"/>
    <w:rsid w:val="008B685D"/>
    <w:rsid w:val="008D0DA4"/>
    <w:rsid w:val="008E249B"/>
    <w:rsid w:val="008F6B57"/>
    <w:rsid w:val="00950A8C"/>
    <w:rsid w:val="0095378E"/>
    <w:rsid w:val="0095762A"/>
    <w:rsid w:val="009820E4"/>
    <w:rsid w:val="00987619"/>
    <w:rsid w:val="00992368"/>
    <w:rsid w:val="00996B7A"/>
    <w:rsid w:val="009A06ED"/>
    <w:rsid w:val="009A3FDB"/>
    <w:rsid w:val="00A640F4"/>
    <w:rsid w:val="00A81100"/>
    <w:rsid w:val="00B2787D"/>
    <w:rsid w:val="00B80D24"/>
    <w:rsid w:val="00B90E05"/>
    <w:rsid w:val="00BA0472"/>
    <w:rsid w:val="00BA1E5F"/>
    <w:rsid w:val="00C2141A"/>
    <w:rsid w:val="00C4153F"/>
    <w:rsid w:val="00C91420"/>
    <w:rsid w:val="00CA70FF"/>
    <w:rsid w:val="00CC42DF"/>
    <w:rsid w:val="00D33414"/>
    <w:rsid w:val="00D35F0D"/>
    <w:rsid w:val="00D379B8"/>
    <w:rsid w:val="00D61801"/>
    <w:rsid w:val="00D63A16"/>
    <w:rsid w:val="00DA2FFC"/>
    <w:rsid w:val="00DD4F01"/>
    <w:rsid w:val="00DD6A64"/>
    <w:rsid w:val="00DD71DA"/>
    <w:rsid w:val="00DE5BEB"/>
    <w:rsid w:val="00DF130E"/>
    <w:rsid w:val="00DF4D4E"/>
    <w:rsid w:val="00E25E3A"/>
    <w:rsid w:val="00E5260A"/>
    <w:rsid w:val="00E7033F"/>
    <w:rsid w:val="00E802BC"/>
    <w:rsid w:val="00EB5FFB"/>
    <w:rsid w:val="00EB7F20"/>
    <w:rsid w:val="00EE687D"/>
    <w:rsid w:val="00F024DE"/>
    <w:rsid w:val="00F068FC"/>
    <w:rsid w:val="00F2410A"/>
    <w:rsid w:val="00F62D63"/>
    <w:rsid w:val="00F67EF8"/>
    <w:rsid w:val="00F856C2"/>
    <w:rsid w:val="00F90650"/>
    <w:rsid w:val="00FC01A7"/>
    <w:rsid w:val="00FC6AC3"/>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F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6348">
      <w:bodyDiv w:val="1"/>
      <w:marLeft w:val="0"/>
      <w:marRight w:val="0"/>
      <w:marTop w:val="0"/>
      <w:marBottom w:val="0"/>
      <w:divBdr>
        <w:top w:val="none" w:sz="0" w:space="0" w:color="auto"/>
        <w:left w:val="none" w:sz="0" w:space="0" w:color="auto"/>
        <w:bottom w:val="none" w:sz="0" w:space="0" w:color="auto"/>
        <w:right w:val="none" w:sz="0" w:space="0" w:color="auto"/>
      </w:divBdr>
    </w:div>
    <w:div w:id="1660619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1380</Words>
  <Characters>7594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2025-04-21T02:59:00Z</dcterms:created>
  <dcterms:modified xsi:type="dcterms:W3CDTF">2025-04-21T02:59:00Z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