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415463">
            <w:pPr>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42466E76" w:rsidR="00F67EF8" w:rsidRPr="00BA1E5F" w:rsidRDefault="00F51806" w:rsidP="00415463">
            <w:pPr>
              <w:jc w:val="both"/>
              <w:rPr>
                <w:rFonts w:ascii="Century Gothic" w:hAnsi="Century Gothic"/>
                <w:sz w:val="22"/>
                <w:szCs w:val="22"/>
              </w:rPr>
            </w:pPr>
            <w:r>
              <w:rPr>
                <w:rFonts w:ascii="Century Gothic" w:hAnsi="Century Gothic"/>
                <w:sz w:val="22"/>
                <w:szCs w:val="22"/>
              </w:rPr>
              <w:t>09 DE JUNIO DE 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415463">
            <w:pPr>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172B2BFE" w:rsidR="00F67EF8" w:rsidRPr="00BA1E5F" w:rsidRDefault="00496C7D" w:rsidP="00415463">
            <w:pPr>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415463">
            <w:pPr>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07EB3642" w:rsidR="00F67EF8" w:rsidRPr="00BA1E5F" w:rsidRDefault="00496C7D" w:rsidP="00415463">
            <w:pPr>
              <w:jc w:val="both"/>
              <w:rPr>
                <w:rFonts w:ascii="Century Gothic" w:hAnsi="Century Gothic"/>
                <w:sz w:val="22"/>
                <w:szCs w:val="22"/>
              </w:rPr>
            </w:pPr>
            <w:r w:rsidRPr="00496C7D">
              <w:rPr>
                <w:rFonts w:ascii="Century Gothic" w:hAnsi="Century Gothic"/>
                <w:sz w:val="22"/>
                <w:szCs w:val="22"/>
              </w:rPr>
              <w:t>EQUIDAD SEGUROS GENERALES ORGANISMO COOPERATIVO</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415463">
            <w:pPr>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6842798D" w:rsidR="00F67EF8" w:rsidRPr="00BA1E5F" w:rsidRDefault="00D77386" w:rsidP="00415463">
            <w:pPr>
              <w:jc w:val="both"/>
              <w:rPr>
                <w:rFonts w:ascii="Century Gothic" w:hAnsi="Century Gothic"/>
                <w:sz w:val="22"/>
                <w:szCs w:val="22"/>
              </w:rPr>
            </w:pPr>
            <w:r w:rsidRPr="00D77386">
              <w:rPr>
                <w:rFonts w:ascii="Century Gothic" w:hAnsi="Century Gothic"/>
                <w:sz w:val="22"/>
                <w:szCs w:val="22"/>
              </w:rPr>
              <w:t>10908</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415463">
            <w:pPr>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4E807572" w:rsidR="00F67EF8" w:rsidRPr="00BA1E5F" w:rsidRDefault="00D77386" w:rsidP="00415463">
            <w:pPr>
              <w:jc w:val="both"/>
              <w:rPr>
                <w:rFonts w:ascii="Century Gothic" w:hAnsi="Century Gothic"/>
                <w:sz w:val="22"/>
                <w:szCs w:val="22"/>
              </w:rPr>
            </w:pPr>
            <w:r w:rsidRPr="00D77386">
              <w:rPr>
                <w:rFonts w:ascii="Century Gothic" w:hAnsi="Century Gothic"/>
                <w:sz w:val="22"/>
                <w:szCs w:val="22"/>
              </w:rPr>
              <w:t xml:space="preserve">Juzgado Tercero Administrativo </w:t>
            </w:r>
            <w:r>
              <w:rPr>
                <w:rFonts w:ascii="Century Gothic" w:hAnsi="Century Gothic"/>
                <w:sz w:val="22"/>
                <w:szCs w:val="22"/>
              </w:rPr>
              <w:t>d</w:t>
            </w:r>
            <w:r w:rsidRPr="00D77386">
              <w:rPr>
                <w:rFonts w:ascii="Century Gothic" w:hAnsi="Century Gothic"/>
                <w:sz w:val="22"/>
                <w:szCs w:val="22"/>
              </w:rPr>
              <w:t xml:space="preserve">e Oralidad Del Circuito Judicial </w:t>
            </w:r>
            <w:r>
              <w:rPr>
                <w:rFonts w:ascii="Century Gothic" w:hAnsi="Century Gothic"/>
                <w:sz w:val="22"/>
                <w:szCs w:val="22"/>
              </w:rPr>
              <w:t>d</w:t>
            </w:r>
            <w:r w:rsidRPr="00D77386">
              <w:rPr>
                <w:rFonts w:ascii="Century Gothic" w:hAnsi="Century Gothic"/>
                <w:sz w:val="22"/>
                <w:szCs w:val="22"/>
              </w:rPr>
              <w:t>e Zipaquirá.</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415463">
            <w:pPr>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722E6512" w:rsidR="00F67EF8" w:rsidRPr="00BA1E5F" w:rsidRDefault="00496C7D" w:rsidP="00415463">
            <w:pPr>
              <w:jc w:val="both"/>
              <w:rPr>
                <w:rFonts w:ascii="Century Gothic" w:hAnsi="Century Gothic"/>
                <w:sz w:val="22"/>
                <w:szCs w:val="22"/>
              </w:rPr>
            </w:pPr>
            <w:r w:rsidRPr="00496C7D">
              <w:rPr>
                <w:rFonts w:ascii="Century Gothic" w:hAnsi="Century Gothic"/>
                <w:sz w:val="22"/>
                <w:szCs w:val="22"/>
              </w:rPr>
              <w:t>BARRANCABERMEJA</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415463">
            <w:pPr>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0C8925B4" w:rsidR="00992368" w:rsidRPr="00BA1E5F" w:rsidRDefault="00F51806" w:rsidP="00415463">
            <w:pPr>
              <w:jc w:val="both"/>
              <w:rPr>
                <w:rFonts w:ascii="Century Gothic" w:hAnsi="Century Gothic"/>
                <w:sz w:val="22"/>
                <w:szCs w:val="22"/>
              </w:rPr>
            </w:pPr>
            <w:r w:rsidRPr="00F51806">
              <w:rPr>
                <w:rFonts w:ascii="Century Gothic" w:hAnsi="Century Gothic"/>
                <w:b/>
                <w:bCs/>
                <w:sz w:val="22"/>
                <w:szCs w:val="22"/>
              </w:rPr>
              <w:t>25899333300320240017000</w:t>
            </w:r>
            <w:r>
              <w:rPr>
                <w:rFonts w:ascii="Century Gothic" w:hAnsi="Century Gothic"/>
                <w:b/>
                <w:bCs/>
                <w:sz w:val="22"/>
                <w:szCs w:val="22"/>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415463">
            <w:pPr>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6C7F471F" w:rsidR="00992368" w:rsidRPr="00BA1E5F" w:rsidRDefault="00496C7D" w:rsidP="00415463">
            <w:pPr>
              <w:jc w:val="both"/>
              <w:rPr>
                <w:rFonts w:ascii="Century Gothic" w:hAnsi="Century Gothic"/>
                <w:sz w:val="22"/>
                <w:szCs w:val="22"/>
              </w:rPr>
            </w:pPr>
            <w:r>
              <w:rPr>
                <w:rFonts w:ascii="Century Gothic" w:hAnsi="Century Gothic"/>
                <w:sz w:val="22"/>
                <w:szCs w:val="22"/>
              </w:rPr>
              <w:t>8 de</w:t>
            </w:r>
            <w:r w:rsidR="00C53D8F">
              <w:rPr>
                <w:rFonts w:ascii="Century Gothic" w:hAnsi="Century Gothic"/>
                <w:sz w:val="22"/>
                <w:szCs w:val="22"/>
              </w:rPr>
              <w:t xml:space="preserve"> mayo</w:t>
            </w:r>
            <w:r>
              <w:rPr>
                <w:rFonts w:ascii="Century Gothic" w:hAnsi="Century Gothic"/>
                <w:sz w:val="22"/>
                <w:szCs w:val="22"/>
              </w:rPr>
              <w:t xml:space="preserve"> de 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415463">
            <w:pPr>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45413373" w:rsidR="00992368" w:rsidRPr="00BA1E5F" w:rsidRDefault="00C53D8F" w:rsidP="00415463">
            <w:pPr>
              <w:jc w:val="both"/>
              <w:rPr>
                <w:rFonts w:ascii="Century Gothic" w:hAnsi="Century Gothic"/>
                <w:sz w:val="22"/>
                <w:szCs w:val="22"/>
              </w:rPr>
            </w:pPr>
            <w:r>
              <w:rPr>
                <w:rFonts w:ascii="Century Gothic" w:hAnsi="Century Gothic"/>
                <w:sz w:val="22"/>
                <w:szCs w:val="22"/>
              </w:rPr>
              <w:t>2</w:t>
            </w:r>
            <w:r w:rsidR="00496C7D">
              <w:rPr>
                <w:rFonts w:ascii="Century Gothic" w:hAnsi="Century Gothic"/>
                <w:sz w:val="22"/>
                <w:szCs w:val="22"/>
              </w:rPr>
              <w:t>1 de</w:t>
            </w:r>
            <w:r>
              <w:rPr>
                <w:rFonts w:ascii="Century Gothic" w:hAnsi="Century Gothic"/>
                <w:sz w:val="22"/>
                <w:szCs w:val="22"/>
              </w:rPr>
              <w:t xml:space="preserve"> mayo </w:t>
            </w:r>
            <w:r w:rsidR="00496C7D">
              <w:rPr>
                <w:rFonts w:ascii="Century Gothic" w:hAnsi="Century Gothic"/>
                <w:sz w:val="22"/>
                <w:szCs w:val="22"/>
              </w:rPr>
              <w:t>de 2025</w:t>
            </w:r>
          </w:p>
        </w:tc>
      </w:tr>
    </w:tbl>
    <w:p w14:paraId="619AE562" w14:textId="77777777" w:rsidR="00BA1E5F" w:rsidRDefault="00BA1E5F" w:rsidP="00415463"/>
    <w:p w14:paraId="64A76143" w14:textId="77777777" w:rsidR="00BA1E5F" w:rsidRDefault="00BA1E5F" w:rsidP="00415463"/>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415463">
            <w:pPr>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415463">
            <w:pPr>
              <w:jc w:val="center"/>
              <w:rPr>
                <w:rFonts w:ascii="Century Gothic" w:hAnsi="Century Gothic"/>
                <w:sz w:val="22"/>
                <w:szCs w:val="22"/>
              </w:rPr>
            </w:pPr>
          </w:p>
          <w:p w14:paraId="048893A5" w14:textId="08083E84" w:rsidR="00F07DE9" w:rsidRPr="00F07DE9" w:rsidRDefault="00F07DE9" w:rsidP="00415463">
            <w:pPr>
              <w:jc w:val="both"/>
              <w:rPr>
                <w:rFonts w:ascii="Century Gothic" w:hAnsi="Century Gothic"/>
                <w:sz w:val="22"/>
                <w:szCs w:val="22"/>
                <w:lang w:val="es-ES"/>
              </w:rPr>
            </w:pPr>
            <w:r w:rsidRPr="00F07DE9">
              <w:rPr>
                <w:rFonts w:ascii="Century Gothic" w:hAnsi="Century Gothic"/>
                <w:sz w:val="22"/>
                <w:szCs w:val="22"/>
                <w:lang w:val="es-ES"/>
              </w:rPr>
              <w:t>El señor Henry Alexander Martínez Castañeda promovió demanda de nulidad y restablecimiento del derecho contra la E.S.E. Hospital Universitario de La Samaritana ante el Juzgado Administrativo competente. En su escrito, el demandante alega haber prestado servicios personales desde el 6 de abril de 2015 hasta el 30 de junio de 2023, bajo una vinculación que, según afirma, fue desnaturalizada por medio de contratos con diversas empresas de servicios temporales (COLTEMPORA S.A.S., Consorcio Alianza del Norte y SESPEM S.A.S.). Las actividades fueron ejecutadas como camillero y auxiliar en la Unidad Funcional de Zipaquirá, en condiciones que a juicio del actor</w:t>
            </w:r>
            <w:r>
              <w:rPr>
                <w:rFonts w:ascii="Century Gothic" w:hAnsi="Century Gothic"/>
                <w:sz w:val="22"/>
                <w:szCs w:val="22"/>
                <w:lang w:val="es-ES"/>
              </w:rPr>
              <w:t xml:space="preserve"> </w:t>
            </w:r>
            <w:r w:rsidRPr="00F07DE9">
              <w:rPr>
                <w:rFonts w:ascii="Century Gothic" w:hAnsi="Century Gothic"/>
                <w:sz w:val="22"/>
                <w:szCs w:val="22"/>
                <w:lang w:val="es-ES"/>
              </w:rPr>
              <w:t>configuran subordinación y permanencia propias de una relación laboral con la entidad pública demandada.</w:t>
            </w:r>
          </w:p>
          <w:p w14:paraId="0694C4E9" w14:textId="77777777" w:rsidR="00F07DE9" w:rsidRPr="00F07DE9" w:rsidRDefault="00F07DE9" w:rsidP="00415463">
            <w:pPr>
              <w:jc w:val="both"/>
              <w:rPr>
                <w:rFonts w:ascii="Century Gothic" w:hAnsi="Century Gothic"/>
                <w:sz w:val="22"/>
                <w:szCs w:val="22"/>
                <w:lang w:val="es-ES"/>
              </w:rPr>
            </w:pPr>
          </w:p>
          <w:p w14:paraId="1452D951" w14:textId="77777777" w:rsidR="00F07DE9" w:rsidRPr="00F07DE9" w:rsidRDefault="00F07DE9" w:rsidP="00415463">
            <w:pPr>
              <w:jc w:val="both"/>
              <w:rPr>
                <w:rFonts w:ascii="Century Gothic" w:hAnsi="Century Gothic"/>
                <w:sz w:val="22"/>
                <w:szCs w:val="22"/>
                <w:lang w:val="es-ES"/>
              </w:rPr>
            </w:pPr>
            <w:r w:rsidRPr="00F07DE9">
              <w:rPr>
                <w:rFonts w:ascii="Century Gothic" w:hAnsi="Century Gothic"/>
                <w:sz w:val="22"/>
                <w:szCs w:val="22"/>
                <w:lang w:val="es-ES"/>
              </w:rPr>
              <w:t>En respaldo de su vinculación, el actor refiere haber trabajado a través de la empresa SESPEM S.A.S., actual contratista del Hospital, y afirma que tal prestación del servicio estuvo sujeta a órdenes, horarios, control y supervisión directa de personal del Hospital, incluyendo la asignación de turnos, funciones y seguimiento por parte del área administrativa.</w:t>
            </w:r>
          </w:p>
          <w:p w14:paraId="4967B485" w14:textId="77777777" w:rsidR="00F07DE9" w:rsidRPr="00F07DE9" w:rsidRDefault="00F07DE9" w:rsidP="00415463">
            <w:pPr>
              <w:jc w:val="both"/>
              <w:rPr>
                <w:rFonts w:ascii="Century Gothic" w:hAnsi="Century Gothic"/>
                <w:sz w:val="22"/>
                <w:szCs w:val="22"/>
                <w:lang w:val="es-ES"/>
              </w:rPr>
            </w:pPr>
          </w:p>
          <w:p w14:paraId="2A851FB8" w14:textId="77777777" w:rsidR="00F07DE9" w:rsidRPr="00F07DE9" w:rsidRDefault="00F07DE9" w:rsidP="00415463">
            <w:pPr>
              <w:jc w:val="both"/>
              <w:rPr>
                <w:rFonts w:ascii="Century Gothic" w:hAnsi="Century Gothic"/>
                <w:sz w:val="22"/>
                <w:szCs w:val="22"/>
                <w:lang w:val="es-ES"/>
              </w:rPr>
            </w:pPr>
            <w:r w:rsidRPr="00F07DE9">
              <w:rPr>
                <w:rFonts w:ascii="Century Gothic" w:hAnsi="Century Gothic"/>
                <w:sz w:val="22"/>
                <w:szCs w:val="22"/>
                <w:lang w:val="es-ES"/>
              </w:rPr>
              <w:t>La póliza de seguro de cumplimiento estatal No. AB001559, con código de producto 0403, expedida por La Equidad Seguros Generales O.C., fue constituida en virtud del Contrato de Prestación de Servicios No. 230 de 2024, y se encuentra vigente desde el 30 de enero de 2024 hasta el 30 de abril de 2027, designando como asegurado y beneficiario a la E.S.E. Hospital Universitario de La Samaritana. Dentro de sus amparos incluye el pago de salarios y prestaciones sociales, siempre y cuando se acredite el incumplimiento de las obligaciones laborales por parte del contratista SESPEM S.A.S. y que tal situación se encuentre dentro de los términos y condiciones pactados en el contrato de seguro.</w:t>
            </w:r>
          </w:p>
          <w:p w14:paraId="501EA1AC" w14:textId="77777777" w:rsidR="00F07DE9" w:rsidRPr="00F07DE9" w:rsidRDefault="00F07DE9" w:rsidP="00415463">
            <w:pPr>
              <w:jc w:val="both"/>
              <w:rPr>
                <w:rFonts w:ascii="Century Gothic" w:hAnsi="Century Gothic"/>
                <w:sz w:val="22"/>
                <w:szCs w:val="22"/>
                <w:lang w:val="es-ES"/>
              </w:rPr>
            </w:pPr>
          </w:p>
          <w:p w14:paraId="26DCCB13" w14:textId="422D166E" w:rsidR="00B2787D" w:rsidRPr="00F07DE9" w:rsidRDefault="00F07DE9" w:rsidP="00415463">
            <w:pPr>
              <w:jc w:val="both"/>
              <w:rPr>
                <w:rFonts w:ascii="Century Gothic" w:hAnsi="Century Gothic"/>
                <w:sz w:val="22"/>
                <w:szCs w:val="22"/>
                <w:lang w:val="es-ES"/>
              </w:rPr>
            </w:pPr>
            <w:r w:rsidRPr="00F07DE9">
              <w:rPr>
                <w:rFonts w:ascii="Century Gothic" w:hAnsi="Century Gothic"/>
                <w:sz w:val="22"/>
                <w:szCs w:val="22"/>
                <w:lang w:val="es-ES"/>
              </w:rPr>
              <w:lastRenderedPageBreak/>
              <w:t>El demandante, en consecuencia, pretende se declare la existencia de un contrato realidad, con efectos retroactivos, así como el pago de prestaciones salariales y sociales, indemnizaciones y demás emolumentos supuestamente dejados de percibir, o de forma subsidiaria, que se ordene el pago solidario de las acreencias laborales por parte del Hospital, dada la supuesta omisión del contratista.</w:t>
            </w:r>
          </w:p>
          <w:p w14:paraId="285181BA" w14:textId="77777777" w:rsidR="00B2787D" w:rsidRPr="00BA1E5F" w:rsidRDefault="00B2787D" w:rsidP="00415463">
            <w:pPr>
              <w:rPr>
                <w:rFonts w:ascii="Century Gothic" w:hAnsi="Century Gothic"/>
                <w:sz w:val="22"/>
                <w:szCs w:val="22"/>
              </w:rPr>
            </w:pPr>
          </w:p>
        </w:tc>
      </w:tr>
    </w:tbl>
    <w:p w14:paraId="20C76EE3" w14:textId="77777777" w:rsidR="003827E1" w:rsidRDefault="003827E1" w:rsidP="00415463"/>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415463">
            <w:pPr>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5A410C7E" w14:textId="77777777" w:rsidR="00F51806" w:rsidRDefault="00F51806" w:rsidP="00415463">
            <w:pPr>
              <w:pStyle w:val="Prrafodelista"/>
              <w:jc w:val="both"/>
              <w:rPr>
                <w:rFonts w:ascii="Century Gothic" w:hAnsi="Century Gothic"/>
                <w:sz w:val="22"/>
                <w:szCs w:val="22"/>
              </w:rPr>
            </w:pPr>
          </w:p>
          <w:p w14:paraId="5C0DBA63" w14:textId="7089319B" w:rsidR="00F07DE9" w:rsidRDefault="00F07DE9" w:rsidP="00415463">
            <w:pPr>
              <w:pStyle w:val="Prrafodelista"/>
              <w:jc w:val="both"/>
              <w:rPr>
                <w:rFonts w:ascii="Century Gothic" w:hAnsi="Century Gothic"/>
                <w:sz w:val="22"/>
                <w:szCs w:val="22"/>
              </w:rPr>
            </w:pPr>
            <w:r w:rsidRPr="00F07DE9">
              <w:rPr>
                <w:rFonts w:ascii="Century Gothic" w:hAnsi="Century Gothic"/>
                <w:sz w:val="22"/>
                <w:szCs w:val="22"/>
              </w:rPr>
              <w:t>Pretensiones del demandante</w:t>
            </w:r>
            <w:r>
              <w:rPr>
                <w:rFonts w:ascii="Century Gothic" w:hAnsi="Century Gothic"/>
                <w:sz w:val="22"/>
                <w:szCs w:val="22"/>
              </w:rPr>
              <w:t>:</w:t>
            </w:r>
          </w:p>
          <w:p w14:paraId="37FFDA35" w14:textId="77777777" w:rsidR="00F07DE9" w:rsidRPr="00F07DE9" w:rsidRDefault="00F07DE9" w:rsidP="00415463">
            <w:pPr>
              <w:pStyle w:val="Prrafodelista"/>
              <w:jc w:val="both"/>
              <w:rPr>
                <w:rFonts w:ascii="Century Gothic" w:hAnsi="Century Gothic"/>
                <w:sz w:val="22"/>
                <w:szCs w:val="22"/>
              </w:rPr>
            </w:pPr>
          </w:p>
          <w:p w14:paraId="15B45A75" w14:textId="77777777" w:rsidR="00F07DE9" w:rsidRPr="00F07DE9" w:rsidRDefault="00F07DE9" w:rsidP="00415463">
            <w:pPr>
              <w:pStyle w:val="Prrafodelista"/>
              <w:numPr>
                <w:ilvl w:val="0"/>
                <w:numId w:val="6"/>
              </w:numPr>
              <w:jc w:val="both"/>
              <w:rPr>
                <w:rFonts w:ascii="Century Gothic" w:hAnsi="Century Gothic"/>
                <w:sz w:val="22"/>
                <w:szCs w:val="22"/>
              </w:rPr>
            </w:pPr>
            <w:r w:rsidRPr="00F07DE9">
              <w:rPr>
                <w:rFonts w:ascii="Century Gothic" w:hAnsi="Century Gothic"/>
                <w:sz w:val="22"/>
                <w:szCs w:val="22"/>
              </w:rPr>
              <w:t>Que se declare la existencia de una relación laboral directa, bajo la modalidad de contrato realidad, entre el señor Henry Alexander Martínez Castañeda y la E.S.E. Hospital Universitario de La Samaritana, derivada de la prestación personal y continua de sus servicios.</w:t>
            </w:r>
          </w:p>
          <w:p w14:paraId="42FF02F6" w14:textId="77777777" w:rsidR="00F07DE9" w:rsidRPr="00F07DE9" w:rsidRDefault="00F07DE9" w:rsidP="00415463">
            <w:pPr>
              <w:pStyle w:val="Prrafodelista"/>
              <w:numPr>
                <w:ilvl w:val="0"/>
                <w:numId w:val="6"/>
              </w:numPr>
              <w:jc w:val="both"/>
              <w:rPr>
                <w:rFonts w:ascii="Century Gothic" w:hAnsi="Century Gothic"/>
                <w:sz w:val="22"/>
                <w:szCs w:val="22"/>
              </w:rPr>
            </w:pPr>
            <w:r w:rsidRPr="00F07DE9">
              <w:rPr>
                <w:rFonts w:ascii="Century Gothic" w:hAnsi="Century Gothic"/>
                <w:sz w:val="22"/>
                <w:szCs w:val="22"/>
              </w:rPr>
              <w:t>Que se determine que dicha relación laboral tuvo carácter indefinido, atendiendo a la naturaleza permanente de las funciones desempeñadas.</w:t>
            </w:r>
          </w:p>
          <w:p w14:paraId="4C2163A5" w14:textId="77777777" w:rsidR="00F07DE9" w:rsidRPr="00F07DE9" w:rsidRDefault="00F07DE9" w:rsidP="00415463">
            <w:pPr>
              <w:pStyle w:val="Prrafodelista"/>
              <w:numPr>
                <w:ilvl w:val="0"/>
                <w:numId w:val="6"/>
              </w:numPr>
              <w:jc w:val="both"/>
              <w:rPr>
                <w:rFonts w:ascii="Century Gothic" w:hAnsi="Century Gothic"/>
                <w:sz w:val="22"/>
                <w:szCs w:val="22"/>
              </w:rPr>
            </w:pPr>
            <w:r w:rsidRPr="00F07DE9">
              <w:rPr>
                <w:rFonts w:ascii="Century Gothic" w:hAnsi="Century Gothic"/>
                <w:sz w:val="22"/>
                <w:szCs w:val="22"/>
              </w:rPr>
              <w:t>Que se declare la nulidad del oficio proferido por la E.S.E. Hospital Universitario de La Samaritana el día 8 de mayo de 2024, mediante el cual se negó la solicitud elevada por el demandante para el reconocimiento de la relación laboral y el pago de las prestaciones sociales correspondientes.</w:t>
            </w:r>
          </w:p>
          <w:p w14:paraId="37F88756" w14:textId="77777777" w:rsidR="00F07DE9" w:rsidRPr="00F07DE9" w:rsidRDefault="00F07DE9" w:rsidP="00415463">
            <w:pPr>
              <w:pStyle w:val="Prrafodelista"/>
              <w:numPr>
                <w:ilvl w:val="0"/>
                <w:numId w:val="6"/>
              </w:numPr>
              <w:jc w:val="both"/>
              <w:rPr>
                <w:rFonts w:ascii="Century Gothic" w:hAnsi="Century Gothic"/>
                <w:sz w:val="22"/>
                <w:szCs w:val="22"/>
              </w:rPr>
            </w:pPr>
            <w:r w:rsidRPr="00F07DE9">
              <w:rPr>
                <w:rFonts w:ascii="Century Gothic" w:hAnsi="Century Gothic"/>
                <w:sz w:val="22"/>
                <w:szCs w:val="22"/>
              </w:rPr>
              <w:t>Que, como consecuencia de las anteriores declaraciones, se condene a la E.S.E. Hospital Universitario de La Samaritana al pago de acreencias laborales y prestacionales, incluyendo, entre otros conceptos:</w:t>
            </w:r>
          </w:p>
          <w:p w14:paraId="546CB247" w14:textId="77777777" w:rsidR="00F07DE9" w:rsidRPr="00F07DE9" w:rsidRDefault="00F07DE9" w:rsidP="00415463">
            <w:pPr>
              <w:pStyle w:val="Prrafodelista"/>
              <w:numPr>
                <w:ilvl w:val="0"/>
                <w:numId w:val="6"/>
              </w:numPr>
              <w:jc w:val="both"/>
              <w:rPr>
                <w:rFonts w:ascii="Century Gothic" w:hAnsi="Century Gothic"/>
                <w:sz w:val="22"/>
                <w:szCs w:val="22"/>
              </w:rPr>
            </w:pPr>
            <w:r w:rsidRPr="00F07DE9">
              <w:rPr>
                <w:rFonts w:ascii="Century Gothic" w:hAnsi="Century Gothic"/>
                <w:sz w:val="22"/>
                <w:szCs w:val="22"/>
              </w:rPr>
              <w:t>Los factores salariales y prestacionales aplicables a los empleados públicos que desempeñan funciones equivalentes a las ejecutadas por el demandante.</w:t>
            </w:r>
          </w:p>
          <w:p w14:paraId="690024EF" w14:textId="77777777" w:rsidR="00F07DE9" w:rsidRPr="00F07DE9" w:rsidRDefault="00F07DE9" w:rsidP="00415463">
            <w:pPr>
              <w:pStyle w:val="Prrafodelista"/>
              <w:numPr>
                <w:ilvl w:val="0"/>
                <w:numId w:val="6"/>
              </w:numPr>
              <w:jc w:val="both"/>
              <w:rPr>
                <w:rFonts w:ascii="Century Gothic" w:hAnsi="Century Gothic"/>
                <w:sz w:val="22"/>
                <w:szCs w:val="22"/>
              </w:rPr>
            </w:pPr>
            <w:r w:rsidRPr="00F07DE9">
              <w:rPr>
                <w:rFonts w:ascii="Century Gothic" w:hAnsi="Century Gothic"/>
                <w:sz w:val="22"/>
                <w:szCs w:val="22"/>
              </w:rPr>
              <w:t>El reconocimiento y pago de diferencias salariales, así como indemnizaciones legales y sanciones por falta de pago oportuno.</w:t>
            </w:r>
          </w:p>
          <w:p w14:paraId="4595C82E" w14:textId="77777777" w:rsidR="00F07DE9" w:rsidRPr="00F07DE9" w:rsidRDefault="00F07DE9" w:rsidP="00415463">
            <w:pPr>
              <w:pStyle w:val="Prrafodelista"/>
              <w:numPr>
                <w:ilvl w:val="0"/>
                <w:numId w:val="6"/>
              </w:numPr>
              <w:jc w:val="both"/>
              <w:rPr>
                <w:rFonts w:ascii="Century Gothic" w:hAnsi="Century Gothic"/>
                <w:sz w:val="22"/>
                <w:szCs w:val="22"/>
              </w:rPr>
            </w:pPr>
            <w:r w:rsidRPr="00F07DE9">
              <w:rPr>
                <w:rFonts w:ascii="Century Gothic" w:hAnsi="Century Gothic"/>
                <w:sz w:val="22"/>
                <w:szCs w:val="22"/>
              </w:rPr>
              <w:t>Los efectos retroactivos de la relación laboral, con inclusión de los ajustes en materia de seguridad social integral.</w:t>
            </w:r>
          </w:p>
          <w:p w14:paraId="1E2D6102" w14:textId="77777777" w:rsidR="00F07DE9" w:rsidRPr="00F07DE9" w:rsidRDefault="00F07DE9" w:rsidP="00415463">
            <w:pPr>
              <w:pStyle w:val="Prrafodelista"/>
              <w:numPr>
                <w:ilvl w:val="0"/>
                <w:numId w:val="6"/>
              </w:numPr>
              <w:jc w:val="both"/>
              <w:rPr>
                <w:rFonts w:ascii="Century Gothic" w:hAnsi="Century Gothic"/>
                <w:sz w:val="22"/>
                <w:szCs w:val="22"/>
              </w:rPr>
            </w:pPr>
            <w:r w:rsidRPr="00F07DE9">
              <w:rPr>
                <w:rFonts w:ascii="Century Gothic" w:hAnsi="Century Gothic"/>
                <w:sz w:val="22"/>
                <w:szCs w:val="22"/>
              </w:rPr>
              <w:t>El pago de una suma líquida estimada en $135.751.559,24 M/CTE, correspondiente a valores adeudados por salarios, prestaciones sociales e indemnizaciones.</w:t>
            </w:r>
          </w:p>
          <w:p w14:paraId="4DEF4A77" w14:textId="77777777" w:rsidR="00F07DE9" w:rsidRPr="00F07DE9" w:rsidRDefault="00F07DE9" w:rsidP="00415463">
            <w:pPr>
              <w:pStyle w:val="Prrafodelista"/>
              <w:numPr>
                <w:ilvl w:val="0"/>
                <w:numId w:val="6"/>
              </w:numPr>
              <w:jc w:val="both"/>
              <w:rPr>
                <w:rFonts w:ascii="Century Gothic" w:hAnsi="Century Gothic"/>
                <w:sz w:val="22"/>
                <w:szCs w:val="22"/>
              </w:rPr>
            </w:pPr>
            <w:r w:rsidRPr="00F07DE9">
              <w:rPr>
                <w:rFonts w:ascii="Century Gothic" w:hAnsi="Century Gothic"/>
                <w:sz w:val="22"/>
                <w:szCs w:val="22"/>
              </w:rPr>
              <w:t>La reparación de los perjuicios morales derivados del desconocimiento de la relación laboral.</w:t>
            </w:r>
          </w:p>
          <w:p w14:paraId="70088EAB" w14:textId="77777777" w:rsidR="00F07DE9" w:rsidRPr="00F07DE9" w:rsidRDefault="00F07DE9" w:rsidP="00415463">
            <w:pPr>
              <w:pStyle w:val="Prrafodelista"/>
              <w:numPr>
                <w:ilvl w:val="0"/>
                <w:numId w:val="6"/>
              </w:numPr>
              <w:jc w:val="both"/>
              <w:rPr>
                <w:rFonts w:ascii="Century Gothic" w:hAnsi="Century Gothic"/>
                <w:sz w:val="22"/>
                <w:szCs w:val="22"/>
              </w:rPr>
            </w:pPr>
            <w:r w:rsidRPr="00F07DE9">
              <w:rPr>
                <w:rFonts w:ascii="Century Gothic" w:hAnsi="Century Gothic"/>
                <w:sz w:val="22"/>
                <w:szCs w:val="22"/>
              </w:rPr>
              <w:t>El pago de todas las sumas ordenadas, debidamente actualizadas o indexadas, junto con los respectivos intereses moratorios desde la fecha de causación y hasta el pago efectivo.</w:t>
            </w:r>
          </w:p>
          <w:p w14:paraId="6E13F39C" w14:textId="311EC94F" w:rsidR="00FD53B3" w:rsidRDefault="00430BED" w:rsidP="00415463">
            <w:pPr>
              <w:ind w:left="360"/>
              <w:jc w:val="both"/>
              <w:rPr>
                <w:rFonts w:ascii="Century Gothic" w:hAnsi="Century Gothic"/>
                <w:sz w:val="22"/>
                <w:szCs w:val="22"/>
              </w:rPr>
            </w:pPr>
            <w:r>
              <w:rPr>
                <w:rFonts w:ascii="Century Gothic" w:hAnsi="Century Gothic"/>
                <w:sz w:val="22"/>
                <w:szCs w:val="22"/>
              </w:rPr>
              <w:t>2. Pretensión del llamamiento en garantía:</w:t>
            </w:r>
          </w:p>
          <w:p w14:paraId="5E93CEC5" w14:textId="77777777" w:rsidR="00430BED" w:rsidRDefault="00430BED" w:rsidP="00415463">
            <w:pPr>
              <w:jc w:val="both"/>
              <w:rPr>
                <w:rFonts w:ascii="Century Gothic" w:hAnsi="Century Gothic"/>
                <w:sz w:val="22"/>
                <w:szCs w:val="22"/>
              </w:rPr>
            </w:pPr>
          </w:p>
          <w:p w14:paraId="093E29D7" w14:textId="77777777" w:rsidR="00430BED" w:rsidRDefault="00430BED" w:rsidP="00415463">
            <w:pPr>
              <w:jc w:val="both"/>
              <w:rPr>
                <w:rFonts w:ascii="Century Gothic" w:hAnsi="Century Gothic"/>
                <w:sz w:val="22"/>
                <w:szCs w:val="22"/>
              </w:rPr>
            </w:pPr>
            <w:r w:rsidRPr="00430BED">
              <w:rPr>
                <w:rFonts w:ascii="Century Gothic" w:hAnsi="Century Gothic"/>
                <w:sz w:val="22"/>
                <w:szCs w:val="22"/>
              </w:rPr>
              <w:t xml:space="preserve">En el evento de darse al interior de este proceso una condena contra el Hospital demandado se ve conminada La Equidad Seguros Generales, </w:t>
            </w:r>
            <w:r w:rsidR="00FD2991" w:rsidRPr="00430BED">
              <w:rPr>
                <w:rFonts w:ascii="Century Gothic" w:hAnsi="Century Gothic"/>
                <w:sz w:val="22"/>
                <w:szCs w:val="22"/>
              </w:rPr>
              <w:t>debido a</w:t>
            </w:r>
            <w:r w:rsidRPr="00430BED">
              <w:rPr>
                <w:rFonts w:ascii="Century Gothic" w:hAnsi="Century Gothic"/>
                <w:sz w:val="22"/>
                <w:szCs w:val="22"/>
              </w:rPr>
              <w:t xml:space="preserve"> una obligación contractual de seguro, a asumir el pago en su totalidad y por todo concepto de las sumas dinerarias a que se vea obligada la entidad llamante.</w:t>
            </w:r>
          </w:p>
          <w:p w14:paraId="617280EC" w14:textId="77777777" w:rsidR="00F51806" w:rsidRDefault="00F51806" w:rsidP="00415463">
            <w:pPr>
              <w:jc w:val="both"/>
              <w:rPr>
                <w:rFonts w:ascii="Century Gothic" w:hAnsi="Century Gothic"/>
                <w:sz w:val="22"/>
                <w:szCs w:val="22"/>
              </w:rPr>
            </w:pPr>
          </w:p>
          <w:p w14:paraId="77C06868" w14:textId="0543BC53" w:rsidR="00F51806" w:rsidRPr="00430BED" w:rsidRDefault="00F51806" w:rsidP="00415463">
            <w:pPr>
              <w:jc w:val="both"/>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415463">
            <w:pPr>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7E73450D" w:rsidR="00992368" w:rsidRPr="00BA1E5F" w:rsidRDefault="001E1616" w:rsidP="00415463">
            <w:pPr>
              <w:rPr>
                <w:rFonts w:ascii="Century Gothic" w:hAnsi="Century Gothic"/>
                <w:sz w:val="22"/>
                <w:szCs w:val="22"/>
              </w:rPr>
            </w:pPr>
            <w:r w:rsidRPr="00BA1E5F">
              <w:rPr>
                <w:rFonts w:ascii="Century Gothic" w:hAnsi="Century Gothic"/>
                <w:sz w:val="22"/>
                <w:szCs w:val="22"/>
              </w:rPr>
              <w:t>$</w:t>
            </w:r>
            <w:r w:rsidR="00FD2991" w:rsidRPr="00FD2991">
              <w:rPr>
                <w:rFonts w:ascii="Century Gothic" w:hAnsi="Century Gothic"/>
                <w:sz w:val="22"/>
                <w:szCs w:val="22"/>
              </w:rPr>
              <w:t>187.751.559,24,</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415463">
            <w:pPr>
              <w:rPr>
                <w:rFonts w:ascii="Century Gothic" w:hAnsi="Century Gothic"/>
                <w:b/>
                <w:bCs/>
                <w:sz w:val="22"/>
                <w:szCs w:val="22"/>
              </w:rPr>
            </w:pPr>
            <w:r w:rsidRPr="00BA1E5F">
              <w:rPr>
                <w:rFonts w:ascii="Century Gothic" w:hAnsi="Century Gothic"/>
                <w:b/>
                <w:bCs/>
                <w:sz w:val="22"/>
                <w:szCs w:val="22"/>
              </w:rPr>
              <w:lastRenderedPageBreak/>
              <w:t>Valor total de las pretensiones objetivadas</w:t>
            </w:r>
          </w:p>
        </w:tc>
        <w:tc>
          <w:tcPr>
            <w:tcW w:w="5670" w:type="dxa"/>
            <w:vAlign w:val="center"/>
          </w:tcPr>
          <w:p w14:paraId="487C6084" w14:textId="536571BE" w:rsidR="00992368" w:rsidRPr="00F51806" w:rsidRDefault="00F51806" w:rsidP="00415463">
            <w:pPr>
              <w:rPr>
                <w:rFonts w:ascii="Century Gothic" w:hAnsi="Century Gothic"/>
                <w:sz w:val="22"/>
                <w:szCs w:val="22"/>
              </w:rPr>
            </w:pPr>
            <w:r w:rsidRPr="00F51806">
              <w:rPr>
                <w:rFonts w:ascii="Century Gothic" w:hAnsi="Century Gothic"/>
                <w:sz w:val="22"/>
                <w:szCs w:val="22"/>
              </w:rPr>
              <w:t>$953.021,49</w:t>
            </w:r>
          </w:p>
        </w:tc>
      </w:tr>
    </w:tbl>
    <w:p w14:paraId="146E9C6D" w14:textId="77777777" w:rsidR="0095378E" w:rsidRDefault="0095378E" w:rsidP="00415463"/>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415463">
            <w:pPr>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69F60FC4" w14:textId="77777777" w:rsidR="007B3CF8" w:rsidRDefault="007B3CF8" w:rsidP="00415463">
            <w:pPr>
              <w:rPr>
                <w:rFonts w:ascii="Century Gothic" w:hAnsi="Century Gothic"/>
                <w:sz w:val="22"/>
                <w:szCs w:val="22"/>
              </w:rPr>
            </w:pPr>
          </w:p>
          <w:p w14:paraId="1A73D792" w14:textId="41865159" w:rsidR="00D075CF" w:rsidRDefault="007B3CF8" w:rsidP="00415463">
            <w:pPr>
              <w:jc w:val="both"/>
              <w:rPr>
                <w:rFonts w:ascii="Century Gothic" w:hAnsi="Century Gothic"/>
                <w:sz w:val="22"/>
                <w:szCs w:val="22"/>
                <w:lang w:val="es-ES"/>
              </w:rPr>
            </w:pPr>
            <w:r>
              <w:rPr>
                <w:rFonts w:ascii="Century Gothic" w:hAnsi="Century Gothic"/>
                <w:sz w:val="22"/>
                <w:szCs w:val="22"/>
              </w:rPr>
              <w:t xml:space="preserve">Nota aclaratoria: </w:t>
            </w:r>
            <w:r w:rsidR="005754C7" w:rsidRPr="005754C7">
              <w:rPr>
                <w:rFonts w:ascii="Century Gothic" w:hAnsi="Century Gothic"/>
                <w:sz w:val="22"/>
                <w:szCs w:val="22"/>
              </w:rPr>
              <w:t>Pese a que, según el demandante, la relación laboral se mantuvo vigente hasta la presentación de la demanda, el 9 de septiembre de 2024, lo cierto es que el amparo de Pago de Salarios, Prestaciones Sociales e Indemnización Laboral inició su vigencia el 30 de enero de 2024</w:t>
            </w:r>
            <w:r w:rsidR="00D075CF">
              <w:rPr>
                <w:rFonts w:ascii="Century Gothic" w:hAnsi="Century Gothic"/>
                <w:sz w:val="22"/>
                <w:szCs w:val="22"/>
              </w:rPr>
              <w:t xml:space="preserve">, hasta el </w:t>
            </w:r>
            <w:r w:rsidR="00D075CF" w:rsidRPr="00D075CF">
              <w:rPr>
                <w:rFonts w:ascii="Century Gothic" w:hAnsi="Century Gothic"/>
                <w:sz w:val="22"/>
                <w:szCs w:val="22"/>
                <w:lang w:val="es-ES"/>
              </w:rPr>
              <w:t>hasta el 30 de abril de 2024</w:t>
            </w:r>
            <w:r w:rsidR="00D075CF">
              <w:rPr>
                <w:rFonts w:ascii="Century Gothic" w:hAnsi="Century Gothic"/>
                <w:sz w:val="22"/>
                <w:szCs w:val="22"/>
                <w:lang w:val="es-ES"/>
              </w:rPr>
              <w:t xml:space="preserve">, </w:t>
            </w:r>
          </w:p>
          <w:p w14:paraId="61279C18" w14:textId="77777777" w:rsidR="00D075CF" w:rsidRPr="00D075CF" w:rsidRDefault="00D075CF" w:rsidP="00415463">
            <w:pPr>
              <w:jc w:val="both"/>
              <w:rPr>
                <w:rFonts w:ascii="Century Gothic" w:hAnsi="Century Gothic"/>
                <w:sz w:val="22"/>
                <w:szCs w:val="22"/>
                <w:lang w:val="es-ES"/>
              </w:rPr>
            </w:pPr>
          </w:p>
          <w:p w14:paraId="4B594592" w14:textId="7E667C91" w:rsidR="007B3CF8" w:rsidRDefault="005754C7" w:rsidP="00415463">
            <w:pPr>
              <w:jc w:val="both"/>
              <w:rPr>
                <w:rFonts w:ascii="Century Gothic" w:hAnsi="Century Gothic"/>
                <w:sz w:val="22"/>
                <w:szCs w:val="22"/>
              </w:rPr>
            </w:pPr>
            <w:r w:rsidRPr="005754C7">
              <w:rPr>
                <w:rFonts w:ascii="Century Gothic" w:hAnsi="Century Gothic"/>
                <w:sz w:val="22"/>
                <w:szCs w:val="22"/>
              </w:rPr>
              <w:t>Por lo tanto, el período potencial a considerar para la liquidación a cargo de La Equidad, bajo los supuestos de su póliza y en atención a la fecha de presentación de la demanda, sería desde</w:t>
            </w:r>
            <w:r w:rsidR="00D075CF">
              <w:rPr>
                <w:rFonts w:ascii="Century Gothic" w:hAnsi="Century Gothic"/>
                <w:sz w:val="22"/>
                <w:szCs w:val="22"/>
              </w:rPr>
              <w:t xml:space="preserve"> el </w:t>
            </w:r>
            <w:r w:rsidR="00D075CF" w:rsidRPr="00D075CF">
              <w:rPr>
                <w:rFonts w:ascii="Century Gothic" w:hAnsi="Century Gothic"/>
                <w:sz w:val="22"/>
                <w:szCs w:val="22"/>
                <w:lang w:val="es-ES"/>
              </w:rPr>
              <w:t>30 de enero de 2024 hasta el 30 de abril de 2024</w:t>
            </w:r>
            <w:r w:rsidRPr="005754C7">
              <w:rPr>
                <w:rFonts w:ascii="Century Gothic" w:hAnsi="Century Gothic"/>
                <w:sz w:val="22"/>
                <w:szCs w:val="22"/>
              </w:rPr>
              <w:t>. Este plazo representa las acreencias que tendrían cobertura bajo la Póliza de Cumplimiento del Contrato No. AB001559.</w:t>
            </w:r>
          </w:p>
          <w:p w14:paraId="4C1D1D4F" w14:textId="77777777" w:rsidR="00E1110A" w:rsidRDefault="00E1110A" w:rsidP="00415463">
            <w:pPr>
              <w:jc w:val="both"/>
              <w:rPr>
                <w:rFonts w:ascii="Century Gothic" w:hAnsi="Century Gothic"/>
                <w:sz w:val="22"/>
                <w:szCs w:val="22"/>
              </w:rPr>
            </w:pPr>
          </w:p>
          <w:p w14:paraId="4A101FB6" w14:textId="77777777" w:rsidR="00E1110A" w:rsidRDefault="00E1110A" w:rsidP="00415463">
            <w:pPr>
              <w:rPr>
                <w:rFonts w:ascii="Century Gothic" w:hAnsi="Century Gothic"/>
                <w:sz w:val="22"/>
                <w:szCs w:val="22"/>
                <w:lang w:val="es-ES"/>
              </w:rPr>
            </w:pPr>
            <w:r w:rsidRPr="001A6EFC">
              <w:rPr>
                <w:rFonts w:ascii="Century Gothic" w:hAnsi="Century Gothic"/>
                <w:sz w:val="22"/>
                <w:szCs w:val="22"/>
                <w:lang w:val="es-ES"/>
              </w:rPr>
              <w:t>El valor de $1.490.000 corresponde al último salario devengado por la parte demandante.</w:t>
            </w:r>
          </w:p>
          <w:p w14:paraId="394D6996" w14:textId="77777777" w:rsidR="00E1110A" w:rsidRDefault="00E1110A" w:rsidP="00415463">
            <w:pPr>
              <w:rPr>
                <w:rFonts w:ascii="Century Gothic" w:hAnsi="Century Gothic"/>
                <w:sz w:val="22"/>
                <w:szCs w:val="22"/>
                <w:lang w:val="es-ES"/>
              </w:rPr>
            </w:pPr>
          </w:p>
          <w:p w14:paraId="438D88A8" w14:textId="52203992" w:rsidR="001A6EFC" w:rsidRPr="001A6EFC" w:rsidRDefault="001A6EFC" w:rsidP="00415463">
            <w:pPr>
              <w:rPr>
                <w:rFonts w:ascii="Century Gothic" w:hAnsi="Century Gothic"/>
                <w:sz w:val="22"/>
                <w:szCs w:val="22"/>
                <w:lang w:val="es-ES"/>
              </w:rPr>
            </w:pPr>
            <w:r w:rsidRPr="001A6EFC">
              <w:rPr>
                <w:rFonts w:ascii="Century Gothic" w:hAnsi="Century Gothic"/>
                <w:sz w:val="22"/>
                <w:szCs w:val="22"/>
                <w:lang w:val="es-ES"/>
              </w:rPr>
              <w:t>Prima de servicios: Para su cálculo semestral se utilizó la siguiente fórmula:</w:t>
            </w:r>
          </w:p>
          <w:p w14:paraId="27C065F5" w14:textId="3E91404B" w:rsidR="001A6EFC" w:rsidRDefault="001A6EFC" w:rsidP="00415463">
            <w:pPr>
              <w:rPr>
                <w:rFonts w:ascii="Century Gothic" w:hAnsi="Century Gothic"/>
                <w:sz w:val="22"/>
                <w:szCs w:val="22"/>
                <w:lang w:val="es-ES"/>
              </w:rPr>
            </w:pPr>
            <w:r w:rsidRPr="001A6EFC">
              <w:rPr>
                <w:rFonts w:ascii="Century Gothic" w:hAnsi="Century Gothic"/>
                <w:sz w:val="22"/>
                <w:szCs w:val="22"/>
                <w:lang w:val="es-ES"/>
              </w:rPr>
              <w:t xml:space="preserve">Salario base ($1.490.000) × </w:t>
            </w:r>
            <w:r w:rsidR="00E1110A" w:rsidRPr="00E1110A">
              <w:rPr>
                <w:rFonts w:ascii="Century Gothic" w:hAnsi="Century Gothic"/>
                <w:sz w:val="22"/>
                <w:szCs w:val="22"/>
                <w:lang w:val="es-ES"/>
              </w:rPr>
              <w:t xml:space="preserve">91 </w:t>
            </w:r>
            <w:r w:rsidR="00E1110A" w:rsidRPr="001A6EFC">
              <w:rPr>
                <w:rFonts w:ascii="Century Gothic" w:hAnsi="Century Gothic"/>
                <w:sz w:val="22"/>
                <w:szCs w:val="22"/>
                <w:lang w:val="es-ES"/>
              </w:rPr>
              <w:t>días</w:t>
            </w:r>
            <w:r w:rsidRPr="001A6EFC">
              <w:rPr>
                <w:rFonts w:ascii="Century Gothic" w:hAnsi="Century Gothic"/>
                <w:sz w:val="22"/>
                <w:szCs w:val="22"/>
                <w:lang w:val="es-ES"/>
              </w:rPr>
              <w:t xml:space="preserve"> / 360 días.</w:t>
            </w:r>
          </w:p>
          <w:p w14:paraId="0BBB8C97" w14:textId="77777777" w:rsidR="00867D85" w:rsidRDefault="00867D85" w:rsidP="00415463">
            <w:pPr>
              <w:rPr>
                <w:rFonts w:ascii="Century Gothic" w:hAnsi="Century Gothic"/>
                <w:sz w:val="22"/>
                <w:szCs w:val="22"/>
              </w:rPr>
            </w:pPr>
          </w:p>
          <w:p w14:paraId="386FD3B4" w14:textId="6C65C9C8" w:rsidR="00B329C2" w:rsidRDefault="00B329C2" w:rsidP="00415463">
            <w:pPr>
              <w:rPr>
                <w:rFonts w:ascii="Century Gothic" w:hAnsi="Century Gothic"/>
                <w:sz w:val="22"/>
                <w:szCs w:val="22"/>
              </w:rPr>
            </w:pPr>
            <w:r w:rsidRPr="001A6EFC">
              <w:rPr>
                <w:rFonts w:ascii="Century Gothic" w:hAnsi="Century Gothic"/>
                <w:sz w:val="22"/>
                <w:szCs w:val="22"/>
                <w:lang w:val="es-ES"/>
              </w:rPr>
              <w:t xml:space="preserve">Prima de servicios: </w:t>
            </w:r>
            <w:r>
              <w:rPr>
                <w:rFonts w:ascii="Century Gothic" w:hAnsi="Century Gothic"/>
                <w:sz w:val="22"/>
                <w:szCs w:val="22"/>
                <w:lang w:val="es-ES"/>
              </w:rPr>
              <w:t xml:space="preserve"> </w:t>
            </w:r>
            <w:r w:rsidRPr="00B329C2">
              <w:rPr>
                <w:rFonts w:ascii="Century Gothic" w:hAnsi="Century Gothic"/>
                <w:sz w:val="22"/>
                <w:szCs w:val="22"/>
              </w:rPr>
              <w:t>$</w:t>
            </w:r>
            <w:r w:rsidR="00E1110A" w:rsidRPr="00E1110A">
              <w:rPr>
                <w:rFonts w:ascii="Century Gothic" w:hAnsi="Century Gothic"/>
                <w:sz w:val="22"/>
                <w:szCs w:val="22"/>
              </w:rPr>
              <w:t>376.638,89.</w:t>
            </w:r>
          </w:p>
          <w:p w14:paraId="7D802F40" w14:textId="77777777" w:rsidR="00B329C2" w:rsidRDefault="00B329C2" w:rsidP="00415463">
            <w:pPr>
              <w:rPr>
                <w:rFonts w:ascii="Century Gothic" w:hAnsi="Century Gothic"/>
                <w:sz w:val="22"/>
                <w:szCs w:val="22"/>
              </w:rPr>
            </w:pPr>
          </w:p>
          <w:p w14:paraId="5526A882" w14:textId="780F2D57" w:rsidR="00867D85" w:rsidRPr="00E1110A" w:rsidRDefault="00867D85" w:rsidP="00415463">
            <w:pPr>
              <w:rPr>
                <w:rFonts w:ascii="Century Gothic" w:hAnsi="Century Gothic"/>
                <w:b/>
                <w:bCs/>
                <w:sz w:val="22"/>
                <w:szCs w:val="22"/>
              </w:rPr>
            </w:pPr>
            <w:r w:rsidRPr="00E1110A">
              <w:rPr>
                <w:rFonts w:ascii="Century Gothic" w:hAnsi="Century Gothic"/>
                <w:b/>
                <w:bCs/>
                <w:sz w:val="22"/>
                <w:szCs w:val="22"/>
              </w:rPr>
              <w:t xml:space="preserve">Total: </w:t>
            </w:r>
            <w:r w:rsidR="00B329C2" w:rsidRPr="00E1110A">
              <w:rPr>
                <w:rFonts w:ascii="Century Gothic" w:hAnsi="Century Gothic"/>
                <w:b/>
                <w:bCs/>
                <w:sz w:val="22"/>
                <w:szCs w:val="22"/>
              </w:rPr>
              <w:t>$</w:t>
            </w:r>
            <w:r w:rsidR="00E1110A" w:rsidRPr="00E1110A">
              <w:rPr>
                <w:rFonts w:ascii="Century Gothic" w:hAnsi="Century Gothic"/>
                <w:b/>
                <w:bCs/>
                <w:sz w:val="22"/>
                <w:szCs w:val="22"/>
              </w:rPr>
              <w:t>376.638,89.</w:t>
            </w:r>
          </w:p>
          <w:p w14:paraId="66CB83DC" w14:textId="77777777" w:rsidR="000837E7" w:rsidRDefault="000837E7" w:rsidP="00415463">
            <w:pPr>
              <w:rPr>
                <w:rFonts w:ascii="Century Gothic" w:hAnsi="Century Gothic"/>
                <w:sz w:val="22"/>
                <w:szCs w:val="22"/>
              </w:rPr>
            </w:pPr>
          </w:p>
          <w:p w14:paraId="001B500B" w14:textId="359CDFB8" w:rsidR="000837E7" w:rsidRDefault="000837E7" w:rsidP="00415463">
            <w:pPr>
              <w:rPr>
                <w:rFonts w:ascii="Century Gothic" w:hAnsi="Century Gothic"/>
                <w:sz w:val="22"/>
                <w:szCs w:val="22"/>
              </w:rPr>
            </w:pPr>
            <w:r>
              <w:rPr>
                <w:rFonts w:ascii="Century Gothic" w:hAnsi="Century Gothic"/>
                <w:sz w:val="22"/>
                <w:szCs w:val="22"/>
              </w:rPr>
              <w:t>Vacaciones</w:t>
            </w:r>
            <w:r w:rsidR="00867D85">
              <w:rPr>
                <w:rFonts w:ascii="Century Gothic" w:hAnsi="Century Gothic"/>
                <w:sz w:val="22"/>
                <w:szCs w:val="22"/>
              </w:rPr>
              <w:t xml:space="preserve"> (para calcularla semestralmente se utilizó la siguiente fórmula: </w:t>
            </w:r>
            <w:r w:rsidR="00867D85" w:rsidRPr="00867D85">
              <w:rPr>
                <w:rFonts w:ascii="Century Gothic" w:hAnsi="Century Gothic"/>
                <w:sz w:val="22"/>
                <w:szCs w:val="22"/>
              </w:rPr>
              <w:t>(Salario mensual básico x Días trabajados) / 72</w:t>
            </w:r>
            <w:r w:rsidR="00E1110A">
              <w:rPr>
                <w:rFonts w:ascii="Century Gothic" w:hAnsi="Century Gothic"/>
                <w:sz w:val="22"/>
                <w:szCs w:val="22"/>
              </w:rPr>
              <w:t>0</w:t>
            </w:r>
            <w:r w:rsidR="00867D85">
              <w:rPr>
                <w:rFonts w:ascii="Century Gothic" w:hAnsi="Century Gothic"/>
                <w:sz w:val="22"/>
                <w:szCs w:val="22"/>
              </w:rPr>
              <w:t>):</w:t>
            </w:r>
          </w:p>
          <w:p w14:paraId="56031267" w14:textId="77777777" w:rsidR="00867D85" w:rsidRDefault="00867D85" w:rsidP="00415463">
            <w:pPr>
              <w:rPr>
                <w:rFonts w:ascii="Century Gothic" w:hAnsi="Century Gothic"/>
                <w:sz w:val="22"/>
                <w:szCs w:val="22"/>
              </w:rPr>
            </w:pPr>
          </w:p>
          <w:p w14:paraId="632E0DE7" w14:textId="1C678C31" w:rsidR="00867D85" w:rsidRDefault="00B329C2" w:rsidP="00415463">
            <w:pPr>
              <w:rPr>
                <w:rFonts w:ascii="Century Gothic" w:hAnsi="Century Gothic"/>
                <w:sz w:val="22"/>
                <w:szCs w:val="22"/>
              </w:rPr>
            </w:pPr>
            <w:r>
              <w:rPr>
                <w:rFonts w:ascii="Century Gothic" w:hAnsi="Century Gothic"/>
                <w:sz w:val="22"/>
                <w:szCs w:val="22"/>
              </w:rPr>
              <w:t xml:space="preserve">Vacaciones: </w:t>
            </w:r>
            <w:r w:rsidR="007A7775" w:rsidRPr="007A7775">
              <w:rPr>
                <w:rFonts w:ascii="Century Gothic" w:hAnsi="Century Gothic"/>
                <w:sz w:val="22"/>
                <w:szCs w:val="22"/>
              </w:rPr>
              <w:t>$188.319</w:t>
            </w:r>
          </w:p>
          <w:p w14:paraId="2DC8A637" w14:textId="77777777" w:rsidR="007A7775" w:rsidRDefault="007A7775" w:rsidP="00415463">
            <w:pPr>
              <w:rPr>
                <w:rFonts w:ascii="Century Gothic" w:hAnsi="Century Gothic"/>
                <w:sz w:val="22"/>
                <w:szCs w:val="22"/>
              </w:rPr>
            </w:pPr>
          </w:p>
          <w:p w14:paraId="034DB618" w14:textId="7B6E9769" w:rsidR="00B329C2" w:rsidRPr="00B329C2" w:rsidRDefault="00867D85" w:rsidP="00415463">
            <w:pPr>
              <w:rPr>
                <w:rFonts w:ascii="Century Gothic" w:hAnsi="Century Gothic"/>
                <w:b/>
                <w:bCs/>
                <w:sz w:val="22"/>
                <w:szCs w:val="22"/>
              </w:rPr>
            </w:pPr>
            <w:r w:rsidRPr="00120544">
              <w:rPr>
                <w:rFonts w:ascii="Century Gothic" w:hAnsi="Century Gothic"/>
                <w:b/>
                <w:bCs/>
                <w:sz w:val="22"/>
                <w:szCs w:val="22"/>
              </w:rPr>
              <w:t>T</w:t>
            </w:r>
            <w:r w:rsidRPr="00B329C2">
              <w:rPr>
                <w:rFonts w:ascii="Century Gothic" w:hAnsi="Century Gothic"/>
                <w:b/>
                <w:bCs/>
                <w:sz w:val="22"/>
                <w:szCs w:val="22"/>
              </w:rPr>
              <w:t xml:space="preserve">otal: </w:t>
            </w:r>
            <w:r w:rsidR="007A7775" w:rsidRPr="007A7775">
              <w:rPr>
                <w:rFonts w:ascii="Century Gothic" w:hAnsi="Century Gothic"/>
                <w:b/>
                <w:bCs/>
                <w:sz w:val="22"/>
                <w:szCs w:val="22"/>
              </w:rPr>
              <w:t>$188.319</w:t>
            </w:r>
          </w:p>
          <w:p w14:paraId="040D38A8" w14:textId="77777777" w:rsidR="000837E7" w:rsidRDefault="000837E7" w:rsidP="00415463">
            <w:pPr>
              <w:rPr>
                <w:rFonts w:ascii="Century Gothic" w:hAnsi="Century Gothic"/>
                <w:sz w:val="22"/>
                <w:szCs w:val="22"/>
              </w:rPr>
            </w:pPr>
          </w:p>
          <w:p w14:paraId="48C50EE1" w14:textId="55CCCBB6" w:rsidR="00120544" w:rsidRDefault="000837E7" w:rsidP="00415463">
            <w:pPr>
              <w:rPr>
                <w:rFonts w:ascii="Century Gothic" w:hAnsi="Century Gothic"/>
                <w:sz w:val="22"/>
                <w:szCs w:val="22"/>
              </w:rPr>
            </w:pPr>
            <w:r>
              <w:rPr>
                <w:rFonts w:ascii="Century Gothic" w:hAnsi="Century Gothic"/>
                <w:sz w:val="22"/>
                <w:szCs w:val="22"/>
              </w:rPr>
              <w:t>Cesantías</w:t>
            </w:r>
            <w:r w:rsidR="00120544">
              <w:rPr>
                <w:rFonts w:ascii="Century Gothic" w:hAnsi="Century Gothic"/>
                <w:sz w:val="22"/>
                <w:szCs w:val="22"/>
              </w:rPr>
              <w:t xml:space="preserve"> (para calcularla semestralmente se utilizó la siguiente fórmula: </w:t>
            </w:r>
            <w:r w:rsidR="00120544" w:rsidRPr="00120544">
              <w:rPr>
                <w:rFonts w:ascii="Century Gothic" w:hAnsi="Century Gothic"/>
                <w:sz w:val="22"/>
                <w:szCs w:val="22"/>
              </w:rPr>
              <w:t>(Salario mensual x días trabajados) ÷ 360</w:t>
            </w:r>
            <w:r w:rsidR="00120544">
              <w:rPr>
                <w:rFonts w:ascii="Century Gothic" w:hAnsi="Century Gothic"/>
                <w:sz w:val="22"/>
                <w:szCs w:val="22"/>
              </w:rPr>
              <w:t>):</w:t>
            </w:r>
          </w:p>
          <w:p w14:paraId="65AD5C61" w14:textId="77777777" w:rsidR="00A1602E" w:rsidRDefault="00A1602E" w:rsidP="00415463">
            <w:pPr>
              <w:rPr>
                <w:rFonts w:ascii="Century Gothic" w:hAnsi="Century Gothic"/>
                <w:sz w:val="22"/>
                <w:szCs w:val="22"/>
              </w:rPr>
            </w:pPr>
          </w:p>
          <w:p w14:paraId="76FCCA14" w14:textId="62C9757E" w:rsidR="007B3CF8" w:rsidRDefault="00B329C2" w:rsidP="00415463">
            <w:pPr>
              <w:rPr>
                <w:rFonts w:ascii="Century Gothic" w:hAnsi="Century Gothic"/>
                <w:sz w:val="22"/>
                <w:szCs w:val="22"/>
              </w:rPr>
            </w:pPr>
            <w:r>
              <w:rPr>
                <w:rFonts w:ascii="Century Gothic" w:hAnsi="Century Gothic"/>
                <w:sz w:val="22"/>
                <w:szCs w:val="22"/>
              </w:rPr>
              <w:t xml:space="preserve">Cesantías: </w:t>
            </w:r>
            <w:r w:rsidRPr="00B329C2">
              <w:rPr>
                <w:rFonts w:ascii="Century Gothic" w:hAnsi="Century Gothic"/>
                <w:sz w:val="22"/>
                <w:szCs w:val="22"/>
              </w:rPr>
              <w:t>$</w:t>
            </w:r>
            <w:r w:rsidR="007A7775" w:rsidRPr="007A7775">
              <w:rPr>
                <w:rFonts w:ascii="Century Gothic" w:hAnsi="Century Gothic"/>
                <w:sz w:val="22"/>
                <w:szCs w:val="22"/>
              </w:rPr>
              <w:t>376.638,89</w:t>
            </w:r>
          </w:p>
          <w:p w14:paraId="4EC8D5FB" w14:textId="77777777" w:rsidR="007A7775" w:rsidRDefault="007A7775" w:rsidP="00415463">
            <w:pPr>
              <w:rPr>
                <w:rFonts w:ascii="Century Gothic" w:hAnsi="Century Gothic"/>
                <w:sz w:val="22"/>
                <w:szCs w:val="22"/>
              </w:rPr>
            </w:pPr>
          </w:p>
          <w:p w14:paraId="10E4071C" w14:textId="3BB683B0" w:rsidR="007B3CF8" w:rsidRPr="007B3CF8" w:rsidRDefault="007B3CF8" w:rsidP="00415463">
            <w:pPr>
              <w:rPr>
                <w:rFonts w:ascii="Century Gothic" w:hAnsi="Century Gothic"/>
                <w:b/>
                <w:bCs/>
                <w:sz w:val="22"/>
                <w:szCs w:val="22"/>
              </w:rPr>
            </w:pPr>
            <w:r>
              <w:rPr>
                <w:rFonts w:ascii="Century Gothic" w:hAnsi="Century Gothic"/>
                <w:b/>
                <w:bCs/>
                <w:sz w:val="22"/>
                <w:szCs w:val="22"/>
              </w:rPr>
              <w:t xml:space="preserve">Total: </w:t>
            </w:r>
            <w:r w:rsidR="007A7775" w:rsidRPr="007A7775">
              <w:rPr>
                <w:rFonts w:ascii="Century Gothic" w:hAnsi="Century Gothic"/>
                <w:b/>
                <w:bCs/>
                <w:sz w:val="22"/>
                <w:szCs w:val="22"/>
              </w:rPr>
              <w:t>$376.638,89</w:t>
            </w:r>
          </w:p>
          <w:p w14:paraId="51725748" w14:textId="77777777" w:rsidR="000837E7" w:rsidRDefault="000837E7" w:rsidP="00415463">
            <w:pPr>
              <w:rPr>
                <w:rFonts w:ascii="Century Gothic" w:hAnsi="Century Gothic"/>
                <w:sz w:val="22"/>
                <w:szCs w:val="22"/>
              </w:rPr>
            </w:pPr>
          </w:p>
          <w:p w14:paraId="3EC82299" w14:textId="6BBD189F" w:rsidR="000837E7" w:rsidRDefault="000837E7" w:rsidP="00415463">
            <w:pPr>
              <w:rPr>
                <w:rFonts w:ascii="Century Gothic" w:hAnsi="Century Gothic"/>
                <w:sz w:val="22"/>
                <w:szCs w:val="22"/>
              </w:rPr>
            </w:pPr>
            <w:r>
              <w:rPr>
                <w:rFonts w:ascii="Century Gothic" w:hAnsi="Century Gothic"/>
                <w:sz w:val="22"/>
                <w:szCs w:val="22"/>
              </w:rPr>
              <w:t>Intereses de las cesantías</w:t>
            </w:r>
            <w:r w:rsidR="00120544">
              <w:rPr>
                <w:rFonts w:ascii="Century Gothic" w:hAnsi="Century Gothic"/>
                <w:sz w:val="22"/>
                <w:szCs w:val="22"/>
              </w:rPr>
              <w:t xml:space="preserve"> (para calcularlo se utilizó la siguiente fórmula: </w:t>
            </w:r>
            <w:r w:rsidR="00120544" w:rsidRPr="00120544">
              <w:rPr>
                <w:rFonts w:ascii="Century Gothic" w:hAnsi="Century Gothic"/>
                <w:sz w:val="22"/>
                <w:szCs w:val="22"/>
              </w:rPr>
              <w:t>Cesantías × 0.12 × (Días trabajados / 360)</w:t>
            </w:r>
            <w:r w:rsidR="00120544" w:rsidRPr="00120544">
              <w:rPr>
                <w:rFonts w:ascii="Arial" w:hAnsi="Arial" w:cs="Arial"/>
                <w:sz w:val="22"/>
                <w:szCs w:val="22"/>
              </w:rPr>
              <w:t>​</w:t>
            </w:r>
            <w:r w:rsidR="00120544">
              <w:rPr>
                <w:rFonts w:ascii="Century Gothic" w:hAnsi="Century Gothic"/>
                <w:sz w:val="22"/>
                <w:szCs w:val="22"/>
              </w:rPr>
              <w:t>:</w:t>
            </w:r>
          </w:p>
          <w:p w14:paraId="0F652287" w14:textId="77777777" w:rsidR="003D7751" w:rsidRDefault="003D7751" w:rsidP="00415463">
            <w:pPr>
              <w:rPr>
                <w:rFonts w:ascii="Century Gothic" w:hAnsi="Century Gothic"/>
                <w:sz w:val="22"/>
                <w:szCs w:val="22"/>
              </w:rPr>
            </w:pPr>
          </w:p>
          <w:p w14:paraId="7A4B6CB2" w14:textId="4BB9D33A" w:rsidR="003D7751" w:rsidRDefault="003D7751" w:rsidP="00415463">
            <w:pPr>
              <w:rPr>
                <w:rFonts w:ascii="Century Gothic" w:hAnsi="Century Gothic"/>
                <w:sz w:val="22"/>
                <w:szCs w:val="22"/>
              </w:rPr>
            </w:pPr>
            <w:r>
              <w:rPr>
                <w:rFonts w:ascii="Century Gothic" w:hAnsi="Century Gothic"/>
                <w:sz w:val="22"/>
                <w:szCs w:val="22"/>
              </w:rPr>
              <w:t xml:space="preserve">Intereses de las cesantías: </w:t>
            </w:r>
            <w:r w:rsidR="007A7775" w:rsidRPr="007A7775">
              <w:rPr>
                <w:rFonts w:ascii="Century Gothic" w:hAnsi="Century Gothic"/>
                <w:sz w:val="22"/>
                <w:szCs w:val="22"/>
              </w:rPr>
              <w:t>$11.424,71</w:t>
            </w:r>
          </w:p>
          <w:p w14:paraId="025A7572" w14:textId="77777777" w:rsidR="000837E7" w:rsidRDefault="000837E7" w:rsidP="00415463">
            <w:pPr>
              <w:rPr>
                <w:rFonts w:ascii="Century Gothic" w:hAnsi="Century Gothic"/>
                <w:sz w:val="22"/>
                <w:szCs w:val="22"/>
              </w:rPr>
            </w:pPr>
          </w:p>
          <w:p w14:paraId="30706A65" w14:textId="1E840E8D" w:rsidR="00120544" w:rsidRDefault="007B3CF8" w:rsidP="00415463">
            <w:pPr>
              <w:rPr>
                <w:rFonts w:ascii="Century Gothic" w:hAnsi="Century Gothic"/>
                <w:b/>
                <w:bCs/>
                <w:sz w:val="22"/>
                <w:szCs w:val="22"/>
              </w:rPr>
            </w:pPr>
            <w:r>
              <w:rPr>
                <w:rFonts w:ascii="Century Gothic" w:hAnsi="Century Gothic"/>
                <w:b/>
                <w:bCs/>
                <w:sz w:val="22"/>
                <w:szCs w:val="22"/>
              </w:rPr>
              <w:t xml:space="preserve">Total: </w:t>
            </w:r>
            <w:r w:rsidR="007A7775" w:rsidRPr="007A7775">
              <w:rPr>
                <w:rFonts w:ascii="Century Gothic" w:hAnsi="Century Gothic"/>
                <w:b/>
                <w:bCs/>
                <w:sz w:val="22"/>
                <w:szCs w:val="22"/>
              </w:rPr>
              <w:t>$11.424,71</w:t>
            </w:r>
          </w:p>
          <w:p w14:paraId="7FFA764B" w14:textId="77777777" w:rsidR="007B3CF8" w:rsidRPr="007B3CF8" w:rsidRDefault="007B3CF8" w:rsidP="00415463">
            <w:pPr>
              <w:rPr>
                <w:rFonts w:ascii="Century Gothic" w:hAnsi="Century Gothic"/>
                <w:b/>
                <w:bCs/>
                <w:sz w:val="22"/>
                <w:szCs w:val="22"/>
              </w:rPr>
            </w:pPr>
          </w:p>
          <w:p w14:paraId="7227C86C" w14:textId="0D038491" w:rsidR="00120544" w:rsidRDefault="00415463" w:rsidP="00415463">
            <w:pPr>
              <w:jc w:val="both"/>
              <w:rPr>
                <w:rFonts w:ascii="Century Gothic" w:hAnsi="Century Gothic"/>
                <w:sz w:val="22"/>
                <w:szCs w:val="22"/>
                <w:lang w:val="es-CO"/>
              </w:rPr>
            </w:pPr>
            <w:r w:rsidRPr="00415463">
              <w:rPr>
                <w:rFonts w:ascii="Century Gothic" w:hAnsi="Century Gothic"/>
                <w:sz w:val="22"/>
                <w:szCs w:val="22"/>
                <w:lang w:val="es-ES"/>
              </w:rPr>
              <w:t>Nota aclaratoria:</w:t>
            </w:r>
            <w:r>
              <w:rPr>
                <w:rFonts w:ascii="Century Gothic" w:hAnsi="Century Gothic"/>
                <w:sz w:val="22"/>
                <w:szCs w:val="22"/>
                <w:lang w:val="es-ES"/>
              </w:rPr>
              <w:t xml:space="preserve"> </w:t>
            </w:r>
            <w:r w:rsidR="000837E7">
              <w:rPr>
                <w:rFonts w:ascii="Century Gothic" w:hAnsi="Century Gothic"/>
                <w:sz w:val="22"/>
                <w:szCs w:val="22"/>
              </w:rPr>
              <w:t>Indemnización por mora:</w:t>
            </w:r>
            <w:r w:rsidR="00120544">
              <w:rPr>
                <w:rFonts w:ascii="Century Gothic" w:hAnsi="Century Gothic"/>
                <w:sz w:val="22"/>
                <w:szCs w:val="22"/>
              </w:rPr>
              <w:t xml:space="preserve"> </w:t>
            </w:r>
            <w:r w:rsidR="00120544" w:rsidRPr="00120544">
              <w:rPr>
                <w:rFonts w:ascii="Century Gothic" w:hAnsi="Century Gothic"/>
                <w:sz w:val="22"/>
                <w:szCs w:val="22"/>
                <w:lang w:val="es-CO"/>
              </w:rPr>
              <w:t xml:space="preserve">No se reconocen, dado que los efectos patrimoniales de la declaratoria de un contrato realidad se contraen al pago de las </w:t>
            </w:r>
            <w:r w:rsidR="00120544" w:rsidRPr="00120544">
              <w:rPr>
                <w:rFonts w:ascii="Century Gothic" w:hAnsi="Century Gothic"/>
                <w:sz w:val="22"/>
                <w:szCs w:val="22"/>
                <w:lang w:val="es-CO"/>
              </w:rPr>
              <w:lastRenderedPageBreak/>
              <w:t>prestaciones sociales a título de restablecimiento del derecho y no comprenden emolumentos indemnizatorios adicionales.</w:t>
            </w:r>
          </w:p>
          <w:p w14:paraId="0C9F9F4E" w14:textId="77777777" w:rsidR="00415463" w:rsidRDefault="00415463" w:rsidP="00415463">
            <w:pPr>
              <w:jc w:val="both"/>
              <w:rPr>
                <w:rFonts w:ascii="Century Gothic" w:hAnsi="Century Gothic"/>
                <w:sz w:val="22"/>
                <w:szCs w:val="22"/>
                <w:lang w:val="es-ES"/>
              </w:rPr>
            </w:pPr>
          </w:p>
          <w:p w14:paraId="2484F713" w14:textId="25175EE1" w:rsidR="00415463" w:rsidRPr="00415463" w:rsidRDefault="00415463" w:rsidP="00415463">
            <w:pPr>
              <w:jc w:val="both"/>
              <w:rPr>
                <w:rFonts w:ascii="Century Gothic" w:hAnsi="Century Gothic"/>
                <w:sz w:val="22"/>
                <w:szCs w:val="22"/>
                <w:lang w:val="es-ES"/>
              </w:rPr>
            </w:pPr>
            <w:r w:rsidRPr="00415463">
              <w:rPr>
                <w:rFonts w:ascii="Century Gothic" w:hAnsi="Century Gothic"/>
                <w:sz w:val="22"/>
                <w:szCs w:val="22"/>
                <w:lang w:val="es-ES"/>
              </w:rPr>
              <w:t>No se reconocen indemnizaciones por mora, toda vez que los efectos patrimoniales derivados de una eventual declaratoria de existencia de contrato realidad se limitan al restablecimiento del derecho, lo que implica únicamente el pago de las prestaciones sociales causadas durante la relación, sin dar lugar a emolumentos de carácter sancionatorio o indemnizatorio.</w:t>
            </w:r>
          </w:p>
          <w:p w14:paraId="1C074967" w14:textId="77777777" w:rsidR="00415463" w:rsidRPr="00415463" w:rsidRDefault="00415463" w:rsidP="00415463">
            <w:pPr>
              <w:jc w:val="both"/>
              <w:rPr>
                <w:rFonts w:ascii="Century Gothic" w:hAnsi="Century Gothic"/>
                <w:sz w:val="22"/>
                <w:szCs w:val="22"/>
                <w:lang w:val="es-ES"/>
              </w:rPr>
            </w:pPr>
          </w:p>
          <w:p w14:paraId="05D29764" w14:textId="5E97C26B" w:rsidR="00415463" w:rsidRPr="00415463" w:rsidRDefault="00415463" w:rsidP="00415463">
            <w:pPr>
              <w:jc w:val="both"/>
              <w:rPr>
                <w:rFonts w:ascii="Century Gothic" w:hAnsi="Century Gothic"/>
                <w:sz w:val="22"/>
                <w:szCs w:val="22"/>
                <w:lang w:val="es-ES"/>
              </w:rPr>
            </w:pPr>
            <w:r w:rsidRPr="00415463">
              <w:rPr>
                <w:rFonts w:ascii="Century Gothic" w:hAnsi="Century Gothic"/>
                <w:sz w:val="22"/>
                <w:szCs w:val="22"/>
                <w:lang w:val="es-ES"/>
              </w:rPr>
              <w:t>Asimismo, no se reconocen pretensiones de pago de bonificaciones, primas extralegales ni otros emolumentos propios del empleo público, por cuanto la eventual declaratoria del contrato realidad no conlleva, de manera automática, el reconocimiento de derechos de carrera administrativa o beneficios propios del régimen legal de los empleados públicos.</w:t>
            </w:r>
          </w:p>
          <w:p w14:paraId="4B76B441" w14:textId="7B40D7E2" w:rsidR="000837E7" w:rsidRDefault="000837E7" w:rsidP="00415463">
            <w:pPr>
              <w:rPr>
                <w:rFonts w:ascii="Century Gothic" w:hAnsi="Century Gothic"/>
                <w:sz w:val="22"/>
                <w:szCs w:val="22"/>
              </w:rPr>
            </w:pPr>
          </w:p>
          <w:p w14:paraId="402ADCF4" w14:textId="0F979507" w:rsidR="006E24BF" w:rsidRPr="006E24BF" w:rsidRDefault="003D7751" w:rsidP="00415463">
            <w:pPr>
              <w:rPr>
                <w:rFonts w:ascii="Century Gothic" w:hAnsi="Century Gothic"/>
                <w:b/>
                <w:bCs/>
                <w:sz w:val="22"/>
                <w:szCs w:val="22"/>
              </w:rPr>
            </w:pPr>
            <w:r>
              <w:rPr>
                <w:rFonts w:ascii="Century Gothic" w:hAnsi="Century Gothic"/>
                <w:b/>
                <w:bCs/>
                <w:sz w:val="22"/>
                <w:szCs w:val="22"/>
              </w:rPr>
              <w:t>Total,</w:t>
            </w:r>
            <w:r w:rsidR="006E24BF">
              <w:rPr>
                <w:rFonts w:ascii="Century Gothic" w:hAnsi="Century Gothic"/>
                <w:b/>
                <w:bCs/>
                <w:sz w:val="22"/>
                <w:szCs w:val="22"/>
              </w:rPr>
              <w:t xml:space="preserve"> liquidación</w:t>
            </w:r>
            <w:r w:rsidR="00F51806">
              <w:rPr>
                <w:rFonts w:ascii="Century Gothic" w:hAnsi="Century Gothic"/>
                <w:b/>
                <w:bCs/>
                <w:sz w:val="22"/>
                <w:szCs w:val="22"/>
              </w:rPr>
              <w:t xml:space="preserve">: </w:t>
            </w:r>
            <w:r w:rsidR="00F51806" w:rsidRPr="007A7775">
              <w:rPr>
                <w:rFonts w:ascii="Century Gothic" w:hAnsi="Century Gothic"/>
                <w:b/>
                <w:bCs/>
                <w:sz w:val="22"/>
                <w:szCs w:val="22"/>
              </w:rPr>
              <w:t>$953.021,49</w:t>
            </w:r>
            <w:r w:rsidR="00F51806">
              <w:rPr>
                <w:rFonts w:ascii="Century Gothic" w:hAnsi="Century Gothic"/>
                <w:b/>
                <w:bCs/>
                <w:sz w:val="22"/>
                <w:szCs w:val="22"/>
              </w:rPr>
              <w:t xml:space="preserve"> </w:t>
            </w:r>
            <w:proofErr w:type="spellStart"/>
            <w:r>
              <w:rPr>
                <w:rFonts w:ascii="Century Gothic" w:hAnsi="Century Gothic"/>
                <w:b/>
                <w:bCs/>
                <w:sz w:val="22"/>
                <w:szCs w:val="22"/>
              </w:rPr>
              <w:t>Mcte</w:t>
            </w:r>
            <w:proofErr w:type="spellEnd"/>
          </w:p>
          <w:p w14:paraId="7EBFA7A1" w14:textId="77777777" w:rsidR="000837E7" w:rsidRDefault="000837E7" w:rsidP="00415463">
            <w:pPr>
              <w:rPr>
                <w:rFonts w:ascii="Century Gothic" w:hAnsi="Century Gothic"/>
                <w:sz w:val="22"/>
                <w:szCs w:val="22"/>
              </w:rPr>
            </w:pPr>
          </w:p>
          <w:p w14:paraId="31FF8AB1" w14:textId="495C5BAA" w:rsidR="00B61EAC" w:rsidRPr="00BA1E5F" w:rsidRDefault="00B61EAC" w:rsidP="00415463">
            <w:pPr>
              <w:rPr>
                <w:rFonts w:ascii="Century Gothic" w:hAnsi="Century Gothic"/>
                <w:sz w:val="22"/>
                <w:szCs w:val="22"/>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277ACCA4" w14:textId="77777777" w:rsidR="003B7F1A" w:rsidRDefault="00496C7D" w:rsidP="00496C7D">
            <w:pPr>
              <w:pStyle w:val="Prrafodelista"/>
              <w:numPr>
                <w:ilvl w:val="0"/>
                <w:numId w:val="2"/>
              </w:numPr>
              <w:spacing w:line="276" w:lineRule="auto"/>
              <w:rPr>
                <w:rFonts w:ascii="Century Gothic" w:hAnsi="Century Gothic"/>
                <w:sz w:val="22"/>
                <w:szCs w:val="22"/>
              </w:rPr>
            </w:pPr>
            <w:r>
              <w:rPr>
                <w:rFonts w:ascii="Century Gothic" w:hAnsi="Century Gothic"/>
                <w:sz w:val="22"/>
                <w:szCs w:val="22"/>
              </w:rPr>
              <w:t>Excepciones frente a la demanda:</w:t>
            </w:r>
          </w:p>
          <w:p w14:paraId="178326F6" w14:textId="77777777" w:rsidR="00F5107C" w:rsidRDefault="00F5107C" w:rsidP="00F5107C">
            <w:pPr>
              <w:pStyle w:val="Prrafodelista"/>
              <w:spacing w:line="276" w:lineRule="auto"/>
              <w:rPr>
                <w:rFonts w:ascii="Century Gothic" w:hAnsi="Century Gothic"/>
                <w:sz w:val="22"/>
                <w:szCs w:val="22"/>
              </w:rPr>
            </w:pPr>
          </w:p>
          <w:p w14:paraId="65009384" w14:textId="168D5418" w:rsidR="00F5107C" w:rsidRPr="00F5107C" w:rsidRDefault="00F5107C" w:rsidP="00F5107C">
            <w:pPr>
              <w:pStyle w:val="Prrafodelista"/>
              <w:numPr>
                <w:ilvl w:val="0"/>
                <w:numId w:val="10"/>
              </w:numPr>
              <w:spacing w:line="276" w:lineRule="auto"/>
              <w:rPr>
                <w:rFonts w:ascii="Century Gothic" w:hAnsi="Century Gothic"/>
                <w:sz w:val="22"/>
                <w:szCs w:val="22"/>
              </w:rPr>
            </w:pPr>
            <w:r w:rsidRPr="00F5107C">
              <w:rPr>
                <w:rFonts w:ascii="Century Gothic" w:hAnsi="Century Gothic"/>
                <w:sz w:val="22"/>
                <w:szCs w:val="22"/>
              </w:rPr>
              <w:t>Falta de legitimación en la causa por pasiva de la E.S.E hospital universitario de la samaritana.</w:t>
            </w:r>
          </w:p>
          <w:p w14:paraId="376CE852" w14:textId="77777777" w:rsidR="00F5107C" w:rsidRDefault="00F5107C" w:rsidP="00F5107C">
            <w:pPr>
              <w:pStyle w:val="Prrafodelista"/>
              <w:spacing w:line="276" w:lineRule="auto"/>
              <w:rPr>
                <w:rFonts w:ascii="Century Gothic" w:hAnsi="Century Gothic"/>
                <w:sz w:val="22"/>
                <w:szCs w:val="22"/>
              </w:rPr>
            </w:pPr>
          </w:p>
          <w:p w14:paraId="1591BBF5" w14:textId="00495D1A" w:rsidR="00F5107C" w:rsidRPr="00F5107C" w:rsidRDefault="00F5107C" w:rsidP="00F5107C">
            <w:pPr>
              <w:pStyle w:val="Prrafodelista"/>
              <w:numPr>
                <w:ilvl w:val="0"/>
                <w:numId w:val="10"/>
              </w:numPr>
              <w:spacing w:line="276" w:lineRule="auto"/>
              <w:rPr>
                <w:rFonts w:ascii="Century Gothic" w:hAnsi="Century Gothic"/>
                <w:sz w:val="22"/>
                <w:szCs w:val="22"/>
              </w:rPr>
            </w:pPr>
            <w:r w:rsidRPr="00F5107C">
              <w:rPr>
                <w:rFonts w:ascii="Century Gothic" w:hAnsi="Century Gothic"/>
                <w:sz w:val="22"/>
                <w:szCs w:val="22"/>
              </w:rPr>
              <w:t>Ausencia de la obligación demandada por la no configuración de los elementos que constituyen un contrato laboral.</w:t>
            </w:r>
          </w:p>
          <w:p w14:paraId="7A5BB2CB" w14:textId="77777777" w:rsidR="00F5107C" w:rsidRDefault="00F5107C" w:rsidP="00F5107C">
            <w:pPr>
              <w:spacing w:line="276" w:lineRule="auto"/>
              <w:rPr>
                <w:rFonts w:ascii="Century Gothic" w:hAnsi="Century Gothic"/>
                <w:sz w:val="22"/>
                <w:szCs w:val="22"/>
              </w:rPr>
            </w:pPr>
          </w:p>
          <w:p w14:paraId="7D1CAA36" w14:textId="1D38697A" w:rsidR="00F5107C" w:rsidRPr="00F5107C" w:rsidRDefault="00F5107C" w:rsidP="00F5107C">
            <w:pPr>
              <w:pStyle w:val="Prrafodelista"/>
              <w:numPr>
                <w:ilvl w:val="0"/>
                <w:numId w:val="10"/>
              </w:numPr>
              <w:spacing w:line="276" w:lineRule="auto"/>
              <w:rPr>
                <w:rFonts w:ascii="Century Gothic" w:hAnsi="Century Gothic"/>
                <w:sz w:val="22"/>
                <w:szCs w:val="22"/>
              </w:rPr>
            </w:pPr>
            <w:r w:rsidRPr="00F5107C">
              <w:rPr>
                <w:rFonts w:ascii="Century Gothic" w:hAnsi="Century Gothic"/>
                <w:sz w:val="22"/>
                <w:szCs w:val="22"/>
              </w:rPr>
              <w:t>Ausencia de subordinación como elemento esencial para configuración del contrato realidad</w:t>
            </w:r>
          </w:p>
          <w:p w14:paraId="027A7203" w14:textId="77777777" w:rsidR="00F5107C" w:rsidRDefault="00F5107C" w:rsidP="00F5107C">
            <w:pPr>
              <w:spacing w:line="276" w:lineRule="auto"/>
              <w:rPr>
                <w:rFonts w:ascii="Century Gothic" w:hAnsi="Century Gothic"/>
                <w:sz w:val="22"/>
                <w:szCs w:val="22"/>
              </w:rPr>
            </w:pPr>
          </w:p>
          <w:p w14:paraId="48CC7CFF" w14:textId="2704081F" w:rsidR="00F5107C" w:rsidRPr="00F5107C" w:rsidRDefault="00F5107C" w:rsidP="00F5107C">
            <w:pPr>
              <w:pStyle w:val="Prrafodelista"/>
              <w:numPr>
                <w:ilvl w:val="0"/>
                <w:numId w:val="10"/>
              </w:numPr>
              <w:spacing w:line="276" w:lineRule="auto"/>
              <w:rPr>
                <w:rFonts w:ascii="Century Gothic" w:hAnsi="Century Gothic"/>
                <w:sz w:val="22"/>
                <w:szCs w:val="22"/>
              </w:rPr>
            </w:pPr>
            <w:r w:rsidRPr="00F5107C">
              <w:rPr>
                <w:rFonts w:ascii="Century Gothic" w:hAnsi="Century Gothic"/>
                <w:sz w:val="22"/>
                <w:szCs w:val="22"/>
              </w:rPr>
              <w:t>Ausencia de solidaridad de que trata el art. 34 del código sustantivo del trabajo.</w:t>
            </w:r>
          </w:p>
          <w:p w14:paraId="3B83D07D" w14:textId="77777777" w:rsidR="00F5107C" w:rsidRDefault="00F5107C" w:rsidP="00F5107C">
            <w:pPr>
              <w:spacing w:line="276" w:lineRule="auto"/>
              <w:rPr>
                <w:rFonts w:ascii="Century Gothic" w:hAnsi="Century Gothic"/>
                <w:sz w:val="22"/>
                <w:szCs w:val="22"/>
              </w:rPr>
            </w:pPr>
          </w:p>
          <w:p w14:paraId="5EF2D9F2" w14:textId="36690589" w:rsidR="00F5107C" w:rsidRPr="00F5107C" w:rsidRDefault="00F5107C" w:rsidP="00F5107C">
            <w:pPr>
              <w:pStyle w:val="Prrafodelista"/>
              <w:numPr>
                <w:ilvl w:val="0"/>
                <w:numId w:val="10"/>
              </w:numPr>
              <w:spacing w:line="276" w:lineRule="auto"/>
              <w:rPr>
                <w:rFonts w:ascii="Century Gothic" w:hAnsi="Century Gothic"/>
                <w:sz w:val="22"/>
                <w:szCs w:val="22"/>
              </w:rPr>
            </w:pPr>
            <w:r w:rsidRPr="00F5107C">
              <w:rPr>
                <w:rFonts w:ascii="Century Gothic" w:hAnsi="Century Gothic"/>
                <w:sz w:val="22"/>
                <w:szCs w:val="22"/>
              </w:rPr>
              <w:t>Improcedencia del reconocimiento de intereses moratorios</w:t>
            </w:r>
          </w:p>
          <w:p w14:paraId="637AA2C0" w14:textId="77777777" w:rsidR="00F5107C" w:rsidRDefault="00F5107C" w:rsidP="00F5107C">
            <w:pPr>
              <w:spacing w:line="276" w:lineRule="auto"/>
              <w:rPr>
                <w:rFonts w:ascii="Century Gothic" w:hAnsi="Century Gothic"/>
                <w:sz w:val="22"/>
                <w:szCs w:val="22"/>
              </w:rPr>
            </w:pPr>
          </w:p>
          <w:p w14:paraId="2EE3EC4C" w14:textId="7F586E3B" w:rsidR="00F5107C" w:rsidRPr="00F5107C" w:rsidRDefault="00F5107C" w:rsidP="00F5107C">
            <w:pPr>
              <w:pStyle w:val="Prrafodelista"/>
              <w:numPr>
                <w:ilvl w:val="0"/>
                <w:numId w:val="10"/>
              </w:numPr>
              <w:spacing w:line="276" w:lineRule="auto"/>
              <w:rPr>
                <w:rFonts w:ascii="Century Gothic" w:hAnsi="Century Gothic"/>
                <w:sz w:val="22"/>
                <w:szCs w:val="22"/>
              </w:rPr>
            </w:pPr>
            <w:r w:rsidRPr="00F5107C">
              <w:rPr>
                <w:rFonts w:ascii="Century Gothic" w:hAnsi="Century Gothic"/>
                <w:sz w:val="22"/>
                <w:szCs w:val="22"/>
              </w:rPr>
              <w:t>Prescripción trienal de las prestaciones laborales reclamadas</w:t>
            </w:r>
          </w:p>
          <w:p w14:paraId="07A2B7F7" w14:textId="77777777" w:rsidR="00F5107C" w:rsidRDefault="00F5107C" w:rsidP="00F5107C">
            <w:pPr>
              <w:spacing w:line="276" w:lineRule="auto"/>
              <w:rPr>
                <w:rFonts w:ascii="Century Gothic" w:hAnsi="Century Gothic"/>
                <w:sz w:val="22"/>
                <w:szCs w:val="22"/>
              </w:rPr>
            </w:pPr>
          </w:p>
          <w:p w14:paraId="5A322AF0" w14:textId="0B492977" w:rsidR="00F5107C" w:rsidRPr="00F5107C" w:rsidRDefault="00F5107C" w:rsidP="00F5107C">
            <w:pPr>
              <w:pStyle w:val="Prrafodelista"/>
              <w:numPr>
                <w:ilvl w:val="0"/>
                <w:numId w:val="10"/>
              </w:numPr>
              <w:spacing w:line="276" w:lineRule="auto"/>
              <w:rPr>
                <w:rFonts w:ascii="Century Gothic" w:hAnsi="Century Gothic"/>
                <w:sz w:val="22"/>
                <w:szCs w:val="22"/>
              </w:rPr>
            </w:pPr>
            <w:r w:rsidRPr="00F5107C">
              <w:rPr>
                <w:rFonts w:ascii="Century Gothic" w:hAnsi="Century Gothic"/>
                <w:sz w:val="22"/>
                <w:szCs w:val="22"/>
              </w:rPr>
              <w:t xml:space="preserve">Inexistencia e improcedencia de la sanción moratoria de que trata el art. 65 </w:t>
            </w:r>
          </w:p>
          <w:p w14:paraId="0727E18D" w14:textId="7214A238" w:rsidR="00F5107C" w:rsidRPr="00F5107C" w:rsidRDefault="00F5107C" w:rsidP="00F5107C">
            <w:pPr>
              <w:pStyle w:val="Prrafodelista"/>
              <w:numPr>
                <w:ilvl w:val="0"/>
                <w:numId w:val="10"/>
              </w:numPr>
              <w:spacing w:line="276" w:lineRule="auto"/>
              <w:rPr>
                <w:rFonts w:ascii="Century Gothic" w:hAnsi="Century Gothic"/>
                <w:sz w:val="22"/>
                <w:szCs w:val="22"/>
              </w:rPr>
            </w:pPr>
            <w:r w:rsidRPr="00F5107C">
              <w:rPr>
                <w:rFonts w:ascii="Century Gothic" w:hAnsi="Century Gothic"/>
                <w:sz w:val="22"/>
                <w:szCs w:val="22"/>
              </w:rPr>
              <w:t>Cst.</w:t>
            </w:r>
          </w:p>
          <w:p w14:paraId="35DD3DB7" w14:textId="6FA31A73" w:rsidR="00F5107C" w:rsidRPr="00F5107C" w:rsidRDefault="00F5107C" w:rsidP="00F5107C">
            <w:pPr>
              <w:pStyle w:val="Prrafodelista"/>
              <w:numPr>
                <w:ilvl w:val="0"/>
                <w:numId w:val="10"/>
              </w:numPr>
              <w:spacing w:line="276" w:lineRule="auto"/>
              <w:rPr>
                <w:rFonts w:ascii="Century Gothic" w:hAnsi="Century Gothic"/>
                <w:sz w:val="22"/>
                <w:szCs w:val="22"/>
              </w:rPr>
            </w:pPr>
            <w:r w:rsidRPr="00F5107C">
              <w:rPr>
                <w:rFonts w:ascii="Century Gothic" w:hAnsi="Century Gothic"/>
                <w:sz w:val="22"/>
                <w:szCs w:val="22"/>
              </w:rPr>
              <w:lastRenderedPageBreak/>
              <w:t>Genérica o innominada</w:t>
            </w:r>
          </w:p>
          <w:p w14:paraId="2A9B3054" w14:textId="77777777" w:rsidR="003761F8" w:rsidRDefault="003761F8" w:rsidP="003761F8">
            <w:pPr>
              <w:pStyle w:val="Prrafodelista"/>
              <w:numPr>
                <w:ilvl w:val="0"/>
                <w:numId w:val="2"/>
              </w:numPr>
              <w:spacing w:line="276" w:lineRule="auto"/>
              <w:rPr>
                <w:rFonts w:ascii="Century Gothic" w:hAnsi="Century Gothic"/>
                <w:sz w:val="22"/>
                <w:szCs w:val="22"/>
              </w:rPr>
            </w:pPr>
            <w:r>
              <w:rPr>
                <w:rFonts w:ascii="Century Gothic" w:hAnsi="Century Gothic"/>
                <w:sz w:val="22"/>
                <w:szCs w:val="22"/>
              </w:rPr>
              <w:t>Excepciones frente al llamamiento en garantía:</w:t>
            </w:r>
          </w:p>
          <w:p w14:paraId="0D8CD484" w14:textId="77777777" w:rsidR="0040785F" w:rsidRDefault="0040785F" w:rsidP="00F5107C">
            <w:pPr>
              <w:ind w:left="360"/>
              <w:jc w:val="both"/>
              <w:rPr>
                <w:rFonts w:ascii="Century Gothic" w:hAnsi="Century Gothic"/>
                <w:sz w:val="22"/>
                <w:szCs w:val="22"/>
              </w:rPr>
            </w:pPr>
          </w:p>
          <w:p w14:paraId="7DC2A440" w14:textId="77777777" w:rsidR="00786E86" w:rsidRPr="00786E86" w:rsidRDefault="00786E86" w:rsidP="00786E86">
            <w:pPr>
              <w:pStyle w:val="Prrafodelista"/>
              <w:numPr>
                <w:ilvl w:val="0"/>
                <w:numId w:val="11"/>
              </w:numPr>
              <w:jc w:val="both"/>
              <w:rPr>
                <w:rFonts w:ascii="Century Gothic" w:hAnsi="Century Gothic"/>
                <w:sz w:val="22"/>
                <w:szCs w:val="22"/>
              </w:rPr>
            </w:pPr>
            <w:r w:rsidRPr="00786E86">
              <w:rPr>
                <w:rFonts w:ascii="Century Gothic" w:hAnsi="Century Gothic"/>
                <w:sz w:val="22"/>
                <w:szCs w:val="22"/>
              </w:rPr>
              <w:t>Ausencia de cobertura, por inexistencia de interés o riesgo asegurable.</w:t>
            </w:r>
          </w:p>
          <w:p w14:paraId="1A02AE8C" w14:textId="77777777" w:rsidR="00786E86" w:rsidRDefault="00786E86" w:rsidP="00F5107C">
            <w:pPr>
              <w:ind w:left="360"/>
              <w:jc w:val="both"/>
              <w:rPr>
                <w:rFonts w:ascii="Century Gothic" w:hAnsi="Century Gothic"/>
                <w:sz w:val="22"/>
                <w:szCs w:val="22"/>
              </w:rPr>
            </w:pPr>
          </w:p>
          <w:p w14:paraId="4DE17813" w14:textId="133B0BE4" w:rsidR="00786E86" w:rsidRPr="00786E86" w:rsidRDefault="00786E86" w:rsidP="00786E86">
            <w:pPr>
              <w:pStyle w:val="Prrafodelista"/>
              <w:numPr>
                <w:ilvl w:val="0"/>
                <w:numId w:val="11"/>
              </w:numPr>
              <w:jc w:val="both"/>
              <w:rPr>
                <w:rFonts w:ascii="Century Gothic" w:hAnsi="Century Gothic"/>
                <w:sz w:val="22"/>
                <w:szCs w:val="22"/>
              </w:rPr>
            </w:pPr>
            <w:r w:rsidRPr="00786E86">
              <w:rPr>
                <w:rFonts w:ascii="Century Gothic" w:hAnsi="Century Gothic"/>
                <w:sz w:val="22"/>
                <w:szCs w:val="22"/>
              </w:rPr>
              <w:t>Ausencia de cobertura respecto de los actos propios del asegurado – inoperancia del amparo frente a las actuaciones directas del hospital universitario de la samaritana</w:t>
            </w:r>
          </w:p>
          <w:p w14:paraId="69E7D5AC" w14:textId="77777777" w:rsidR="00786E86" w:rsidRDefault="00786E86" w:rsidP="00F5107C">
            <w:pPr>
              <w:ind w:left="360"/>
              <w:jc w:val="both"/>
            </w:pPr>
          </w:p>
          <w:p w14:paraId="75FFE619" w14:textId="576255ED" w:rsidR="00786E86" w:rsidRPr="00786E86" w:rsidRDefault="00786E86" w:rsidP="00786E86">
            <w:pPr>
              <w:pStyle w:val="Prrafodelista"/>
              <w:numPr>
                <w:ilvl w:val="0"/>
                <w:numId w:val="11"/>
              </w:numPr>
              <w:jc w:val="both"/>
              <w:rPr>
                <w:rFonts w:ascii="Century Gothic" w:hAnsi="Century Gothic"/>
                <w:sz w:val="22"/>
                <w:szCs w:val="22"/>
              </w:rPr>
            </w:pPr>
            <w:r w:rsidRPr="00786E86">
              <w:rPr>
                <w:rFonts w:ascii="Century Gothic" w:hAnsi="Century Gothic"/>
                <w:sz w:val="22"/>
                <w:szCs w:val="22"/>
              </w:rPr>
              <w:t>Ausencia de cobertura de vinculaciones diferentes al contrato de trabajo.</w:t>
            </w:r>
          </w:p>
          <w:p w14:paraId="17D0CBD3" w14:textId="77777777" w:rsidR="00786E86" w:rsidRDefault="00786E86" w:rsidP="00F5107C">
            <w:pPr>
              <w:ind w:left="360"/>
              <w:jc w:val="both"/>
              <w:rPr>
                <w:rFonts w:ascii="Century Gothic" w:hAnsi="Century Gothic"/>
                <w:sz w:val="22"/>
                <w:szCs w:val="22"/>
              </w:rPr>
            </w:pPr>
          </w:p>
          <w:p w14:paraId="37FCBA1C" w14:textId="4C468F2D" w:rsidR="00786E86" w:rsidRPr="00786E86" w:rsidRDefault="00786E86" w:rsidP="00786E86">
            <w:pPr>
              <w:pStyle w:val="Prrafodelista"/>
              <w:numPr>
                <w:ilvl w:val="0"/>
                <w:numId w:val="11"/>
              </w:numPr>
              <w:jc w:val="both"/>
              <w:rPr>
                <w:rFonts w:ascii="Century Gothic" w:hAnsi="Century Gothic"/>
                <w:sz w:val="22"/>
                <w:szCs w:val="22"/>
              </w:rPr>
            </w:pPr>
            <w:r w:rsidRPr="00786E86">
              <w:rPr>
                <w:rFonts w:ascii="Century Gothic" w:hAnsi="Century Gothic"/>
                <w:sz w:val="22"/>
                <w:szCs w:val="22"/>
              </w:rPr>
              <w:t>Riesgos expresamente excluidos en la póliza de cumplimiento no. Ab001559.</w:t>
            </w:r>
          </w:p>
          <w:p w14:paraId="4659C6B2" w14:textId="77777777" w:rsidR="00786E86" w:rsidRDefault="00786E86" w:rsidP="00F5107C">
            <w:pPr>
              <w:ind w:left="360"/>
              <w:jc w:val="both"/>
              <w:rPr>
                <w:rFonts w:ascii="Century Gothic" w:hAnsi="Century Gothic"/>
                <w:sz w:val="22"/>
                <w:szCs w:val="22"/>
              </w:rPr>
            </w:pPr>
          </w:p>
          <w:p w14:paraId="7B4FAE6B" w14:textId="03D897D7" w:rsidR="00786E86" w:rsidRPr="00786E86" w:rsidRDefault="00786E86" w:rsidP="00786E86">
            <w:pPr>
              <w:pStyle w:val="Prrafodelista"/>
              <w:numPr>
                <w:ilvl w:val="0"/>
                <w:numId w:val="11"/>
              </w:numPr>
              <w:jc w:val="both"/>
              <w:rPr>
                <w:rFonts w:ascii="Century Gothic" w:hAnsi="Century Gothic"/>
                <w:sz w:val="22"/>
                <w:szCs w:val="22"/>
              </w:rPr>
            </w:pPr>
            <w:r w:rsidRPr="00786E86">
              <w:rPr>
                <w:rFonts w:ascii="Century Gothic" w:hAnsi="Century Gothic"/>
                <w:sz w:val="22"/>
                <w:szCs w:val="22"/>
              </w:rPr>
              <w:t xml:space="preserve">Sujeción a las condiciones particulares y generales del contrato de seguro </w:t>
            </w:r>
          </w:p>
          <w:p w14:paraId="250E632C" w14:textId="3B13D179" w:rsidR="00786E86" w:rsidRPr="00786E86" w:rsidRDefault="00786E86" w:rsidP="00786E86">
            <w:pPr>
              <w:pStyle w:val="Prrafodelista"/>
              <w:numPr>
                <w:ilvl w:val="0"/>
                <w:numId w:val="11"/>
              </w:numPr>
              <w:jc w:val="both"/>
              <w:rPr>
                <w:rFonts w:ascii="Century Gothic" w:hAnsi="Century Gothic"/>
                <w:sz w:val="22"/>
                <w:szCs w:val="22"/>
              </w:rPr>
            </w:pPr>
            <w:r w:rsidRPr="00786E86">
              <w:rPr>
                <w:rFonts w:ascii="Century Gothic" w:hAnsi="Century Gothic"/>
                <w:sz w:val="22"/>
                <w:szCs w:val="22"/>
              </w:rPr>
              <w:t>En la que se identifica la póliza el clausulado y los amparos.</w:t>
            </w:r>
          </w:p>
          <w:p w14:paraId="67C9FF4E" w14:textId="77777777" w:rsidR="00786E86" w:rsidRDefault="00786E86" w:rsidP="00786E86">
            <w:pPr>
              <w:ind w:left="360"/>
              <w:jc w:val="both"/>
              <w:rPr>
                <w:rFonts w:ascii="Century Gothic" w:hAnsi="Century Gothic"/>
                <w:sz w:val="22"/>
                <w:szCs w:val="22"/>
              </w:rPr>
            </w:pPr>
          </w:p>
          <w:p w14:paraId="7896C477" w14:textId="01DB282A" w:rsidR="00786E86" w:rsidRPr="00786E86" w:rsidRDefault="00786E86" w:rsidP="00786E86">
            <w:pPr>
              <w:pStyle w:val="Prrafodelista"/>
              <w:numPr>
                <w:ilvl w:val="0"/>
                <w:numId w:val="11"/>
              </w:numPr>
              <w:jc w:val="both"/>
              <w:rPr>
                <w:rFonts w:ascii="Century Gothic" w:hAnsi="Century Gothic"/>
                <w:sz w:val="22"/>
                <w:szCs w:val="22"/>
              </w:rPr>
            </w:pPr>
            <w:r w:rsidRPr="00786E86">
              <w:rPr>
                <w:rFonts w:ascii="Century Gothic" w:hAnsi="Century Gothic"/>
                <w:sz w:val="22"/>
                <w:szCs w:val="22"/>
              </w:rPr>
              <w:t xml:space="preserve">Límite de cobertura: imposibilidad de exceder el valor asegurado en la póliza </w:t>
            </w:r>
          </w:p>
          <w:p w14:paraId="7BDF34C5" w14:textId="5C410442" w:rsidR="00786E86" w:rsidRPr="00786E86" w:rsidRDefault="00786E86" w:rsidP="00786E86">
            <w:pPr>
              <w:pStyle w:val="Prrafodelista"/>
              <w:numPr>
                <w:ilvl w:val="0"/>
                <w:numId w:val="11"/>
              </w:numPr>
              <w:jc w:val="both"/>
              <w:rPr>
                <w:rFonts w:ascii="Century Gothic" w:hAnsi="Century Gothic"/>
                <w:sz w:val="22"/>
                <w:szCs w:val="22"/>
              </w:rPr>
            </w:pPr>
            <w:r w:rsidRPr="00786E86">
              <w:rPr>
                <w:rFonts w:ascii="Century Gothic" w:hAnsi="Century Gothic"/>
                <w:sz w:val="22"/>
                <w:szCs w:val="22"/>
              </w:rPr>
              <w:t>De cumplimiento no. Ab001559 y sus anexos.</w:t>
            </w:r>
          </w:p>
          <w:p w14:paraId="01EF016F" w14:textId="77777777" w:rsidR="00786E86" w:rsidRDefault="00786E86" w:rsidP="00786E86">
            <w:pPr>
              <w:ind w:left="360"/>
              <w:jc w:val="both"/>
              <w:rPr>
                <w:rFonts w:ascii="Century Gothic" w:hAnsi="Century Gothic"/>
                <w:sz w:val="22"/>
                <w:szCs w:val="22"/>
              </w:rPr>
            </w:pPr>
          </w:p>
          <w:p w14:paraId="06E77360" w14:textId="4117A716" w:rsidR="00786E86" w:rsidRPr="00786E86" w:rsidRDefault="00786E86" w:rsidP="00786E86">
            <w:pPr>
              <w:pStyle w:val="Prrafodelista"/>
              <w:numPr>
                <w:ilvl w:val="0"/>
                <w:numId w:val="11"/>
              </w:numPr>
              <w:jc w:val="both"/>
              <w:rPr>
                <w:rFonts w:ascii="Century Gothic" w:hAnsi="Century Gothic"/>
                <w:sz w:val="22"/>
                <w:szCs w:val="22"/>
              </w:rPr>
            </w:pPr>
            <w:r w:rsidRPr="00786E86">
              <w:rPr>
                <w:rFonts w:ascii="Century Gothic" w:hAnsi="Century Gothic"/>
                <w:sz w:val="22"/>
                <w:szCs w:val="22"/>
              </w:rPr>
              <w:t>Carácter meramente indemnizatorio que revisten los contratos de seguros</w:t>
            </w:r>
          </w:p>
          <w:p w14:paraId="379B9481" w14:textId="77777777" w:rsidR="00786E86" w:rsidRDefault="00786E86" w:rsidP="00786E86">
            <w:pPr>
              <w:ind w:left="360"/>
              <w:jc w:val="both"/>
              <w:rPr>
                <w:rFonts w:ascii="Century Gothic" w:hAnsi="Century Gothic"/>
                <w:sz w:val="22"/>
                <w:szCs w:val="22"/>
              </w:rPr>
            </w:pPr>
          </w:p>
          <w:p w14:paraId="44EB96D7" w14:textId="7D8E0DC4" w:rsidR="00786E86" w:rsidRPr="00786E86" w:rsidRDefault="00786E86" w:rsidP="00786E86">
            <w:pPr>
              <w:pStyle w:val="Prrafodelista"/>
              <w:numPr>
                <w:ilvl w:val="0"/>
                <w:numId w:val="11"/>
              </w:numPr>
              <w:jc w:val="both"/>
              <w:rPr>
                <w:rFonts w:ascii="Century Gothic" w:hAnsi="Century Gothic"/>
                <w:sz w:val="22"/>
                <w:szCs w:val="22"/>
              </w:rPr>
            </w:pPr>
            <w:r w:rsidRPr="00786E86">
              <w:rPr>
                <w:rFonts w:ascii="Century Gothic" w:hAnsi="Century Gothic"/>
                <w:sz w:val="22"/>
                <w:szCs w:val="22"/>
              </w:rPr>
              <w:t xml:space="preserve">Inexistencia de solidaridad entre mi mandante y los demás demandados </w:t>
            </w:r>
          </w:p>
          <w:p w14:paraId="2A1E22D8" w14:textId="6BB07475" w:rsidR="00786E86" w:rsidRPr="00786E86" w:rsidRDefault="00786E86" w:rsidP="00786E86">
            <w:pPr>
              <w:pStyle w:val="Prrafodelista"/>
              <w:numPr>
                <w:ilvl w:val="0"/>
                <w:numId w:val="11"/>
              </w:numPr>
              <w:jc w:val="both"/>
              <w:rPr>
                <w:rFonts w:ascii="Century Gothic" w:hAnsi="Century Gothic"/>
                <w:sz w:val="22"/>
                <w:szCs w:val="22"/>
              </w:rPr>
            </w:pPr>
            <w:r w:rsidRPr="00786E86">
              <w:rPr>
                <w:rFonts w:ascii="Century Gothic" w:hAnsi="Century Gothic"/>
                <w:sz w:val="22"/>
                <w:szCs w:val="22"/>
              </w:rPr>
              <w:t>Inexistencia de solidaridad en el marco del contrato de seguro.</w:t>
            </w:r>
          </w:p>
          <w:p w14:paraId="1EA2D779" w14:textId="77777777" w:rsidR="00786E86" w:rsidRDefault="00786E86" w:rsidP="00786E86">
            <w:pPr>
              <w:ind w:left="360"/>
              <w:jc w:val="both"/>
              <w:rPr>
                <w:rFonts w:ascii="Century Gothic" w:hAnsi="Century Gothic"/>
                <w:sz w:val="22"/>
                <w:szCs w:val="22"/>
              </w:rPr>
            </w:pPr>
          </w:p>
          <w:p w14:paraId="3CB4D3C2" w14:textId="5BCC9704" w:rsidR="00786E86" w:rsidRPr="00786E86" w:rsidRDefault="00786E86" w:rsidP="00786E86">
            <w:pPr>
              <w:pStyle w:val="Prrafodelista"/>
              <w:numPr>
                <w:ilvl w:val="0"/>
                <w:numId w:val="11"/>
              </w:numPr>
              <w:jc w:val="both"/>
              <w:rPr>
                <w:rFonts w:ascii="Century Gothic" w:hAnsi="Century Gothic"/>
                <w:sz w:val="22"/>
                <w:szCs w:val="22"/>
              </w:rPr>
            </w:pPr>
            <w:r w:rsidRPr="00786E86">
              <w:rPr>
                <w:rFonts w:ascii="Century Gothic" w:hAnsi="Century Gothic"/>
                <w:sz w:val="22"/>
                <w:szCs w:val="22"/>
              </w:rPr>
              <w:t>Disponibilidad del valor asegurado</w:t>
            </w:r>
          </w:p>
          <w:p w14:paraId="5F5715D9" w14:textId="77777777" w:rsidR="00786E86" w:rsidRDefault="00786E86" w:rsidP="00786E86">
            <w:pPr>
              <w:ind w:left="360"/>
              <w:jc w:val="both"/>
              <w:rPr>
                <w:rFonts w:ascii="Century Gothic" w:hAnsi="Century Gothic"/>
                <w:sz w:val="22"/>
                <w:szCs w:val="22"/>
              </w:rPr>
            </w:pPr>
          </w:p>
          <w:p w14:paraId="0C922051" w14:textId="3749D7FC" w:rsidR="00786E86" w:rsidRPr="00786E86" w:rsidRDefault="00786E86" w:rsidP="00786E86">
            <w:pPr>
              <w:pStyle w:val="Prrafodelista"/>
              <w:numPr>
                <w:ilvl w:val="0"/>
                <w:numId w:val="11"/>
              </w:numPr>
              <w:jc w:val="both"/>
              <w:rPr>
                <w:rFonts w:ascii="Century Gothic" w:hAnsi="Century Gothic"/>
                <w:sz w:val="22"/>
                <w:szCs w:val="22"/>
              </w:rPr>
            </w:pPr>
            <w:r w:rsidRPr="00786E86">
              <w:rPr>
                <w:rFonts w:ascii="Century Gothic" w:hAnsi="Century Gothic"/>
                <w:sz w:val="22"/>
                <w:szCs w:val="22"/>
              </w:rPr>
              <w:t xml:space="preserve">Pago por reembolso  </w:t>
            </w:r>
          </w:p>
          <w:p w14:paraId="2EBAD3F1" w14:textId="77777777" w:rsidR="00786E86" w:rsidRDefault="00786E86" w:rsidP="00786E86">
            <w:pPr>
              <w:ind w:left="360"/>
              <w:jc w:val="both"/>
              <w:rPr>
                <w:rFonts w:ascii="Century Gothic" w:hAnsi="Century Gothic"/>
                <w:sz w:val="22"/>
                <w:szCs w:val="22"/>
              </w:rPr>
            </w:pPr>
          </w:p>
          <w:p w14:paraId="034E8B5E" w14:textId="3EAD54BF" w:rsidR="00786E86" w:rsidRPr="00786E86" w:rsidRDefault="00786E86" w:rsidP="00786E86">
            <w:pPr>
              <w:pStyle w:val="Prrafodelista"/>
              <w:numPr>
                <w:ilvl w:val="0"/>
                <w:numId w:val="11"/>
              </w:numPr>
              <w:jc w:val="both"/>
              <w:rPr>
                <w:rFonts w:ascii="Century Gothic" w:hAnsi="Century Gothic"/>
                <w:sz w:val="22"/>
                <w:szCs w:val="22"/>
              </w:rPr>
            </w:pPr>
            <w:r w:rsidRPr="00786E86">
              <w:rPr>
                <w:rFonts w:ascii="Century Gothic" w:hAnsi="Century Gothic"/>
                <w:sz w:val="22"/>
                <w:szCs w:val="22"/>
              </w:rPr>
              <w:t>Genérica o innominada</w:t>
            </w:r>
          </w:p>
          <w:p w14:paraId="52CE2D52" w14:textId="3AE32992" w:rsidR="00786E86" w:rsidRPr="003761F8" w:rsidRDefault="00786E86" w:rsidP="00786E86">
            <w:pPr>
              <w:ind w:left="360"/>
              <w:jc w:val="both"/>
              <w:rPr>
                <w:rFonts w:ascii="Century Gothic" w:hAnsi="Century Gothic"/>
                <w:sz w:val="22"/>
                <w:szCs w:val="22"/>
              </w:rPr>
            </w:pP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40F7E47C">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6356DB83" w:rsidR="00EE687D" w:rsidRPr="00BA1E5F" w:rsidRDefault="00F51806" w:rsidP="00EB6AB4">
            <w:pPr>
              <w:jc w:val="both"/>
              <w:rPr>
                <w:rFonts w:ascii="Century Gothic" w:hAnsi="Century Gothic" w:cs="Segoe UI"/>
                <w:sz w:val="22"/>
                <w:szCs w:val="22"/>
                <w:lang w:eastAsia="es-CO"/>
              </w:rPr>
            </w:pPr>
            <w:r w:rsidRPr="00F51806">
              <w:rPr>
                <w:rFonts w:ascii="Century Gothic" w:hAnsi="Century Gothic" w:cs="Segoe UI"/>
                <w:sz w:val="22"/>
                <w:szCs w:val="22"/>
                <w:lang w:eastAsia="es-CO"/>
              </w:rPr>
              <w:t>PDTE DE CREACION</w:t>
            </w:r>
          </w:p>
        </w:tc>
      </w:tr>
      <w:tr w:rsidR="006F0CAA" w:rsidRPr="00BA1E5F" w14:paraId="7A21B905" w14:textId="77777777" w:rsidTr="40F7E47C">
        <w:trPr>
          <w:trHeight w:val="454"/>
        </w:trPr>
        <w:tc>
          <w:tcPr>
            <w:tcW w:w="3266" w:type="dxa"/>
            <w:vAlign w:val="center"/>
          </w:tcPr>
          <w:p w14:paraId="533380A9" w14:textId="7103E52D" w:rsidR="006F0CAA" w:rsidRPr="00BA1E5F" w:rsidRDefault="006F0CAA" w:rsidP="40F7E47C">
            <w:pPr>
              <w:jc w:val="both"/>
              <w:textAlignment w:val="baseline"/>
              <w:rPr>
                <w:rFonts w:ascii="Century Gothic" w:hAnsi="Century Gothic"/>
                <w:b/>
                <w:bCs/>
                <w:color w:val="000000"/>
                <w:sz w:val="22"/>
                <w:szCs w:val="22"/>
                <w:shd w:val="clear" w:color="auto" w:fill="FFFFFF"/>
                <w:lang w:val="es-ES" w:eastAsia="es-CO"/>
              </w:rPr>
            </w:pPr>
            <w:r w:rsidRPr="40F7E47C">
              <w:rPr>
                <w:rFonts w:ascii="Century Gothic" w:hAnsi="Century Gothic"/>
                <w:b/>
                <w:bCs/>
                <w:color w:val="000000"/>
                <w:sz w:val="22"/>
                <w:szCs w:val="22"/>
                <w:shd w:val="clear" w:color="auto" w:fill="FFFFFF"/>
                <w:lang w:val="es-ES" w:eastAsia="es-CO"/>
              </w:rPr>
              <w:t>Caso Onbase</w:t>
            </w:r>
          </w:p>
        </w:tc>
        <w:tc>
          <w:tcPr>
            <w:tcW w:w="6941" w:type="dxa"/>
            <w:vAlign w:val="center"/>
          </w:tcPr>
          <w:p w14:paraId="79DBA3A4" w14:textId="1190C246" w:rsidR="006F0CAA" w:rsidRPr="00BA1E5F" w:rsidRDefault="00F51806" w:rsidP="00EB6AB4">
            <w:pPr>
              <w:jc w:val="both"/>
              <w:rPr>
                <w:rFonts w:ascii="Century Gothic" w:hAnsi="Century Gothic" w:cs="Segoe UI"/>
                <w:sz w:val="22"/>
                <w:szCs w:val="22"/>
                <w:lang w:eastAsia="es-CO"/>
              </w:rPr>
            </w:pPr>
            <w:r w:rsidRPr="00F51806">
              <w:rPr>
                <w:rFonts w:ascii="Century Gothic" w:hAnsi="Century Gothic" w:cs="Segoe UI"/>
                <w:sz w:val="22"/>
                <w:szCs w:val="22"/>
                <w:lang w:eastAsia="es-CO"/>
              </w:rPr>
              <w:t>N/A</w:t>
            </w:r>
          </w:p>
        </w:tc>
      </w:tr>
      <w:tr w:rsidR="00EE687D" w:rsidRPr="00BA1E5F" w14:paraId="00877764" w14:textId="77777777" w:rsidTr="40F7E47C">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3AB523ED" w:rsidR="00EE687D" w:rsidRPr="00F51806" w:rsidRDefault="00786E86" w:rsidP="00F51806">
            <w:pPr>
              <w:spacing w:line="276" w:lineRule="auto"/>
              <w:jc w:val="both"/>
              <w:rPr>
                <w:rFonts w:ascii="Century Gothic" w:hAnsi="Century Gothic"/>
                <w:sz w:val="22"/>
                <w:szCs w:val="22"/>
              </w:rPr>
            </w:pPr>
            <w:r w:rsidRPr="005754C7">
              <w:rPr>
                <w:rFonts w:ascii="Century Gothic" w:hAnsi="Century Gothic"/>
                <w:sz w:val="22"/>
                <w:szCs w:val="22"/>
              </w:rPr>
              <w:t>AB001559.</w:t>
            </w:r>
          </w:p>
        </w:tc>
      </w:tr>
      <w:tr w:rsidR="00EE687D" w:rsidRPr="00BA1E5F" w14:paraId="3260B646" w14:textId="77777777" w:rsidTr="40F7E47C">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1C1EB08C" w:rsidR="00EE687D" w:rsidRPr="00BA1E5F" w:rsidRDefault="00F51806" w:rsidP="00EB6AB4">
            <w:pPr>
              <w:jc w:val="both"/>
              <w:rPr>
                <w:rFonts w:ascii="Century Gothic" w:hAnsi="Century Gothic" w:cs="Segoe UI"/>
                <w:sz w:val="22"/>
                <w:szCs w:val="22"/>
                <w:lang w:eastAsia="es-CO"/>
              </w:rPr>
            </w:pPr>
            <w:r w:rsidRPr="00F51806">
              <w:rPr>
                <w:rFonts w:ascii="Century Gothic" w:hAnsi="Century Gothic" w:cs="Segoe UI"/>
                <w:sz w:val="22"/>
                <w:szCs w:val="22"/>
                <w:lang w:eastAsia="es-CO"/>
              </w:rPr>
              <w:t>AB001560</w:t>
            </w:r>
          </w:p>
        </w:tc>
      </w:tr>
      <w:tr w:rsidR="00EE687D" w:rsidRPr="00BA1E5F" w14:paraId="0BC7C6A3" w14:textId="77777777" w:rsidTr="40F7E47C">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23984F19" w:rsidR="00EE687D" w:rsidRPr="00BA1E5F" w:rsidRDefault="00F51806"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40F7E47C">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6B38D085" w:rsidR="00B90E05" w:rsidRPr="00BA1E5F" w:rsidRDefault="00F51806" w:rsidP="00EB6AB4">
            <w:pPr>
              <w:jc w:val="both"/>
              <w:rPr>
                <w:rFonts w:ascii="Century Gothic" w:hAnsi="Century Gothic" w:cs="Segoe UI"/>
                <w:sz w:val="22"/>
                <w:szCs w:val="22"/>
                <w:lang w:eastAsia="es-CO"/>
              </w:rPr>
            </w:pPr>
            <w:r w:rsidRPr="00F51806">
              <w:rPr>
                <w:rFonts w:ascii="Century Gothic" w:hAnsi="Century Gothic" w:cs="Segoe UI"/>
                <w:sz w:val="22"/>
                <w:szCs w:val="22"/>
                <w:lang w:eastAsia="es-CO"/>
              </w:rPr>
              <w:t>100071</w:t>
            </w:r>
          </w:p>
        </w:tc>
      </w:tr>
      <w:tr w:rsidR="00EE687D" w:rsidRPr="00BA1E5F" w14:paraId="4BCD09C7" w14:textId="77777777" w:rsidTr="40F7E47C">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6BF30542" w:rsidR="00EE687D" w:rsidRPr="00BA1E5F" w:rsidRDefault="00F51806"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40F7E47C">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5140C826" w:rsidR="001C44B4" w:rsidRPr="00BA1E5F" w:rsidRDefault="00140F27" w:rsidP="001C44B4">
            <w:pPr>
              <w:jc w:val="both"/>
              <w:rPr>
                <w:rFonts w:ascii="Century Gothic" w:hAnsi="Century Gothic" w:cs="Segoe UI"/>
                <w:sz w:val="22"/>
                <w:szCs w:val="22"/>
                <w:lang w:eastAsia="es-CO"/>
              </w:rPr>
            </w:pPr>
            <w:r w:rsidRPr="00140F27">
              <w:rPr>
                <w:rFonts w:ascii="Century Gothic" w:hAnsi="Century Gothic" w:cs="Segoe UI"/>
                <w:sz w:val="22"/>
                <w:szCs w:val="22"/>
                <w:lang w:eastAsia="es-CO"/>
              </w:rPr>
              <w:t>8 de mayo de 2024</w:t>
            </w:r>
          </w:p>
        </w:tc>
      </w:tr>
      <w:tr w:rsidR="001C44B4" w:rsidRPr="00BA1E5F" w14:paraId="05412033" w14:textId="77777777" w:rsidTr="40F7E47C">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686E92C1" w:rsidR="001C44B4" w:rsidRPr="00BA1E5F" w:rsidRDefault="00F51806" w:rsidP="001C44B4">
            <w:pPr>
              <w:jc w:val="both"/>
              <w:rPr>
                <w:rFonts w:ascii="Century Gothic" w:hAnsi="Century Gothic" w:cs="Segoe UI"/>
                <w:sz w:val="22"/>
                <w:szCs w:val="22"/>
                <w:lang w:eastAsia="es-CO"/>
              </w:rPr>
            </w:pPr>
            <w:r w:rsidRPr="00F51806">
              <w:rPr>
                <w:rFonts w:ascii="Century Gothic" w:hAnsi="Century Gothic" w:cs="Segoe UI"/>
                <w:sz w:val="22"/>
                <w:szCs w:val="22"/>
                <w:lang w:eastAsia="es-CO"/>
              </w:rPr>
              <w:t>PDTE</w:t>
            </w:r>
          </w:p>
        </w:tc>
      </w:tr>
      <w:tr w:rsidR="001C44B4" w:rsidRPr="00BA1E5F" w14:paraId="6DB6B020" w14:textId="77777777" w:rsidTr="40F7E47C">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lastRenderedPageBreak/>
              <w:t>Colocación de reaseguro</w:t>
            </w:r>
          </w:p>
        </w:tc>
        <w:tc>
          <w:tcPr>
            <w:tcW w:w="6941" w:type="dxa"/>
            <w:vAlign w:val="center"/>
          </w:tcPr>
          <w:p w14:paraId="6857070F" w14:textId="6AE7A119" w:rsidR="001C44B4" w:rsidRPr="00BA1E5F" w:rsidRDefault="00F51806" w:rsidP="001C44B4">
            <w:pPr>
              <w:jc w:val="both"/>
              <w:rPr>
                <w:rFonts w:ascii="Century Gothic" w:hAnsi="Century Gothic" w:cs="Segoe UI"/>
                <w:sz w:val="22"/>
                <w:szCs w:val="22"/>
                <w:lang w:eastAsia="es-CO"/>
              </w:rPr>
            </w:pPr>
            <w:r w:rsidRPr="00F51806">
              <w:rPr>
                <w:rFonts w:ascii="Century Gothic" w:hAnsi="Century Gothic" w:cs="Segoe UI"/>
                <w:sz w:val="22"/>
                <w:szCs w:val="22"/>
                <w:lang w:eastAsia="es-CO"/>
              </w:rPr>
              <w:t>CUOTA PARTE</w:t>
            </w:r>
          </w:p>
        </w:tc>
      </w:tr>
      <w:tr w:rsidR="001C44B4" w:rsidRPr="00BA1E5F" w14:paraId="2F1DA9E6" w14:textId="77777777" w:rsidTr="40F7E47C">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4AAF58DD" w:rsidR="001C44B4" w:rsidRPr="00BA1E5F" w:rsidRDefault="00140F27" w:rsidP="001C44B4">
            <w:pPr>
              <w:jc w:val="both"/>
              <w:rPr>
                <w:rFonts w:ascii="Century Gothic" w:hAnsi="Century Gothic" w:cs="Segoe UI"/>
                <w:sz w:val="22"/>
                <w:szCs w:val="22"/>
                <w:lang w:eastAsia="es-CO"/>
              </w:rPr>
            </w:pPr>
            <w:r w:rsidRPr="00140F27">
              <w:rPr>
                <w:rFonts w:ascii="Century Gothic" w:hAnsi="Century Gothic" w:cs="Segoe UI"/>
                <w:sz w:val="22"/>
                <w:szCs w:val="22"/>
                <w:lang w:eastAsia="es-CO"/>
              </w:rPr>
              <w:t>SESPEM S.A.S</w:t>
            </w:r>
          </w:p>
        </w:tc>
      </w:tr>
      <w:tr w:rsidR="001C44B4" w:rsidRPr="00BA1E5F" w14:paraId="1165CBE1" w14:textId="77777777" w:rsidTr="40F7E47C">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13329236" w:rsidR="001C44B4" w:rsidRPr="00BA1E5F" w:rsidRDefault="00140F27" w:rsidP="001C44B4">
            <w:pPr>
              <w:jc w:val="both"/>
              <w:rPr>
                <w:rFonts w:ascii="Century Gothic" w:hAnsi="Century Gothic" w:cs="Segoe UI"/>
                <w:sz w:val="22"/>
                <w:szCs w:val="22"/>
                <w:lang w:eastAsia="es-CO"/>
              </w:rPr>
            </w:pPr>
            <w:r w:rsidRPr="00140F27">
              <w:rPr>
                <w:rFonts w:ascii="Century Gothic" w:hAnsi="Century Gothic" w:cs="Segoe UI"/>
                <w:sz w:val="22"/>
                <w:szCs w:val="22"/>
                <w:lang w:eastAsia="es-CO"/>
              </w:rPr>
              <w:t>HOSPITAL UNIVERSITARIO DE LA SAMARITANA ESE</w:t>
            </w:r>
          </w:p>
        </w:tc>
      </w:tr>
      <w:tr w:rsidR="001C44B4" w:rsidRPr="00BA1E5F" w14:paraId="513C2A8D" w14:textId="77777777" w:rsidTr="40F7E47C">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0E92B7A7" w:rsidR="001C44B4" w:rsidRPr="00BA1E5F" w:rsidRDefault="00F51806" w:rsidP="001C44B4">
            <w:pPr>
              <w:jc w:val="both"/>
              <w:rPr>
                <w:rFonts w:ascii="Century Gothic" w:hAnsi="Century Gothic" w:cs="Segoe UI"/>
                <w:sz w:val="22"/>
                <w:szCs w:val="22"/>
                <w:lang w:eastAsia="es-CO"/>
              </w:rPr>
            </w:pPr>
            <w:r w:rsidRPr="00F51806">
              <w:rPr>
                <w:rFonts w:ascii="Century Gothic" w:hAnsi="Century Gothic" w:cs="Segoe UI"/>
                <w:sz w:val="22"/>
                <w:szCs w:val="22"/>
                <w:lang w:eastAsia="es-CO"/>
              </w:rPr>
              <w:t>RCE</w:t>
            </w:r>
          </w:p>
        </w:tc>
      </w:tr>
      <w:tr w:rsidR="001C44B4" w:rsidRPr="00BA1E5F" w14:paraId="2F8ECFA3" w14:textId="77777777" w:rsidTr="40F7E47C">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5905CFAC" w:rsidR="001C44B4" w:rsidRPr="00BA1E5F" w:rsidRDefault="006E24BF" w:rsidP="001C44B4">
            <w:pPr>
              <w:jc w:val="both"/>
              <w:rPr>
                <w:rFonts w:ascii="Century Gothic" w:hAnsi="Century Gothic" w:cs="Segoe UI"/>
                <w:sz w:val="22"/>
                <w:szCs w:val="22"/>
                <w:lang w:eastAsia="es-CO"/>
              </w:rPr>
            </w:pPr>
            <w:r>
              <w:rPr>
                <w:rFonts w:ascii="Century Gothic" w:hAnsi="Century Gothic" w:cs="Segoe UI"/>
                <w:sz w:val="22"/>
                <w:szCs w:val="22"/>
                <w:lang w:eastAsia="es-CO"/>
              </w:rPr>
              <w:t>CUMPLIMIENTO EST</w:t>
            </w:r>
            <w:r w:rsidR="00140F27">
              <w:rPr>
                <w:rFonts w:ascii="Century Gothic" w:hAnsi="Century Gothic" w:cs="Segoe UI"/>
                <w:sz w:val="22"/>
                <w:szCs w:val="22"/>
                <w:lang w:eastAsia="es-CO"/>
              </w:rPr>
              <w:t>ATAL</w:t>
            </w:r>
          </w:p>
        </w:tc>
      </w:tr>
      <w:tr w:rsidR="001C44B4" w:rsidRPr="00BA1E5F" w14:paraId="59B4A554" w14:textId="77777777" w:rsidTr="40F7E47C">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65BDB8BC" w:rsidR="001C44B4" w:rsidRPr="00BA1E5F" w:rsidRDefault="00140F27" w:rsidP="001C44B4">
            <w:pPr>
              <w:jc w:val="both"/>
              <w:rPr>
                <w:rFonts w:ascii="Century Gothic" w:hAnsi="Century Gothic" w:cs="Segoe UI"/>
                <w:sz w:val="22"/>
                <w:szCs w:val="22"/>
                <w:lang w:eastAsia="es-CO"/>
              </w:rPr>
            </w:pPr>
            <w:r w:rsidRPr="00140F27">
              <w:rPr>
                <w:rFonts w:ascii="Century Gothic" w:hAnsi="Century Gothic" w:cs="Segoe UI"/>
                <w:sz w:val="22"/>
                <w:szCs w:val="22"/>
                <w:lang w:eastAsia="es-CO"/>
              </w:rPr>
              <w:t>$365,018,400.00</w:t>
            </w:r>
          </w:p>
        </w:tc>
      </w:tr>
      <w:tr w:rsidR="001129B6" w:rsidRPr="00BA1E5F" w14:paraId="2F24D88E" w14:textId="77777777" w:rsidTr="40F7E47C">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E2C1CFA" w:rsidR="001129B6" w:rsidRPr="00BA1E5F" w:rsidRDefault="00140F27" w:rsidP="001C44B4">
            <w:pPr>
              <w:jc w:val="both"/>
              <w:rPr>
                <w:rFonts w:ascii="Century Gothic" w:hAnsi="Century Gothic" w:cs="Segoe UI"/>
                <w:sz w:val="22"/>
                <w:szCs w:val="22"/>
                <w:lang w:eastAsia="es-CO"/>
              </w:rPr>
            </w:pPr>
            <w:r>
              <w:rPr>
                <w:rFonts w:ascii="Century Gothic" w:hAnsi="Century Gothic" w:cs="Segoe UI"/>
                <w:sz w:val="22"/>
                <w:szCs w:val="22"/>
                <w:lang w:eastAsia="es-CO"/>
              </w:rPr>
              <w:t>N/</w:t>
            </w:r>
            <w:r w:rsidR="00F51806">
              <w:rPr>
                <w:rFonts w:ascii="Century Gothic" w:hAnsi="Century Gothic" w:cs="Segoe UI"/>
                <w:sz w:val="22"/>
                <w:szCs w:val="22"/>
                <w:lang w:eastAsia="es-CO"/>
              </w:rPr>
              <w:t>A</w:t>
            </w:r>
          </w:p>
        </w:tc>
      </w:tr>
      <w:tr w:rsidR="001C44B4" w:rsidRPr="00BA1E5F" w14:paraId="658B9E4D" w14:textId="77777777" w:rsidTr="40F7E47C">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125644CF"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 </w:t>
            </w:r>
            <w:r w:rsidR="006E24BF">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3E00E93F" w:rsidR="002633C0" w:rsidRPr="00BA1E5F" w:rsidRDefault="00D23A43"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0DF436ED" w:rsidR="002633C0" w:rsidRPr="00BA1E5F" w:rsidRDefault="006E24BF" w:rsidP="003314A2">
            <w:pPr>
              <w:spacing w:line="360" w:lineRule="auto"/>
              <w:rPr>
                <w:rFonts w:ascii="Century Gothic" w:hAnsi="Century Gothic"/>
                <w:sz w:val="22"/>
                <w:szCs w:val="22"/>
              </w:rPr>
            </w:pPr>
            <w:r>
              <w:rPr>
                <w:rFonts w:ascii="Century Gothic" w:hAnsi="Century Gothic"/>
                <w:sz w:val="22"/>
                <w:szCs w:val="22"/>
              </w:rPr>
              <w:t>50% del valor de la liquidación objetivada, es decir, $</w:t>
            </w:r>
            <w:r w:rsidR="00140F27" w:rsidRPr="00140F27">
              <w:rPr>
                <w:rFonts w:ascii="Century Gothic" w:hAnsi="Century Gothic"/>
                <w:sz w:val="22"/>
                <w:szCs w:val="22"/>
              </w:rPr>
              <w:t>3.723.976</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676F1924" w14:textId="77777777" w:rsidR="00F51806" w:rsidRDefault="00F51806" w:rsidP="007C1538">
            <w:pPr>
              <w:spacing w:line="360" w:lineRule="auto"/>
              <w:jc w:val="both"/>
              <w:rPr>
                <w:rFonts w:ascii="Century Gothic" w:hAnsi="Century Gothic"/>
                <w:sz w:val="22"/>
                <w:szCs w:val="22"/>
              </w:rPr>
            </w:pPr>
          </w:p>
          <w:p w14:paraId="48D20BA4" w14:textId="71E7DF51" w:rsidR="00725CEF" w:rsidRDefault="00725CEF" w:rsidP="007C1538">
            <w:pPr>
              <w:spacing w:line="360" w:lineRule="auto"/>
              <w:jc w:val="both"/>
              <w:rPr>
                <w:rFonts w:ascii="Century Gothic" w:hAnsi="Century Gothic"/>
                <w:sz w:val="22"/>
                <w:szCs w:val="22"/>
              </w:rPr>
            </w:pPr>
            <w:r>
              <w:rPr>
                <w:rFonts w:ascii="Century Gothic" w:hAnsi="Century Gothic"/>
                <w:sz w:val="22"/>
                <w:szCs w:val="22"/>
              </w:rPr>
              <w:t>La contingencia s</w:t>
            </w:r>
            <w:r w:rsidR="00736C63" w:rsidRPr="00736C63">
              <w:rPr>
                <w:rFonts w:ascii="Century Gothic" w:hAnsi="Century Gothic"/>
                <w:sz w:val="22"/>
                <w:szCs w:val="22"/>
              </w:rPr>
              <w:t>e califica como REMOTA, toda vez que</w:t>
            </w:r>
            <w:r>
              <w:rPr>
                <w:rFonts w:ascii="Century Gothic" w:hAnsi="Century Gothic"/>
                <w:sz w:val="22"/>
                <w:szCs w:val="22"/>
              </w:rPr>
              <w:t>,</w:t>
            </w:r>
            <w:r w:rsidR="00736C63" w:rsidRPr="00736C63">
              <w:rPr>
                <w:rFonts w:ascii="Century Gothic" w:hAnsi="Century Gothic"/>
                <w:sz w:val="22"/>
                <w:szCs w:val="22"/>
              </w:rPr>
              <w:t xml:space="preserve"> </w:t>
            </w:r>
            <w:r w:rsidR="00AF6BA2">
              <w:rPr>
                <w:rFonts w:ascii="Century Gothic" w:hAnsi="Century Gothic"/>
                <w:sz w:val="22"/>
                <w:szCs w:val="22"/>
              </w:rPr>
              <w:t xml:space="preserve">la póliza vinculada al proceso no presta cobertura material como quiera que de declararse un contrato realidad entre el demandante y el ESE asegurado dicho resigo no fue traslado al asegurador. </w:t>
            </w:r>
          </w:p>
          <w:p w14:paraId="6192D940" w14:textId="77777777" w:rsidR="00725CEF" w:rsidRDefault="00725CEF" w:rsidP="007C1538">
            <w:pPr>
              <w:spacing w:line="360" w:lineRule="auto"/>
              <w:jc w:val="both"/>
              <w:rPr>
                <w:rFonts w:ascii="Century Gothic" w:hAnsi="Century Gothic"/>
                <w:sz w:val="22"/>
                <w:szCs w:val="22"/>
              </w:rPr>
            </w:pPr>
          </w:p>
          <w:p w14:paraId="452554C3" w14:textId="77777777" w:rsidR="007C1538" w:rsidRDefault="007C1538" w:rsidP="007C1538">
            <w:pPr>
              <w:spacing w:line="360" w:lineRule="auto"/>
              <w:jc w:val="both"/>
              <w:rPr>
                <w:rFonts w:ascii="Century Gothic" w:hAnsi="Century Gothic" w:cs="Segoe UI"/>
                <w:sz w:val="22"/>
                <w:szCs w:val="22"/>
                <w:lang w:val="es-ES" w:eastAsia="es-CO"/>
              </w:rPr>
            </w:pPr>
            <w:r w:rsidRPr="007C1538">
              <w:rPr>
                <w:rFonts w:ascii="Century Gothic" w:hAnsi="Century Gothic" w:cs="Segoe UI"/>
                <w:sz w:val="22"/>
                <w:szCs w:val="22"/>
                <w:lang w:val="es-ES" w:eastAsia="es-CO"/>
              </w:rPr>
              <w:t>Lo primero que debe señalarse es que la Póliza de Cumplimiento del Contrato No. AB001559, cuyo tomador es SESPEM S.A.S., empresa de servicios temporales, y cuyo asegurado es la E.S.E. Hospital Universitario de La Samaritana, fue expedida bajo la modalidad por ocurrencia, y tiene como finalidad amparar el pago de los perjuicios ocasionados por el incumplimiento de las obligaciones contenidas en el Contrato de Prestación de Servicios No. 230 de 2024, celebrado entre la E.S.E. Hospital Universitario de La Samaritana y Servicios Especiales para Empresas S.A.S. – SESPEM S.A.S., cuyo objeto consiste en la prestación de servicios temporales a través del suministro de trabajadores en misión para el área asistencial.</w:t>
            </w:r>
          </w:p>
          <w:p w14:paraId="24D09B70" w14:textId="77777777" w:rsidR="00F51806" w:rsidRPr="007C1538" w:rsidRDefault="00F51806" w:rsidP="007C1538">
            <w:pPr>
              <w:spacing w:line="360" w:lineRule="auto"/>
              <w:jc w:val="both"/>
              <w:rPr>
                <w:rFonts w:ascii="Century Gothic" w:hAnsi="Century Gothic" w:cs="Segoe UI"/>
                <w:sz w:val="22"/>
                <w:szCs w:val="22"/>
                <w:lang w:val="es-ES" w:eastAsia="es-CO"/>
              </w:rPr>
            </w:pPr>
          </w:p>
          <w:p w14:paraId="4431993A" w14:textId="77777777" w:rsidR="007C1538" w:rsidRDefault="007C1538" w:rsidP="007C1538">
            <w:pPr>
              <w:spacing w:line="360" w:lineRule="auto"/>
              <w:jc w:val="both"/>
              <w:rPr>
                <w:rFonts w:ascii="Century Gothic" w:hAnsi="Century Gothic" w:cs="Segoe UI"/>
                <w:sz w:val="22"/>
                <w:szCs w:val="22"/>
                <w:lang w:val="es-ES" w:eastAsia="es-CO"/>
              </w:rPr>
            </w:pPr>
            <w:r w:rsidRPr="007C1538">
              <w:rPr>
                <w:rFonts w:ascii="Century Gothic" w:hAnsi="Century Gothic" w:cs="Segoe UI"/>
                <w:sz w:val="22"/>
                <w:szCs w:val="22"/>
                <w:lang w:val="es-ES" w:eastAsia="es-CO"/>
              </w:rPr>
              <w:t xml:space="preserve">La cobertura temporal de la póliza se extiende desde el 30 de enero de 2024 hasta el 30 de abril de 2027, de modo que sí existe cobertura temporal para las reclamaciones derivadas del eventual incumplimiento en el pago de salarios, prestaciones sociales e indemnización </w:t>
            </w:r>
            <w:r w:rsidRPr="007C1538">
              <w:rPr>
                <w:rFonts w:ascii="Century Gothic" w:hAnsi="Century Gothic" w:cs="Segoe UI"/>
                <w:sz w:val="22"/>
                <w:szCs w:val="22"/>
                <w:lang w:val="es-ES" w:eastAsia="es-CO"/>
              </w:rPr>
              <w:lastRenderedPageBreak/>
              <w:t>laboral, siempre que tales hechos ocurran dentro del período de vigencia de la póliza, lo cual, en este caso, se cumple.</w:t>
            </w:r>
          </w:p>
          <w:p w14:paraId="7F6114FC" w14:textId="77777777" w:rsidR="007C1538" w:rsidRPr="007C1538" w:rsidRDefault="007C1538" w:rsidP="007C1538">
            <w:pPr>
              <w:spacing w:line="360" w:lineRule="auto"/>
              <w:jc w:val="both"/>
              <w:rPr>
                <w:rFonts w:ascii="Century Gothic" w:hAnsi="Century Gothic" w:cs="Segoe UI"/>
                <w:sz w:val="22"/>
                <w:szCs w:val="22"/>
                <w:lang w:val="es-ES" w:eastAsia="es-CO"/>
              </w:rPr>
            </w:pPr>
          </w:p>
          <w:p w14:paraId="06EED800" w14:textId="06B2D543" w:rsidR="007C1538" w:rsidRDefault="007C1538" w:rsidP="007C1538">
            <w:pPr>
              <w:spacing w:line="360" w:lineRule="auto"/>
              <w:jc w:val="both"/>
              <w:rPr>
                <w:rFonts w:ascii="Century Gothic" w:hAnsi="Century Gothic" w:cs="Segoe UI"/>
                <w:sz w:val="22"/>
                <w:szCs w:val="22"/>
                <w:lang w:eastAsia="es-CO"/>
              </w:rPr>
            </w:pPr>
            <w:r w:rsidRPr="007C1538">
              <w:rPr>
                <w:rFonts w:ascii="Century Gothic" w:hAnsi="Century Gothic" w:cs="Segoe UI"/>
                <w:sz w:val="22"/>
                <w:szCs w:val="22"/>
                <w:lang w:val="es-ES" w:eastAsia="es-CO"/>
              </w:rPr>
              <w:t>Lo anterior por cuanto el demandante afirma que el impago de sus acreencias laborales se dio a partir del 30 de abril de 2024 y hasta la fecha de presentación de la demanda, esto es, el 9 de septiembre de 2024, lo que permite en principio considerar que las reclamaciones se enmarcan temporalmente dentro de la vigencia de la cobertura. No obstante, deberá analizarse en detalle si se configuran los presupuestos materiales de cobertura, particularmente la existencia de un vínculo laboral con el contratista garantizado, como lo exige el condicionado general de la póliza.</w:t>
            </w:r>
            <w:r w:rsidRPr="007C1538">
              <w:rPr>
                <w:rFonts w:ascii="Century Gothic" w:hAnsi="Century Gothic" w:cs="Segoe UI"/>
                <w:sz w:val="22"/>
                <w:szCs w:val="22"/>
                <w:lang w:eastAsia="es-CO"/>
              </w:rPr>
              <w:t xml:space="preserve"> No obstante, la póliza no presta cobertura material, por cuanto no ampara la declaratoria de un contrato realidad entre el demandante y la E.S.E. asegurada. Su objeto está limitado exclusivamente a cubrir los perjuicios que sufra la entidad asegurada derivados de un incumplimiento contractual imputable al contratista garantizado, esto es, SESPEM S.A.S., y únicamente en relación con las obligaciones laborales que surjan de contratos de trabajo legalmente celebrados entre dicho contratista y sus trabajadores.</w:t>
            </w:r>
          </w:p>
          <w:p w14:paraId="3AF7016B" w14:textId="77777777" w:rsidR="00F51806" w:rsidRPr="007C1538" w:rsidRDefault="00F51806" w:rsidP="007C1538">
            <w:pPr>
              <w:spacing w:line="360" w:lineRule="auto"/>
              <w:jc w:val="both"/>
              <w:rPr>
                <w:rFonts w:ascii="Century Gothic" w:hAnsi="Century Gothic" w:cs="Segoe UI"/>
                <w:sz w:val="22"/>
                <w:szCs w:val="22"/>
                <w:lang w:val="es-ES" w:eastAsia="es-CO"/>
              </w:rPr>
            </w:pPr>
          </w:p>
          <w:p w14:paraId="7E40FD0C" w14:textId="434A5697" w:rsidR="00AF6BA2" w:rsidRPr="007C1538" w:rsidRDefault="007C1538" w:rsidP="007C1538">
            <w:pPr>
              <w:spacing w:line="360" w:lineRule="auto"/>
              <w:jc w:val="both"/>
              <w:rPr>
                <w:rFonts w:ascii="Century Gothic" w:hAnsi="Century Gothic" w:cs="Segoe UI"/>
                <w:sz w:val="22"/>
                <w:szCs w:val="22"/>
                <w:lang w:val="es-ES" w:eastAsia="es-CO"/>
              </w:rPr>
            </w:pPr>
            <w:r w:rsidRPr="007C1538">
              <w:rPr>
                <w:rFonts w:ascii="Century Gothic" w:hAnsi="Century Gothic" w:cs="Segoe UI"/>
                <w:sz w:val="22"/>
                <w:szCs w:val="22"/>
                <w:lang w:eastAsia="es-CO"/>
              </w:rPr>
              <w:t>En ese sentido, la cobertura pactada bajo el amparo de “pago de salarios, prestaciones sociales e indemnización laboral” no incluye ni se extiende a la eventual configuración de una relación laboral entre el demandante y la entidad pública, máxime cuando esta no ha suscrito contrato laboral alguno con el actor, ni ha fungido como empleadora. El contrato de seguro, por su naturaleza y alcance, no tiene por objeto asegurar las consecuencias jurídicas derivadas de una sentencia que declare una relación laboral directa entre el trabajador y el beneficiario de la póliza, como lo sería la E.S.E., en el marco del principio de primacía de la realidad.</w:t>
            </w:r>
          </w:p>
          <w:p w14:paraId="09CA8B36" w14:textId="77777777" w:rsidR="007C1538" w:rsidRDefault="007C1538" w:rsidP="007C1538">
            <w:pPr>
              <w:spacing w:line="360" w:lineRule="auto"/>
              <w:jc w:val="both"/>
              <w:rPr>
                <w:rFonts w:ascii="Century Gothic" w:hAnsi="Century Gothic"/>
                <w:sz w:val="22"/>
                <w:szCs w:val="22"/>
              </w:rPr>
            </w:pPr>
          </w:p>
          <w:p w14:paraId="21C21689" w14:textId="15AC306D" w:rsidR="00725CEF" w:rsidRDefault="00725CEF" w:rsidP="007C1538">
            <w:pPr>
              <w:spacing w:line="360" w:lineRule="auto"/>
              <w:jc w:val="both"/>
              <w:rPr>
                <w:rFonts w:ascii="Century Gothic" w:hAnsi="Century Gothic"/>
                <w:sz w:val="22"/>
                <w:szCs w:val="22"/>
              </w:rPr>
            </w:pPr>
            <w:r>
              <w:rPr>
                <w:rFonts w:ascii="Century Gothic" w:hAnsi="Century Gothic"/>
                <w:sz w:val="22"/>
                <w:szCs w:val="22"/>
              </w:rPr>
              <w:t xml:space="preserve">En relación con la nulidad del acto administrativo y la responsabilidad de la entidad afianzada, debe mencionarse que su determinación depende completamente del </w:t>
            </w:r>
            <w:r w:rsidR="00D23A43">
              <w:rPr>
                <w:rFonts w:ascii="Century Gothic" w:hAnsi="Century Gothic"/>
                <w:sz w:val="22"/>
                <w:szCs w:val="22"/>
              </w:rPr>
              <w:t>debate probatorio que se realice al interior del proceso judicial</w:t>
            </w:r>
            <w:r w:rsidR="007C1538">
              <w:rPr>
                <w:rFonts w:ascii="Century Gothic" w:hAnsi="Century Gothic"/>
                <w:sz w:val="22"/>
                <w:szCs w:val="22"/>
              </w:rPr>
              <w:t>.</w:t>
            </w:r>
          </w:p>
          <w:p w14:paraId="22639E2E" w14:textId="77777777" w:rsidR="00D23A43" w:rsidRDefault="00D23A43" w:rsidP="007C1538">
            <w:pPr>
              <w:spacing w:line="360" w:lineRule="auto"/>
              <w:jc w:val="both"/>
              <w:rPr>
                <w:rFonts w:ascii="Century Gothic" w:hAnsi="Century Gothic"/>
                <w:sz w:val="22"/>
                <w:szCs w:val="22"/>
              </w:rPr>
            </w:pPr>
          </w:p>
          <w:p w14:paraId="490C58AF" w14:textId="6121C23F" w:rsidR="00D23A43" w:rsidRDefault="00D23A43" w:rsidP="007C1538">
            <w:pPr>
              <w:spacing w:line="360" w:lineRule="auto"/>
              <w:jc w:val="both"/>
              <w:rPr>
                <w:rFonts w:ascii="Century Gothic" w:hAnsi="Century Gothic"/>
                <w:sz w:val="22"/>
                <w:szCs w:val="22"/>
              </w:rPr>
            </w:pPr>
            <w:r>
              <w:rPr>
                <w:rFonts w:ascii="Century Gothic" w:hAnsi="Century Gothic"/>
                <w:sz w:val="22"/>
                <w:szCs w:val="22"/>
              </w:rPr>
              <w:t>Lo anterior sin perjuicio del carácter contingente del proceso.</w:t>
            </w:r>
          </w:p>
          <w:p w14:paraId="58FF1192" w14:textId="6033C058" w:rsidR="00BA1E5F" w:rsidRPr="00BA1E5F" w:rsidRDefault="00BA1E5F" w:rsidP="00736C63">
            <w:pPr>
              <w:spacing w:line="360" w:lineRule="auto"/>
              <w:rPr>
                <w:rFonts w:ascii="Century Gothic" w:hAnsi="Century Gothic"/>
                <w:sz w:val="22"/>
                <w:szCs w:val="22"/>
              </w:rPr>
            </w:pPr>
          </w:p>
        </w:tc>
      </w:tr>
      <w:tr w:rsidR="00BA1E5F" w:rsidRPr="00BA1E5F" w14:paraId="6A3F4D91" w14:textId="77777777" w:rsidTr="008B59F4">
        <w:trPr>
          <w:trHeight w:val="1361"/>
        </w:trPr>
        <w:tc>
          <w:tcPr>
            <w:tcW w:w="10207" w:type="dxa"/>
            <w:gridSpan w:val="2"/>
            <w:vAlign w:val="center"/>
          </w:tcPr>
          <w:p w14:paraId="20132B5B" w14:textId="77777777" w:rsid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p>
          <w:p w14:paraId="48536E28" w14:textId="77777777" w:rsidR="0040785F" w:rsidRDefault="0040785F" w:rsidP="00BA1E5F">
            <w:pPr>
              <w:spacing w:line="360" w:lineRule="auto"/>
              <w:jc w:val="center"/>
              <w:rPr>
                <w:rFonts w:ascii="Century Gothic" w:hAnsi="Century Gothic"/>
                <w:b/>
                <w:bCs/>
                <w:sz w:val="22"/>
                <w:szCs w:val="22"/>
              </w:rPr>
            </w:pPr>
          </w:p>
          <w:p w14:paraId="26EF3EF9" w14:textId="77777777" w:rsidR="0040785F" w:rsidRPr="0040785F" w:rsidRDefault="0040785F" w:rsidP="0040785F">
            <w:pPr>
              <w:spacing w:line="360" w:lineRule="auto"/>
              <w:jc w:val="center"/>
              <w:rPr>
                <w:rFonts w:ascii="Century Gothic" w:hAnsi="Century Gothic"/>
                <w:b/>
                <w:bCs/>
                <w:sz w:val="22"/>
                <w:szCs w:val="22"/>
                <w:lang w:val="es-CO"/>
              </w:rPr>
            </w:pPr>
            <w:r w:rsidRPr="0040785F">
              <w:rPr>
                <w:rFonts w:ascii="Century Gothic" w:hAnsi="Century Gothic"/>
                <w:b/>
                <w:bCs/>
                <w:sz w:val="22"/>
                <w:szCs w:val="22"/>
                <w:lang w:val="es-ES"/>
              </w:rPr>
              <w:t>GUSTAVO ALBERTO HERRERA ÁVILA    </w:t>
            </w:r>
            <w:r w:rsidRPr="0040785F">
              <w:rPr>
                <w:rFonts w:ascii="Century Gothic" w:hAnsi="Century Gothic"/>
                <w:b/>
                <w:bCs/>
                <w:sz w:val="22"/>
                <w:szCs w:val="22"/>
                <w:lang w:val="es-CO"/>
              </w:rPr>
              <w:t> </w:t>
            </w:r>
          </w:p>
          <w:p w14:paraId="434FA26F" w14:textId="77777777" w:rsidR="0040785F" w:rsidRPr="0040785F" w:rsidRDefault="0040785F" w:rsidP="0040785F">
            <w:pPr>
              <w:spacing w:line="360" w:lineRule="auto"/>
              <w:jc w:val="center"/>
              <w:rPr>
                <w:rFonts w:ascii="Century Gothic" w:hAnsi="Century Gothic"/>
                <w:b/>
                <w:bCs/>
                <w:sz w:val="22"/>
                <w:szCs w:val="22"/>
                <w:lang w:val="es-CO"/>
              </w:rPr>
            </w:pPr>
            <w:r w:rsidRPr="0040785F">
              <w:rPr>
                <w:rFonts w:ascii="Century Gothic" w:hAnsi="Century Gothic"/>
                <w:b/>
                <w:bCs/>
                <w:sz w:val="22"/>
                <w:szCs w:val="22"/>
                <w:lang w:val="es-ES"/>
              </w:rPr>
              <w:t>C.C. No 19.395.114</w:t>
            </w:r>
            <w:r w:rsidRPr="0040785F">
              <w:rPr>
                <w:rFonts w:ascii="Century Gothic" w:hAnsi="Century Gothic"/>
                <w:b/>
                <w:bCs/>
                <w:sz w:val="22"/>
                <w:szCs w:val="22"/>
                <w:lang w:val="es-CO"/>
              </w:rPr>
              <w:t> </w:t>
            </w:r>
          </w:p>
          <w:p w14:paraId="61175D34" w14:textId="77777777" w:rsidR="0040785F" w:rsidRPr="0040785F" w:rsidRDefault="0040785F" w:rsidP="0040785F">
            <w:pPr>
              <w:spacing w:line="360" w:lineRule="auto"/>
              <w:jc w:val="center"/>
              <w:rPr>
                <w:rFonts w:ascii="Century Gothic" w:hAnsi="Century Gothic"/>
                <w:b/>
                <w:bCs/>
                <w:sz w:val="22"/>
                <w:szCs w:val="22"/>
                <w:lang w:val="es-CO"/>
              </w:rPr>
            </w:pPr>
            <w:r w:rsidRPr="0040785F">
              <w:rPr>
                <w:rFonts w:ascii="Century Gothic" w:hAnsi="Century Gothic"/>
                <w:b/>
                <w:bCs/>
                <w:sz w:val="22"/>
                <w:szCs w:val="22"/>
                <w:lang w:val="es-ES"/>
              </w:rPr>
              <w:t>T.P. No. 39.116 del C.S. de la J.</w:t>
            </w:r>
            <w:r w:rsidRPr="0040785F">
              <w:rPr>
                <w:rFonts w:ascii="Century Gothic" w:hAnsi="Century Gothic"/>
                <w:b/>
                <w:bCs/>
                <w:sz w:val="22"/>
                <w:szCs w:val="22"/>
                <w:lang w:val="es-CO"/>
              </w:rPr>
              <w:t> </w:t>
            </w:r>
          </w:p>
          <w:p w14:paraId="585F8EC6" w14:textId="77777777" w:rsidR="0040785F" w:rsidRPr="0040785F" w:rsidRDefault="0040785F" w:rsidP="0040785F">
            <w:pPr>
              <w:spacing w:line="360" w:lineRule="auto"/>
              <w:jc w:val="center"/>
              <w:rPr>
                <w:rFonts w:ascii="Century Gothic" w:hAnsi="Century Gothic"/>
                <w:b/>
                <w:bCs/>
                <w:sz w:val="22"/>
                <w:szCs w:val="22"/>
                <w:lang w:val="es-CO"/>
              </w:rPr>
            </w:pPr>
            <w:r w:rsidRPr="0040785F">
              <w:rPr>
                <w:rFonts w:ascii="Century Gothic" w:hAnsi="Century Gothic"/>
                <w:b/>
                <w:bCs/>
                <w:sz w:val="22"/>
                <w:szCs w:val="22"/>
                <w:lang w:val="es-CO"/>
              </w:rPr>
              <w:t>MFJ</w:t>
            </w:r>
          </w:p>
          <w:p w14:paraId="3A806213" w14:textId="67A6C599" w:rsidR="0040785F" w:rsidRPr="00BA1E5F" w:rsidRDefault="0040785F" w:rsidP="00BA1E5F">
            <w:pPr>
              <w:spacing w:line="360" w:lineRule="auto"/>
              <w:jc w:val="center"/>
              <w:rPr>
                <w:rFonts w:ascii="Century Gothic" w:hAnsi="Century Gothic"/>
                <w:b/>
                <w:bCs/>
                <w:sz w:val="22"/>
                <w:szCs w:val="22"/>
              </w:rPr>
            </w:pP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4B523" w14:textId="77777777" w:rsidR="00CE2E77" w:rsidRDefault="00CE2E77" w:rsidP="00E7033F">
      <w:r>
        <w:separator/>
      </w:r>
    </w:p>
  </w:endnote>
  <w:endnote w:type="continuationSeparator" w:id="0">
    <w:p w14:paraId="5C37169B" w14:textId="77777777" w:rsidR="00CE2E77" w:rsidRDefault="00CE2E77"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6BD03" w14:textId="77777777" w:rsidR="00CE2E77" w:rsidRDefault="00CE2E77" w:rsidP="00E7033F">
      <w:r>
        <w:separator/>
      </w:r>
    </w:p>
  </w:footnote>
  <w:footnote w:type="continuationSeparator" w:id="0">
    <w:p w14:paraId="08F9EF3C" w14:textId="77777777" w:rsidR="00CE2E77" w:rsidRDefault="00CE2E77"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53EC6"/>
    <w:multiLevelType w:val="hybridMultilevel"/>
    <w:tmpl w:val="FB4297B0"/>
    <w:lvl w:ilvl="0" w:tplc="C0564B5E">
      <w:start w:val="1"/>
      <w:numFmt w:val="bullet"/>
      <w:lvlText w:val="-"/>
      <w:lvlJc w:val="left"/>
      <w:pPr>
        <w:ind w:left="1440" w:hanging="360"/>
      </w:pPr>
      <w:rPr>
        <w:rFonts w:ascii="Century Gothic" w:eastAsiaTheme="minorHAnsi" w:hAnsi="Century Gothic"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5ED68DA"/>
    <w:multiLevelType w:val="hybridMultilevel"/>
    <w:tmpl w:val="119E52F2"/>
    <w:lvl w:ilvl="0" w:tplc="546288B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492819"/>
    <w:multiLevelType w:val="hybridMultilevel"/>
    <w:tmpl w:val="14623EC4"/>
    <w:lvl w:ilvl="0" w:tplc="546288B6">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7014C8"/>
    <w:multiLevelType w:val="hybridMultilevel"/>
    <w:tmpl w:val="0D000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FA1554"/>
    <w:multiLevelType w:val="hybridMultilevel"/>
    <w:tmpl w:val="B21E95DA"/>
    <w:lvl w:ilvl="0" w:tplc="C0564B5E">
      <w:start w:val="1"/>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B2350F"/>
    <w:multiLevelType w:val="hybridMultilevel"/>
    <w:tmpl w:val="DA9C2E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D046A0E"/>
    <w:multiLevelType w:val="hybridMultilevel"/>
    <w:tmpl w:val="E200A180"/>
    <w:lvl w:ilvl="0" w:tplc="546288B6">
      <w:start w:val="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4E8037BC"/>
    <w:multiLevelType w:val="hybridMultilevel"/>
    <w:tmpl w:val="49D28DE2"/>
    <w:lvl w:ilvl="0" w:tplc="CACCA3B0">
      <w:start w:val="1"/>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ECE705E"/>
    <w:multiLevelType w:val="hybridMultilevel"/>
    <w:tmpl w:val="D62E39D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6F54A63"/>
    <w:multiLevelType w:val="hybridMultilevel"/>
    <w:tmpl w:val="A9AE2D04"/>
    <w:lvl w:ilvl="0" w:tplc="C0564B5E">
      <w:start w:val="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68C6153"/>
    <w:multiLevelType w:val="hybridMultilevel"/>
    <w:tmpl w:val="5C046C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88953562">
    <w:abstractNumId w:val="5"/>
  </w:num>
  <w:num w:numId="2" w16cid:durableId="219025155">
    <w:abstractNumId w:val="3"/>
  </w:num>
  <w:num w:numId="3" w16cid:durableId="1963000887">
    <w:abstractNumId w:val="9"/>
  </w:num>
  <w:num w:numId="4" w16cid:durableId="641809891">
    <w:abstractNumId w:val="8"/>
  </w:num>
  <w:num w:numId="5" w16cid:durableId="1939438894">
    <w:abstractNumId w:val="1"/>
  </w:num>
  <w:num w:numId="6" w16cid:durableId="1860662487">
    <w:abstractNumId w:val="10"/>
  </w:num>
  <w:num w:numId="7" w16cid:durableId="4209032">
    <w:abstractNumId w:val="7"/>
  </w:num>
  <w:num w:numId="8" w16cid:durableId="1762068063">
    <w:abstractNumId w:val="2"/>
  </w:num>
  <w:num w:numId="9" w16cid:durableId="748841984">
    <w:abstractNumId w:val="0"/>
  </w:num>
  <w:num w:numId="10" w16cid:durableId="2056611777">
    <w:abstractNumId w:val="4"/>
  </w:num>
  <w:num w:numId="11" w16cid:durableId="1882814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837E7"/>
    <w:rsid w:val="000D23FC"/>
    <w:rsid w:val="001129B6"/>
    <w:rsid w:val="00120544"/>
    <w:rsid w:val="00140F27"/>
    <w:rsid w:val="00181E11"/>
    <w:rsid w:val="001A6EFC"/>
    <w:rsid w:val="001C44B4"/>
    <w:rsid w:val="001C7D25"/>
    <w:rsid w:val="001E096B"/>
    <w:rsid w:val="001E1616"/>
    <w:rsid w:val="001E5C79"/>
    <w:rsid w:val="00211BB6"/>
    <w:rsid w:val="00263011"/>
    <w:rsid w:val="002633C0"/>
    <w:rsid w:val="002A0E98"/>
    <w:rsid w:val="00311097"/>
    <w:rsid w:val="00314CAF"/>
    <w:rsid w:val="00324E27"/>
    <w:rsid w:val="003314A2"/>
    <w:rsid w:val="003761F8"/>
    <w:rsid w:val="003827E1"/>
    <w:rsid w:val="003B44CB"/>
    <w:rsid w:val="003B7F1A"/>
    <w:rsid w:val="003D7751"/>
    <w:rsid w:val="00403BFC"/>
    <w:rsid w:val="0040785F"/>
    <w:rsid w:val="00415463"/>
    <w:rsid w:val="00430BED"/>
    <w:rsid w:val="00437455"/>
    <w:rsid w:val="00474CA0"/>
    <w:rsid w:val="00493936"/>
    <w:rsid w:val="00496C7D"/>
    <w:rsid w:val="004C7D4E"/>
    <w:rsid w:val="00504FFB"/>
    <w:rsid w:val="00507302"/>
    <w:rsid w:val="005754C7"/>
    <w:rsid w:val="005F61D3"/>
    <w:rsid w:val="006056E7"/>
    <w:rsid w:val="00672DCA"/>
    <w:rsid w:val="00675EFF"/>
    <w:rsid w:val="00694306"/>
    <w:rsid w:val="006A1563"/>
    <w:rsid w:val="006E24BF"/>
    <w:rsid w:val="006F0CAA"/>
    <w:rsid w:val="00725CEF"/>
    <w:rsid w:val="00736C63"/>
    <w:rsid w:val="00761B63"/>
    <w:rsid w:val="00786E86"/>
    <w:rsid w:val="007A6B35"/>
    <w:rsid w:val="007A7775"/>
    <w:rsid w:val="007B3CF8"/>
    <w:rsid w:val="007C1538"/>
    <w:rsid w:val="007C37D7"/>
    <w:rsid w:val="007D795E"/>
    <w:rsid w:val="007F3BA1"/>
    <w:rsid w:val="00867D85"/>
    <w:rsid w:val="008B59F4"/>
    <w:rsid w:val="008B61E5"/>
    <w:rsid w:val="008B685D"/>
    <w:rsid w:val="008E249B"/>
    <w:rsid w:val="008F6B57"/>
    <w:rsid w:val="0095378E"/>
    <w:rsid w:val="009820E4"/>
    <w:rsid w:val="00987619"/>
    <w:rsid w:val="00992368"/>
    <w:rsid w:val="00996B7A"/>
    <w:rsid w:val="009A06ED"/>
    <w:rsid w:val="009B12A4"/>
    <w:rsid w:val="009C6FE1"/>
    <w:rsid w:val="00A1602E"/>
    <w:rsid w:val="00AF6BA2"/>
    <w:rsid w:val="00B2787D"/>
    <w:rsid w:val="00B329C2"/>
    <w:rsid w:val="00B61EAC"/>
    <w:rsid w:val="00B802F0"/>
    <w:rsid w:val="00B90E05"/>
    <w:rsid w:val="00BA0472"/>
    <w:rsid w:val="00BA1E5F"/>
    <w:rsid w:val="00C53D8F"/>
    <w:rsid w:val="00CE2E77"/>
    <w:rsid w:val="00D075CF"/>
    <w:rsid w:val="00D23A43"/>
    <w:rsid w:val="00D33414"/>
    <w:rsid w:val="00D35F0D"/>
    <w:rsid w:val="00D77386"/>
    <w:rsid w:val="00DD6A64"/>
    <w:rsid w:val="00DE1687"/>
    <w:rsid w:val="00DE5BEB"/>
    <w:rsid w:val="00E1110A"/>
    <w:rsid w:val="00E2423F"/>
    <w:rsid w:val="00E7033F"/>
    <w:rsid w:val="00E802BC"/>
    <w:rsid w:val="00E83AAB"/>
    <w:rsid w:val="00EB5FFB"/>
    <w:rsid w:val="00EE687D"/>
    <w:rsid w:val="00F07DE9"/>
    <w:rsid w:val="00F5107C"/>
    <w:rsid w:val="00F51806"/>
    <w:rsid w:val="00F62D63"/>
    <w:rsid w:val="00F67EF8"/>
    <w:rsid w:val="00F856C2"/>
    <w:rsid w:val="00F90650"/>
    <w:rsid w:val="00FC01A7"/>
    <w:rsid w:val="00FD0FD5"/>
    <w:rsid w:val="00FD2991"/>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1110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otnote,Colorful List - Accent 11,List Paragraph2,List Paragraph1,Bullets,titulo 3,List Paragraph,Ha,Betulia Título 1,Lista HD,Titulo 5,Chulito,Bolita,Párrafo de lista3,BOLA,Párrafo de lista21,Párrafo de lista1,BOLADEF,HOJA,Nivel 1"/>
    <w:basedOn w:val="Normal"/>
    <w:link w:val="PrrafodelistaCar"/>
    <w:uiPriority w:val="1"/>
    <w:qFormat/>
    <w:rsid w:val="00496C7D"/>
    <w:pPr>
      <w:ind w:left="720"/>
      <w:contextualSpacing/>
    </w:pPr>
  </w:style>
  <w:style w:type="character" w:customStyle="1" w:styleId="PrrafodelistaCar">
    <w:name w:val="Párrafo de lista Car"/>
    <w:aliases w:val="Footnote Car,Colorful List - Accent 11 Car,List Paragraph2 Car,List Paragraph1 Car,Bullets Car,titulo 3 Car,List Paragraph Car,Ha Car,Betulia Título 1 Car,Lista HD Car,Titulo 5 Car,Chulito Car,Bolita Car,Párrafo de lista3 Car"/>
    <w:link w:val="Prrafodelista"/>
    <w:uiPriority w:val="1"/>
    <w:locked/>
    <w:rsid w:val="0040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9768">
      <w:bodyDiv w:val="1"/>
      <w:marLeft w:val="0"/>
      <w:marRight w:val="0"/>
      <w:marTop w:val="0"/>
      <w:marBottom w:val="0"/>
      <w:divBdr>
        <w:top w:val="none" w:sz="0" w:space="0" w:color="auto"/>
        <w:left w:val="none" w:sz="0" w:space="0" w:color="auto"/>
        <w:bottom w:val="none" w:sz="0" w:space="0" w:color="auto"/>
        <w:right w:val="none" w:sz="0" w:space="0" w:color="auto"/>
      </w:divBdr>
    </w:div>
    <w:div w:id="176507708">
      <w:bodyDiv w:val="1"/>
      <w:marLeft w:val="0"/>
      <w:marRight w:val="0"/>
      <w:marTop w:val="0"/>
      <w:marBottom w:val="0"/>
      <w:divBdr>
        <w:top w:val="none" w:sz="0" w:space="0" w:color="auto"/>
        <w:left w:val="none" w:sz="0" w:space="0" w:color="auto"/>
        <w:bottom w:val="none" w:sz="0" w:space="0" w:color="auto"/>
        <w:right w:val="none" w:sz="0" w:space="0" w:color="auto"/>
      </w:divBdr>
    </w:div>
    <w:div w:id="193467022">
      <w:bodyDiv w:val="1"/>
      <w:marLeft w:val="0"/>
      <w:marRight w:val="0"/>
      <w:marTop w:val="0"/>
      <w:marBottom w:val="0"/>
      <w:divBdr>
        <w:top w:val="none" w:sz="0" w:space="0" w:color="auto"/>
        <w:left w:val="none" w:sz="0" w:space="0" w:color="auto"/>
        <w:bottom w:val="none" w:sz="0" w:space="0" w:color="auto"/>
        <w:right w:val="none" w:sz="0" w:space="0" w:color="auto"/>
      </w:divBdr>
    </w:div>
    <w:div w:id="501942580">
      <w:bodyDiv w:val="1"/>
      <w:marLeft w:val="0"/>
      <w:marRight w:val="0"/>
      <w:marTop w:val="0"/>
      <w:marBottom w:val="0"/>
      <w:divBdr>
        <w:top w:val="none" w:sz="0" w:space="0" w:color="auto"/>
        <w:left w:val="none" w:sz="0" w:space="0" w:color="auto"/>
        <w:bottom w:val="none" w:sz="0" w:space="0" w:color="auto"/>
        <w:right w:val="none" w:sz="0" w:space="0" w:color="auto"/>
      </w:divBdr>
    </w:div>
    <w:div w:id="573928054">
      <w:bodyDiv w:val="1"/>
      <w:marLeft w:val="0"/>
      <w:marRight w:val="0"/>
      <w:marTop w:val="0"/>
      <w:marBottom w:val="0"/>
      <w:divBdr>
        <w:top w:val="none" w:sz="0" w:space="0" w:color="auto"/>
        <w:left w:val="none" w:sz="0" w:space="0" w:color="auto"/>
        <w:bottom w:val="none" w:sz="0" w:space="0" w:color="auto"/>
        <w:right w:val="none" w:sz="0" w:space="0" w:color="auto"/>
      </w:divBdr>
    </w:div>
    <w:div w:id="716514060">
      <w:bodyDiv w:val="1"/>
      <w:marLeft w:val="0"/>
      <w:marRight w:val="0"/>
      <w:marTop w:val="0"/>
      <w:marBottom w:val="0"/>
      <w:divBdr>
        <w:top w:val="none" w:sz="0" w:space="0" w:color="auto"/>
        <w:left w:val="none" w:sz="0" w:space="0" w:color="auto"/>
        <w:bottom w:val="none" w:sz="0" w:space="0" w:color="auto"/>
        <w:right w:val="none" w:sz="0" w:space="0" w:color="auto"/>
      </w:divBdr>
    </w:div>
    <w:div w:id="864027013">
      <w:bodyDiv w:val="1"/>
      <w:marLeft w:val="0"/>
      <w:marRight w:val="0"/>
      <w:marTop w:val="0"/>
      <w:marBottom w:val="0"/>
      <w:divBdr>
        <w:top w:val="none" w:sz="0" w:space="0" w:color="auto"/>
        <w:left w:val="none" w:sz="0" w:space="0" w:color="auto"/>
        <w:bottom w:val="none" w:sz="0" w:space="0" w:color="auto"/>
        <w:right w:val="none" w:sz="0" w:space="0" w:color="auto"/>
      </w:divBdr>
    </w:div>
    <w:div w:id="986739589">
      <w:bodyDiv w:val="1"/>
      <w:marLeft w:val="0"/>
      <w:marRight w:val="0"/>
      <w:marTop w:val="0"/>
      <w:marBottom w:val="0"/>
      <w:divBdr>
        <w:top w:val="none" w:sz="0" w:space="0" w:color="auto"/>
        <w:left w:val="none" w:sz="0" w:space="0" w:color="auto"/>
        <w:bottom w:val="none" w:sz="0" w:space="0" w:color="auto"/>
        <w:right w:val="none" w:sz="0" w:space="0" w:color="auto"/>
      </w:divBdr>
    </w:div>
    <w:div w:id="1011372075">
      <w:bodyDiv w:val="1"/>
      <w:marLeft w:val="0"/>
      <w:marRight w:val="0"/>
      <w:marTop w:val="0"/>
      <w:marBottom w:val="0"/>
      <w:divBdr>
        <w:top w:val="none" w:sz="0" w:space="0" w:color="auto"/>
        <w:left w:val="none" w:sz="0" w:space="0" w:color="auto"/>
        <w:bottom w:val="none" w:sz="0" w:space="0" w:color="auto"/>
        <w:right w:val="none" w:sz="0" w:space="0" w:color="auto"/>
      </w:divBdr>
    </w:div>
    <w:div w:id="1036270937">
      <w:bodyDiv w:val="1"/>
      <w:marLeft w:val="0"/>
      <w:marRight w:val="0"/>
      <w:marTop w:val="0"/>
      <w:marBottom w:val="0"/>
      <w:divBdr>
        <w:top w:val="none" w:sz="0" w:space="0" w:color="auto"/>
        <w:left w:val="none" w:sz="0" w:space="0" w:color="auto"/>
        <w:bottom w:val="none" w:sz="0" w:space="0" w:color="auto"/>
        <w:right w:val="none" w:sz="0" w:space="0" w:color="auto"/>
      </w:divBdr>
    </w:div>
    <w:div w:id="1065032747">
      <w:bodyDiv w:val="1"/>
      <w:marLeft w:val="0"/>
      <w:marRight w:val="0"/>
      <w:marTop w:val="0"/>
      <w:marBottom w:val="0"/>
      <w:divBdr>
        <w:top w:val="none" w:sz="0" w:space="0" w:color="auto"/>
        <w:left w:val="none" w:sz="0" w:space="0" w:color="auto"/>
        <w:bottom w:val="none" w:sz="0" w:space="0" w:color="auto"/>
        <w:right w:val="none" w:sz="0" w:space="0" w:color="auto"/>
      </w:divBdr>
    </w:div>
    <w:div w:id="1160737270">
      <w:bodyDiv w:val="1"/>
      <w:marLeft w:val="0"/>
      <w:marRight w:val="0"/>
      <w:marTop w:val="0"/>
      <w:marBottom w:val="0"/>
      <w:divBdr>
        <w:top w:val="none" w:sz="0" w:space="0" w:color="auto"/>
        <w:left w:val="none" w:sz="0" w:space="0" w:color="auto"/>
        <w:bottom w:val="none" w:sz="0" w:space="0" w:color="auto"/>
        <w:right w:val="none" w:sz="0" w:space="0" w:color="auto"/>
      </w:divBdr>
    </w:div>
    <w:div w:id="1335692474">
      <w:bodyDiv w:val="1"/>
      <w:marLeft w:val="0"/>
      <w:marRight w:val="0"/>
      <w:marTop w:val="0"/>
      <w:marBottom w:val="0"/>
      <w:divBdr>
        <w:top w:val="none" w:sz="0" w:space="0" w:color="auto"/>
        <w:left w:val="none" w:sz="0" w:space="0" w:color="auto"/>
        <w:bottom w:val="none" w:sz="0" w:space="0" w:color="auto"/>
        <w:right w:val="none" w:sz="0" w:space="0" w:color="auto"/>
      </w:divBdr>
    </w:div>
    <w:div w:id="1612515308">
      <w:bodyDiv w:val="1"/>
      <w:marLeft w:val="0"/>
      <w:marRight w:val="0"/>
      <w:marTop w:val="0"/>
      <w:marBottom w:val="0"/>
      <w:divBdr>
        <w:top w:val="none" w:sz="0" w:space="0" w:color="auto"/>
        <w:left w:val="none" w:sz="0" w:space="0" w:color="auto"/>
        <w:bottom w:val="none" w:sz="0" w:space="0" w:color="auto"/>
        <w:right w:val="none" w:sz="0" w:space="0" w:color="auto"/>
      </w:divBdr>
    </w:div>
    <w:div w:id="1769542992">
      <w:bodyDiv w:val="1"/>
      <w:marLeft w:val="0"/>
      <w:marRight w:val="0"/>
      <w:marTop w:val="0"/>
      <w:marBottom w:val="0"/>
      <w:divBdr>
        <w:top w:val="none" w:sz="0" w:space="0" w:color="auto"/>
        <w:left w:val="none" w:sz="0" w:space="0" w:color="auto"/>
        <w:bottom w:val="none" w:sz="0" w:space="0" w:color="auto"/>
        <w:right w:val="none" w:sz="0" w:space="0" w:color="auto"/>
      </w:divBdr>
    </w:div>
    <w:div w:id="2032948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2075</Words>
  <Characters>11416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2025-06-10T00:36:00Z</dcterms:created>
  <dcterms:modified xsi:type="dcterms:W3CDTF">2025-06-10T00:36:00Z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2025-06-10T00:36:23Z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3bb65270-f4ae-4c3a-88c3-1768b6f65026</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