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3DE1F001" w:rsidR="00F67EF8" w:rsidRPr="00BA1E5F" w:rsidRDefault="00EE3081" w:rsidP="00F67EF8">
            <w:pPr>
              <w:spacing w:line="276" w:lineRule="auto"/>
              <w:jc w:val="both"/>
              <w:rPr>
                <w:rFonts w:ascii="Century Gothic" w:hAnsi="Century Gothic"/>
                <w:sz w:val="22"/>
                <w:szCs w:val="22"/>
              </w:rPr>
            </w:pPr>
            <w:r>
              <w:rPr>
                <w:rFonts w:ascii="Century Gothic" w:hAnsi="Century Gothic"/>
                <w:sz w:val="22"/>
                <w:szCs w:val="22"/>
              </w:rPr>
              <w:t>19-05-2025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5CFD278A" w:rsidR="00F67EF8" w:rsidRPr="00BA1E5F" w:rsidRDefault="00B775EB"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0D1BCA34" w:rsidR="00F67EF8" w:rsidRPr="00BA1E5F" w:rsidRDefault="00B775EB" w:rsidP="00F67EF8">
            <w:pPr>
              <w:spacing w:line="276" w:lineRule="auto"/>
              <w:jc w:val="both"/>
              <w:rPr>
                <w:rFonts w:ascii="Century Gothic" w:hAnsi="Century Gothic"/>
                <w:sz w:val="22"/>
                <w:szCs w:val="22"/>
              </w:rPr>
            </w:pPr>
            <w:r>
              <w:rPr>
                <w:rFonts w:ascii="Century Gothic" w:hAnsi="Century Gothic"/>
                <w:sz w:val="22"/>
                <w:szCs w:val="22"/>
              </w:rPr>
              <w:t>EQUIDAD SEGUROS DE VIDA O.C.</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050C2B39" w:rsidR="00F67EF8" w:rsidRPr="00BA1E5F" w:rsidRDefault="00B630AA" w:rsidP="00F67EF8">
            <w:pPr>
              <w:spacing w:line="276" w:lineRule="auto"/>
              <w:jc w:val="both"/>
              <w:rPr>
                <w:rFonts w:ascii="Century Gothic" w:hAnsi="Century Gothic"/>
                <w:sz w:val="22"/>
                <w:szCs w:val="22"/>
              </w:rPr>
            </w:pPr>
            <w:r w:rsidRPr="00B630AA">
              <w:rPr>
                <w:rFonts w:ascii="Century Gothic" w:hAnsi="Century Gothic"/>
                <w:sz w:val="22"/>
                <w:szCs w:val="22"/>
              </w:rPr>
              <w:t>9879</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08090DBA" w:rsidR="00F67EF8" w:rsidRPr="00BA1E5F" w:rsidRDefault="00B630AA" w:rsidP="00F67EF8">
            <w:pPr>
              <w:spacing w:line="276" w:lineRule="auto"/>
              <w:jc w:val="both"/>
              <w:rPr>
                <w:rFonts w:ascii="Century Gothic" w:hAnsi="Century Gothic"/>
                <w:sz w:val="22"/>
                <w:szCs w:val="22"/>
              </w:rPr>
            </w:pPr>
            <w:r w:rsidRPr="00B630AA">
              <w:rPr>
                <w:rFonts w:ascii="Century Gothic" w:hAnsi="Century Gothic"/>
                <w:sz w:val="22"/>
                <w:szCs w:val="22"/>
              </w:rPr>
              <w:t>JUZGADO 060 CIVIL MUNICIPAL DE BOGOTÁ</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2ED97F77" w:rsidR="00F67EF8" w:rsidRPr="00BA1E5F" w:rsidRDefault="00B630AA" w:rsidP="00F67EF8">
            <w:pPr>
              <w:spacing w:line="276" w:lineRule="auto"/>
              <w:jc w:val="both"/>
              <w:rPr>
                <w:rFonts w:ascii="Century Gothic" w:hAnsi="Century Gothic"/>
                <w:sz w:val="22"/>
                <w:szCs w:val="22"/>
              </w:rPr>
            </w:pPr>
            <w:r>
              <w:rPr>
                <w:rFonts w:ascii="Century Gothic" w:hAnsi="Century Gothic"/>
                <w:sz w:val="22"/>
                <w:szCs w:val="22"/>
              </w:rPr>
              <w:t>BOGOTÁ D.C.</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4135718C" w:rsidR="00992368" w:rsidRPr="00BA1E5F" w:rsidRDefault="00B630AA" w:rsidP="00F67EF8">
            <w:pPr>
              <w:spacing w:line="276" w:lineRule="auto"/>
              <w:jc w:val="both"/>
              <w:rPr>
                <w:rFonts w:ascii="Century Gothic" w:hAnsi="Century Gothic"/>
                <w:sz w:val="22"/>
                <w:szCs w:val="22"/>
              </w:rPr>
            </w:pPr>
            <w:r w:rsidRPr="00B630AA">
              <w:rPr>
                <w:rFonts w:ascii="Century Gothic" w:hAnsi="Century Gothic"/>
                <w:sz w:val="22"/>
                <w:szCs w:val="22"/>
              </w:rPr>
              <w:t>11001400305320230040200</w:t>
            </w:r>
            <w:r w:rsidR="007820E1">
              <w:rPr>
                <w:rFonts w:ascii="Century Gothic" w:hAnsi="Century Gothic"/>
                <w:sz w:val="22"/>
                <w:szCs w:val="22"/>
              </w:rPr>
              <w:t>*</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7477AB4A" w:rsidR="00992368" w:rsidRPr="00BA1E5F" w:rsidRDefault="00992368" w:rsidP="00F67EF8">
            <w:pPr>
              <w:spacing w:line="276" w:lineRule="auto"/>
              <w:jc w:val="both"/>
              <w:rPr>
                <w:rFonts w:ascii="Century Gothic" w:hAnsi="Century Gothic"/>
                <w:sz w:val="22"/>
                <w:szCs w:val="22"/>
              </w:rPr>
            </w:pP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2DF321C8" w:rsidR="00992368" w:rsidRPr="00BA1E5F" w:rsidRDefault="00992368" w:rsidP="00F67EF8">
            <w:pPr>
              <w:spacing w:line="276" w:lineRule="auto"/>
              <w:jc w:val="both"/>
              <w:rPr>
                <w:rFonts w:ascii="Century Gothic" w:hAnsi="Century Gothic"/>
                <w:sz w:val="22"/>
                <w:szCs w:val="22"/>
              </w:rPr>
            </w:pP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7D5C850F" w14:textId="77777777" w:rsidR="00B2787D" w:rsidRPr="00BA1E5F" w:rsidRDefault="00B2787D" w:rsidP="007C37D7">
            <w:pPr>
              <w:spacing w:line="276" w:lineRule="auto"/>
              <w:jc w:val="center"/>
              <w:rPr>
                <w:rFonts w:ascii="Century Gothic" w:hAnsi="Century Gothic"/>
                <w:sz w:val="22"/>
                <w:szCs w:val="22"/>
              </w:rPr>
            </w:pPr>
          </w:p>
          <w:p w14:paraId="66935DD8" w14:textId="2F556535" w:rsidR="00B630AA" w:rsidRPr="00B630AA" w:rsidRDefault="00B630AA" w:rsidP="00B630AA">
            <w:pPr>
              <w:pStyle w:val="Prrafodelista"/>
              <w:numPr>
                <w:ilvl w:val="0"/>
                <w:numId w:val="8"/>
              </w:numPr>
              <w:spacing w:line="276" w:lineRule="auto"/>
              <w:jc w:val="both"/>
              <w:rPr>
                <w:rFonts w:ascii="Century Gothic" w:hAnsi="Century Gothic"/>
                <w:sz w:val="22"/>
                <w:szCs w:val="22"/>
                <w:lang w:val="es-CO"/>
              </w:rPr>
            </w:pPr>
            <w:r w:rsidRPr="00B630AA">
              <w:rPr>
                <w:rFonts w:ascii="Century Gothic" w:hAnsi="Century Gothic"/>
                <w:sz w:val="22"/>
                <w:szCs w:val="22"/>
                <w:lang w:val="es-CO"/>
              </w:rPr>
              <w:t>El 12 de julio de 2019, el señor Víctor Hugo Medina adquirió una obligación financiera con MI BANCO</w:t>
            </w:r>
            <w:r>
              <w:rPr>
                <w:rFonts w:ascii="Century Gothic" w:hAnsi="Century Gothic"/>
                <w:sz w:val="22"/>
                <w:szCs w:val="22"/>
                <w:lang w:val="es-CO"/>
              </w:rPr>
              <w:t>,</w:t>
            </w:r>
            <w:r w:rsidRPr="00B630AA">
              <w:rPr>
                <w:rFonts w:ascii="Century Gothic" w:hAnsi="Century Gothic"/>
                <w:sz w:val="22"/>
                <w:szCs w:val="22"/>
                <w:lang w:val="es-CO"/>
              </w:rPr>
              <w:t xml:space="preserve"> BANCO DE LA MICROEMPRESA DE COLOMBIA S.A.</w:t>
            </w:r>
          </w:p>
          <w:p w14:paraId="3E841623" w14:textId="77777777" w:rsidR="00B630AA" w:rsidRPr="00B630AA" w:rsidRDefault="00B630AA" w:rsidP="00B630AA">
            <w:pPr>
              <w:spacing w:line="276" w:lineRule="auto"/>
              <w:jc w:val="both"/>
              <w:rPr>
                <w:rFonts w:ascii="Century Gothic" w:hAnsi="Century Gothic"/>
                <w:sz w:val="22"/>
                <w:szCs w:val="22"/>
                <w:lang w:val="es-CO"/>
              </w:rPr>
            </w:pPr>
          </w:p>
          <w:p w14:paraId="7A6EFA87" w14:textId="082B0489" w:rsidR="00B630AA" w:rsidRPr="007820E1" w:rsidRDefault="00B630AA" w:rsidP="00EA516C">
            <w:pPr>
              <w:pStyle w:val="Prrafodelista"/>
              <w:numPr>
                <w:ilvl w:val="0"/>
                <w:numId w:val="8"/>
              </w:numPr>
              <w:spacing w:line="276" w:lineRule="auto"/>
              <w:jc w:val="both"/>
              <w:rPr>
                <w:rFonts w:ascii="Century Gothic" w:hAnsi="Century Gothic"/>
                <w:sz w:val="22"/>
                <w:szCs w:val="22"/>
                <w:lang w:val="es-CO"/>
              </w:rPr>
            </w:pPr>
            <w:r w:rsidRPr="007820E1">
              <w:rPr>
                <w:rFonts w:ascii="Century Gothic" w:hAnsi="Century Gothic"/>
                <w:sz w:val="22"/>
                <w:szCs w:val="22"/>
                <w:lang w:val="es-CO"/>
              </w:rPr>
              <w:t>El 3 de noviembre de 2020, LA EQUIDAD SEGUROS DE VIDA O.C. expidió la Póliza No. 000051, siendo tomador y beneficiario MI BANCO, con cobertura por muerte y/o invalidez.</w:t>
            </w:r>
          </w:p>
          <w:p w14:paraId="1D84604C" w14:textId="77777777" w:rsidR="00B630AA" w:rsidRPr="00B630AA" w:rsidRDefault="00B630AA" w:rsidP="00B630AA">
            <w:pPr>
              <w:pStyle w:val="Prrafodelista"/>
              <w:spacing w:line="276" w:lineRule="auto"/>
              <w:jc w:val="both"/>
              <w:rPr>
                <w:rFonts w:ascii="Century Gothic" w:hAnsi="Century Gothic"/>
                <w:sz w:val="22"/>
                <w:szCs w:val="22"/>
                <w:lang w:val="es-CO"/>
              </w:rPr>
            </w:pPr>
          </w:p>
          <w:p w14:paraId="0CC31297" w14:textId="6E650953" w:rsidR="00B630AA" w:rsidRPr="00B630AA" w:rsidRDefault="00B630AA" w:rsidP="00B630AA">
            <w:pPr>
              <w:pStyle w:val="Prrafodelista"/>
              <w:numPr>
                <w:ilvl w:val="0"/>
                <w:numId w:val="8"/>
              </w:numPr>
              <w:spacing w:line="276" w:lineRule="auto"/>
              <w:jc w:val="both"/>
              <w:rPr>
                <w:rFonts w:ascii="Century Gothic" w:hAnsi="Century Gothic"/>
                <w:sz w:val="22"/>
                <w:szCs w:val="22"/>
                <w:lang w:val="es-CO"/>
              </w:rPr>
            </w:pPr>
            <w:r w:rsidRPr="00B630AA">
              <w:rPr>
                <w:rFonts w:ascii="Century Gothic" w:hAnsi="Century Gothic"/>
                <w:sz w:val="22"/>
                <w:szCs w:val="22"/>
                <w:lang w:val="es-CO"/>
              </w:rPr>
              <w:t>El 30 de agosto de 2020 falleció el señor Víctor Hugo Medina Ávila, según consta en el registro civil de defunción.</w:t>
            </w:r>
            <w:r w:rsidR="00E45738">
              <w:rPr>
                <w:rFonts w:ascii="Century Gothic" w:hAnsi="Century Gothic"/>
                <w:sz w:val="22"/>
                <w:szCs w:val="22"/>
                <w:lang w:val="es-CO"/>
              </w:rPr>
              <w:t xml:space="preserve"> C</w:t>
            </w:r>
            <w:r w:rsidR="00E45738" w:rsidRPr="00B630AA">
              <w:rPr>
                <w:rFonts w:ascii="Century Gothic" w:hAnsi="Century Gothic"/>
                <w:sz w:val="22"/>
                <w:szCs w:val="22"/>
                <w:lang w:val="es-CO"/>
              </w:rPr>
              <w:t>ausa del fallecimiento una “neumonía bacteriana no especificada”</w:t>
            </w:r>
          </w:p>
          <w:p w14:paraId="32ACE9A6" w14:textId="77777777" w:rsidR="00B630AA" w:rsidRPr="00B630AA" w:rsidRDefault="00B630AA" w:rsidP="00B630AA">
            <w:pPr>
              <w:spacing w:line="276" w:lineRule="auto"/>
              <w:jc w:val="both"/>
              <w:rPr>
                <w:rFonts w:ascii="Century Gothic" w:hAnsi="Century Gothic"/>
                <w:sz w:val="22"/>
                <w:szCs w:val="22"/>
                <w:lang w:val="es-CO"/>
              </w:rPr>
            </w:pPr>
          </w:p>
          <w:p w14:paraId="2E8C4106" w14:textId="372E188B" w:rsidR="00B630AA" w:rsidRPr="00B630AA" w:rsidRDefault="00B630AA" w:rsidP="00B630AA">
            <w:pPr>
              <w:pStyle w:val="Prrafodelista"/>
              <w:numPr>
                <w:ilvl w:val="0"/>
                <w:numId w:val="8"/>
              </w:numPr>
              <w:spacing w:line="276" w:lineRule="auto"/>
              <w:jc w:val="both"/>
              <w:rPr>
                <w:rFonts w:ascii="Century Gothic" w:hAnsi="Century Gothic"/>
                <w:sz w:val="22"/>
                <w:szCs w:val="22"/>
                <w:lang w:val="es-CO"/>
              </w:rPr>
            </w:pPr>
            <w:r w:rsidRPr="00B630AA">
              <w:rPr>
                <w:rFonts w:ascii="Century Gothic" w:hAnsi="Century Gothic"/>
                <w:sz w:val="22"/>
                <w:szCs w:val="22"/>
                <w:lang w:val="es-CO"/>
              </w:rPr>
              <w:t>El 9 de septiembre de 2020, Nancy Adriana Medina Mariño notificó a MI BANCO el fallecimiento de Víctor Hugo Medina, adjuntando el registro de defunción.</w:t>
            </w:r>
          </w:p>
          <w:p w14:paraId="55A7541A" w14:textId="77777777" w:rsidR="00B630AA" w:rsidRPr="00B630AA" w:rsidRDefault="00B630AA" w:rsidP="00B630AA">
            <w:pPr>
              <w:spacing w:line="276" w:lineRule="auto"/>
              <w:jc w:val="both"/>
              <w:rPr>
                <w:rFonts w:ascii="Century Gothic" w:hAnsi="Century Gothic"/>
                <w:sz w:val="22"/>
                <w:szCs w:val="22"/>
                <w:lang w:val="es-CO"/>
              </w:rPr>
            </w:pPr>
          </w:p>
          <w:p w14:paraId="0F5249E2" w14:textId="5367F2F8" w:rsidR="00B630AA" w:rsidRPr="00B630AA" w:rsidRDefault="00B630AA" w:rsidP="00B630AA">
            <w:pPr>
              <w:pStyle w:val="Prrafodelista"/>
              <w:numPr>
                <w:ilvl w:val="0"/>
                <w:numId w:val="8"/>
              </w:numPr>
              <w:spacing w:line="276" w:lineRule="auto"/>
              <w:jc w:val="both"/>
              <w:rPr>
                <w:rFonts w:ascii="Century Gothic" w:hAnsi="Century Gothic"/>
                <w:sz w:val="22"/>
                <w:szCs w:val="22"/>
                <w:lang w:val="es-CO"/>
              </w:rPr>
            </w:pPr>
            <w:r w:rsidRPr="00B630AA">
              <w:rPr>
                <w:rFonts w:ascii="Century Gothic" w:hAnsi="Century Gothic"/>
                <w:sz w:val="22"/>
                <w:szCs w:val="22"/>
                <w:lang w:val="es-CO"/>
              </w:rPr>
              <w:t>El 8 de abril de 2021, LA EQUIDAD SEGUROS DE VIDA O.C. objetó el siniestro No. 10210932 alegando que el asegurado padecía diabetes mellitus e hipertensión arterial al momento del desembolso del crédito, enfermedades no declaradas que, según la aseguradora, constituían reticencia y daban lugar a la exclusión de cobertura</w:t>
            </w:r>
            <w:r w:rsidR="00E45738">
              <w:rPr>
                <w:rFonts w:ascii="Century Gothic" w:hAnsi="Century Gothic"/>
                <w:sz w:val="22"/>
                <w:szCs w:val="22"/>
                <w:lang w:val="es-CO"/>
              </w:rPr>
              <w:t>.</w:t>
            </w:r>
          </w:p>
          <w:p w14:paraId="285181BA" w14:textId="3523B08F" w:rsidR="00B2787D" w:rsidRPr="00E45738" w:rsidRDefault="00B2787D" w:rsidP="00E45738">
            <w:pPr>
              <w:spacing w:line="276" w:lineRule="auto"/>
              <w:jc w:val="both"/>
              <w:rPr>
                <w:rFonts w:ascii="Century Gothic" w:hAnsi="Century Gothic"/>
                <w:sz w:val="22"/>
                <w:szCs w:val="22"/>
                <w:lang w:val="es-CO"/>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lastRenderedPageBreak/>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11B57CBF" w14:textId="77777777" w:rsidR="007C37D7" w:rsidRPr="00BA1E5F" w:rsidRDefault="007C37D7" w:rsidP="007C37D7">
            <w:pPr>
              <w:spacing w:line="276" w:lineRule="auto"/>
              <w:jc w:val="center"/>
              <w:rPr>
                <w:rFonts w:ascii="Century Gothic" w:hAnsi="Century Gothic"/>
                <w:sz w:val="22"/>
                <w:szCs w:val="22"/>
              </w:rPr>
            </w:pPr>
          </w:p>
          <w:p w14:paraId="38BBF108" w14:textId="2C88F1B5" w:rsidR="00E45738" w:rsidRPr="00E45738" w:rsidRDefault="00E45738" w:rsidP="00164AB0">
            <w:pPr>
              <w:pStyle w:val="Prrafodelista"/>
              <w:numPr>
                <w:ilvl w:val="0"/>
                <w:numId w:val="9"/>
              </w:numPr>
              <w:spacing w:line="276" w:lineRule="auto"/>
              <w:jc w:val="both"/>
              <w:rPr>
                <w:rFonts w:ascii="Century Gothic" w:hAnsi="Century Gothic"/>
                <w:sz w:val="22"/>
                <w:szCs w:val="22"/>
              </w:rPr>
            </w:pPr>
            <w:r w:rsidRPr="00E45738">
              <w:rPr>
                <w:rFonts w:ascii="Century Gothic" w:hAnsi="Century Gothic"/>
                <w:sz w:val="22"/>
                <w:szCs w:val="22"/>
              </w:rPr>
              <w:t>Se solicita que se ordene a LA EQUIDAD SEGUROS DE VIDA O.C. pagar la póliza de seguro de vida No. AA000051</w:t>
            </w:r>
            <w:r>
              <w:rPr>
                <w:rFonts w:ascii="Century Gothic" w:hAnsi="Century Gothic"/>
                <w:sz w:val="22"/>
                <w:szCs w:val="22"/>
              </w:rPr>
              <w:t xml:space="preserve">, </w:t>
            </w:r>
            <w:r w:rsidRPr="00E45738">
              <w:rPr>
                <w:rFonts w:ascii="Century Gothic" w:hAnsi="Century Gothic"/>
                <w:sz w:val="22"/>
                <w:szCs w:val="22"/>
              </w:rPr>
              <w:t>relacionada con el Crédito Obligación No. 220002882175, a favor de MI BANCO – BANCO DE LA MICROEMPRESA DE COLOMBIA S.A.</w:t>
            </w:r>
          </w:p>
          <w:p w14:paraId="1D1AA2E4" w14:textId="77777777" w:rsidR="00E45738" w:rsidRPr="00E45738" w:rsidRDefault="00E45738" w:rsidP="00E45738">
            <w:pPr>
              <w:spacing w:line="276" w:lineRule="auto"/>
              <w:rPr>
                <w:rFonts w:ascii="Century Gothic" w:hAnsi="Century Gothic"/>
                <w:sz w:val="22"/>
                <w:szCs w:val="22"/>
              </w:rPr>
            </w:pPr>
          </w:p>
          <w:p w14:paraId="21E7B648" w14:textId="11C6E45C" w:rsidR="00E45738" w:rsidRPr="00E45738" w:rsidRDefault="00E45738" w:rsidP="00164AB0">
            <w:pPr>
              <w:pStyle w:val="Prrafodelista"/>
              <w:numPr>
                <w:ilvl w:val="0"/>
                <w:numId w:val="9"/>
              </w:numPr>
              <w:spacing w:line="276" w:lineRule="auto"/>
              <w:jc w:val="both"/>
              <w:rPr>
                <w:rFonts w:ascii="Century Gothic" w:hAnsi="Century Gothic"/>
                <w:sz w:val="22"/>
                <w:szCs w:val="22"/>
              </w:rPr>
            </w:pPr>
            <w:r>
              <w:rPr>
                <w:rFonts w:ascii="Century Gothic" w:hAnsi="Century Gothic"/>
                <w:sz w:val="22"/>
                <w:szCs w:val="22"/>
              </w:rPr>
              <w:t>Se</w:t>
            </w:r>
            <w:r w:rsidRPr="00E45738">
              <w:rPr>
                <w:rFonts w:ascii="Century Gothic" w:hAnsi="Century Gothic"/>
                <w:sz w:val="22"/>
                <w:szCs w:val="22"/>
              </w:rPr>
              <w:t xml:space="preserve"> pide ordenar el pago del saldo de la deuda existente a la fecha de la última cuota anterior a la muerte de Víctor Hugo Medina Ávila, beneficiando a MI BANCO como tomador y acreedor.</w:t>
            </w:r>
          </w:p>
          <w:p w14:paraId="5148BD80" w14:textId="77777777" w:rsidR="00E45738" w:rsidRPr="00E45738" w:rsidRDefault="00E45738" w:rsidP="00E45738">
            <w:pPr>
              <w:spacing w:line="276" w:lineRule="auto"/>
              <w:rPr>
                <w:rFonts w:ascii="Century Gothic" w:hAnsi="Century Gothic"/>
                <w:sz w:val="22"/>
                <w:szCs w:val="22"/>
              </w:rPr>
            </w:pPr>
          </w:p>
          <w:p w14:paraId="0F73A1DD" w14:textId="5ECCA0BE" w:rsidR="00FD53B3" w:rsidRPr="00E45738" w:rsidRDefault="00E45738" w:rsidP="00E45738">
            <w:pPr>
              <w:pStyle w:val="Prrafodelista"/>
              <w:numPr>
                <w:ilvl w:val="0"/>
                <w:numId w:val="9"/>
              </w:numPr>
              <w:spacing w:line="276" w:lineRule="auto"/>
              <w:rPr>
                <w:rFonts w:ascii="Century Gothic" w:hAnsi="Century Gothic"/>
                <w:sz w:val="22"/>
                <w:szCs w:val="22"/>
              </w:rPr>
            </w:pPr>
            <w:r w:rsidRPr="00E45738">
              <w:rPr>
                <w:rFonts w:ascii="Century Gothic" w:hAnsi="Century Gothic"/>
                <w:sz w:val="22"/>
                <w:szCs w:val="22"/>
              </w:rPr>
              <w:t>Se solicita condenar en costas y agencias en derecho a la aseguradora si se opone a las pretensiones y estas son acogidas.</w:t>
            </w:r>
          </w:p>
          <w:p w14:paraId="38A5729E" w14:textId="77777777" w:rsidR="00FD53B3" w:rsidRPr="00BA1E5F" w:rsidRDefault="00FD53B3" w:rsidP="007C37D7">
            <w:pPr>
              <w:spacing w:line="276" w:lineRule="auto"/>
              <w:jc w:val="center"/>
              <w:rPr>
                <w:rFonts w:ascii="Century Gothic" w:hAnsi="Century Gothic"/>
                <w:sz w:val="22"/>
                <w:szCs w:val="22"/>
              </w:rPr>
            </w:pPr>
          </w:p>
          <w:p w14:paraId="0CFD4ACC" w14:textId="77777777" w:rsidR="00FD53B3" w:rsidRPr="00BA1E5F" w:rsidRDefault="00FD53B3" w:rsidP="007C37D7">
            <w:pPr>
              <w:spacing w:line="276" w:lineRule="auto"/>
              <w:jc w:val="center"/>
              <w:rPr>
                <w:rFonts w:ascii="Century Gothic" w:hAnsi="Century Gothic"/>
                <w:sz w:val="22"/>
                <w:szCs w:val="22"/>
              </w:rPr>
            </w:pPr>
          </w:p>
          <w:p w14:paraId="77C06868" w14:textId="77777777" w:rsidR="00FD53B3" w:rsidRPr="00BA1E5F" w:rsidRDefault="00FD53B3" w:rsidP="007C37D7">
            <w:pPr>
              <w:spacing w:line="276" w:lineRule="auto"/>
              <w:jc w:val="center"/>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vAlign w:val="center"/>
          </w:tcPr>
          <w:p w14:paraId="00FEFA37" w14:textId="7242FF65" w:rsidR="00992368" w:rsidRPr="00BA1E5F" w:rsidRDefault="00E45738" w:rsidP="003827E1">
            <w:pPr>
              <w:spacing w:line="276" w:lineRule="auto"/>
              <w:rPr>
                <w:rFonts w:ascii="Century Gothic" w:hAnsi="Century Gothic"/>
                <w:sz w:val="22"/>
                <w:szCs w:val="22"/>
              </w:rPr>
            </w:pPr>
            <w:r>
              <w:rPr>
                <w:rFonts w:ascii="Century Gothic" w:hAnsi="Century Gothic"/>
                <w:sz w:val="22"/>
                <w:szCs w:val="22"/>
              </w:rPr>
              <w:t>$170.000.000</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38B83708" w:rsidR="00992368" w:rsidRPr="003436B9" w:rsidRDefault="00423E67" w:rsidP="003436B9">
            <w:pPr>
              <w:spacing w:line="276" w:lineRule="auto"/>
              <w:rPr>
                <w:rFonts w:ascii="Century Gothic" w:hAnsi="Century Gothic"/>
                <w:sz w:val="22"/>
                <w:szCs w:val="22"/>
              </w:rPr>
            </w:pPr>
            <w:r w:rsidRPr="00423E67">
              <w:rPr>
                <w:rFonts w:ascii="Century Gothic" w:hAnsi="Century Gothic"/>
                <w:sz w:val="22"/>
                <w:szCs w:val="22"/>
              </w:rPr>
              <w:t>$106.460.787</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3436B9" w:rsidRPr="00BA1E5F" w14:paraId="33786C43" w14:textId="77777777" w:rsidTr="0095378E">
        <w:trPr>
          <w:trHeight w:val="6406"/>
        </w:trPr>
        <w:tc>
          <w:tcPr>
            <w:tcW w:w="10191" w:type="dxa"/>
            <w:vAlign w:val="center"/>
          </w:tcPr>
          <w:p w14:paraId="2EB7F804" w14:textId="72A9C5E3" w:rsidR="003436B9" w:rsidRPr="002E1D2C" w:rsidRDefault="003436B9" w:rsidP="00AB21E5">
            <w:pPr>
              <w:spacing w:line="276" w:lineRule="auto"/>
              <w:jc w:val="both"/>
              <w:rPr>
                <w:rFonts w:ascii="Century Gothic" w:hAnsi="Century Gothic"/>
                <w:sz w:val="22"/>
                <w:szCs w:val="22"/>
                <w:lang w:val="es-CO"/>
              </w:rPr>
            </w:pPr>
            <w:r w:rsidRPr="002E1D2C">
              <w:rPr>
                <w:rFonts w:ascii="Century Gothic" w:hAnsi="Century Gothic"/>
                <w:sz w:val="22"/>
                <w:szCs w:val="22"/>
                <w:lang w:val="es-CO"/>
              </w:rPr>
              <w:lastRenderedPageBreak/>
              <w:t>La liquidación objetiva de las pretensiones asciende a: </w:t>
            </w:r>
            <w:r w:rsidR="00423E67" w:rsidRPr="00423E67">
              <w:rPr>
                <w:rFonts w:ascii="Century Gothic" w:hAnsi="Century Gothic"/>
                <w:b/>
                <w:bCs/>
                <w:sz w:val="22"/>
                <w:szCs w:val="22"/>
                <w:lang w:val="es-CO"/>
              </w:rPr>
              <w:t>$106.460.787</w:t>
            </w:r>
            <w:r w:rsidRPr="002E1D2C">
              <w:rPr>
                <w:rFonts w:ascii="Century Gothic" w:hAnsi="Century Gothic"/>
                <w:sz w:val="22"/>
                <w:szCs w:val="22"/>
                <w:lang w:val="es-CO"/>
              </w:rPr>
              <w:t>, a este valor se llega de la siguiente manera:</w:t>
            </w:r>
          </w:p>
          <w:p w14:paraId="62B26E71" w14:textId="77777777" w:rsidR="003436B9" w:rsidRPr="002E1D2C" w:rsidRDefault="003436B9" w:rsidP="00AB21E5">
            <w:pPr>
              <w:spacing w:line="276" w:lineRule="auto"/>
              <w:jc w:val="both"/>
              <w:rPr>
                <w:rFonts w:ascii="Century Gothic" w:hAnsi="Century Gothic"/>
                <w:sz w:val="22"/>
                <w:szCs w:val="22"/>
                <w:lang w:val="es-CO"/>
              </w:rPr>
            </w:pPr>
            <w:r w:rsidRPr="002E1D2C">
              <w:rPr>
                <w:rFonts w:ascii="Century Gothic" w:hAnsi="Century Gothic"/>
                <w:sz w:val="22"/>
                <w:szCs w:val="22"/>
                <w:lang w:val="es-CO"/>
              </w:rPr>
              <w:t> </w:t>
            </w:r>
          </w:p>
          <w:p w14:paraId="457EC54E" w14:textId="35090927" w:rsidR="00AB21E5" w:rsidRPr="00423E67" w:rsidRDefault="003436B9" w:rsidP="00AB21E5">
            <w:pPr>
              <w:pStyle w:val="Prrafodelista"/>
              <w:numPr>
                <w:ilvl w:val="0"/>
                <w:numId w:val="10"/>
              </w:numPr>
              <w:spacing w:line="276" w:lineRule="auto"/>
              <w:jc w:val="both"/>
              <w:rPr>
                <w:rFonts w:ascii="Century Gothic" w:hAnsi="Century Gothic"/>
                <w:sz w:val="22"/>
                <w:szCs w:val="22"/>
                <w:lang w:val="es-CO"/>
              </w:rPr>
            </w:pPr>
            <w:r w:rsidRPr="00AB21E5">
              <w:rPr>
                <w:rFonts w:ascii="Century Gothic" w:hAnsi="Century Gothic"/>
                <w:b/>
                <w:bCs/>
                <w:sz w:val="22"/>
                <w:szCs w:val="22"/>
                <w:lang w:val="es-CO"/>
              </w:rPr>
              <w:t>Valor asegurado</w:t>
            </w:r>
            <w:r w:rsidRPr="00AB21E5">
              <w:rPr>
                <w:rFonts w:ascii="Century Gothic" w:hAnsi="Century Gothic"/>
                <w:sz w:val="22"/>
                <w:szCs w:val="22"/>
                <w:lang w:val="es-CO"/>
              </w:rPr>
              <w:t xml:space="preserve">. </w:t>
            </w:r>
            <w:r w:rsidR="00AB21E5" w:rsidRPr="00AB21E5">
              <w:rPr>
                <w:rFonts w:ascii="Century Gothic" w:hAnsi="Century Gothic"/>
                <w:sz w:val="22"/>
                <w:szCs w:val="22"/>
                <w:lang w:val="es-CO"/>
              </w:rPr>
              <w:t>Se tomó como valor la suma de</w:t>
            </w:r>
            <w:r w:rsidR="00AB21E5">
              <w:rPr>
                <w:rFonts w:ascii="Century Gothic" w:hAnsi="Century Gothic"/>
                <w:sz w:val="22"/>
                <w:szCs w:val="22"/>
                <w:lang w:val="es-CO"/>
              </w:rPr>
              <w:t xml:space="preserve"> </w:t>
            </w:r>
            <w:r w:rsidR="00AB21E5" w:rsidRPr="00AB21E5">
              <w:rPr>
                <w:rFonts w:ascii="Century Gothic" w:hAnsi="Century Gothic"/>
                <w:sz w:val="22"/>
                <w:szCs w:val="22"/>
              </w:rPr>
              <w:t>$106.460.787</w:t>
            </w:r>
            <w:r w:rsidR="00AB21E5">
              <w:rPr>
                <w:rFonts w:ascii="Century Gothic" w:hAnsi="Century Gothic"/>
                <w:sz w:val="22"/>
                <w:szCs w:val="22"/>
              </w:rPr>
              <w:t>, que corresponde al sal</w:t>
            </w:r>
            <w:r w:rsidR="00423E67">
              <w:rPr>
                <w:rFonts w:ascii="Century Gothic" w:hAnsi="Century Gothic"/>
                <w:sz w:val="22"/>
                <w:szCs w:val="22"/>
              </w:rPr>
              <w:t>do</w:t>
            </w:r>
            <w:r w:rsidR="00AB21E5">
              <w:rPr>
                <w:rFonts w:ascii="Century Gothic" w:hAnsi="Century Gothic"/>
                <w:sz w:val="22"/>
                <w:szCs w:val="22"/>
              </w:rPr>
              <w:t xml:space="preserve"> insoluto de la deuda con fecha de corte de 02 de julio de 2023, según lo que reporta la entidad financiera Mi Banco. </w:t>
            </w:r>
          </w:p>
          <w:p w14:paraId="05020E39" w14:textId="77777777" w:rsidR="00423E67" w:rsidRDefault="00423E67" w:rsidP="00423E67">
            <w:pPr>
              <w:spacing w:line="276" w:lineRule="auto"/>
              <w:jc w:val="both"/>
              <w:rPr>
                <w:rFonts w:ascii="Century Gothic" w:hAnsi="Century Gothic"/>
                <w:sz w:val="22"/>
                <w:szCs w:val="22"/>
                <w:lang w:val="es-CO"/>
              </w:rPr>
            </w:pPr>
          </w:p>
          <w:p w14:paraId="678EA8BE" w14:textId="3990E9CF" w:rsidR="00423E67" w:rsidRPr="00423E67" w:rsidRDefault="00423E67" w:rsidP="00423E67">
            <w:pPr>
              <w:spacing w:line="276" w:lineRule="auto"/>
              <w:jc w:val="both"/>
              <w:rPr>
                <w:rFonts w:ascii="Century Gothic" w:hAnsi="Century Gothic"/>
                <w:sz w:val="22"/>
                <w:szCs w:val="22"/>
                <w:lang w:val="es-CO"/>
              </w:rPr>
            </w:pPr>
            <w:r>
              <w:rPr>
                <w:rFonts w:ascii="Century Gothic" w:hAnsi="Century Gothic"/>
                <w:sz w:val="22"/>
                <w:szCs w:val="22"/>
                <w:lang w:val="es-CO"/>
              </w:rPr>
              <w:t xml:space="preserve">Se aclara que no fueron </w:t>
            </w:r>
            <w:r w:rsidR="009A5DA8">
              <w:rPr>
                <w:rFonts w:ascii="Century Gothic" w:hAnsi="Century Gothic"/>
                <w:sz w:val="22"/>
                <w:szCs w:val="22"/>
                <w:lang w:val="es-CO"/>
              </w:rPr>
              <w:t>pretendidos</w:t>
            </w:r>
            <w:r>
              <w:rPr>
                <w:rFonts w:ascii="Century Gothic" w:hAnsi="Century Gothic"/>
                <w:sz w:val="22"/>
                <w:szCs w:val="22"/>
                <w:lang w:val="es-CO"/>
              </w:rPr>
              <w:t xml:space="preserve"> más </w:t>
            </w:r>
            <w:r w:rsidR="009A5DA8">
              <w:rPr>
                <w:rFonts w:ascii="Century Gothic" w:hAnsi="Century Gothic"/>
                <w:sz w:val="22"/>
                <w:szCs w:val="22"/>
                <w:lang w:val="es-CO"/>
              </w:rPr>
              <w:t>conceptos</w:t>
            </w:r>
            <w:r>
              <w:rPr>
                <w:rFonts w:ascii="Century Gothic" w:hAnsi="Century Gothic"/>
                <w:sz w:val="22"/>
                <w:szCs w:val="22"/>
                <w:lang w:val="es-CO"/>
              </w:rPr>
              <w:t xml:space="preserve"> (Como intereses de mora). Conforme al principio de congruencia, se reconoce solo lo pretendido por el accionante, </w:t>
            </w:r>
            <w:r w:rsidR="009A5DA8">
              <w:rPr>
                <w:rFonts w:ascii="Century Gothic" w:hAnsi="Century Gothic"/>
                <w:sz w:val="22"/>
                <w:szCs w:val="22"/>
                <w:lang w:val="es-CO"/>
              </w:rPr>
              <w:t xml:space="preserve">que </w:t>
            </w:r>
            <w:r>
              <w:rPr>
                <w:rFonts w:ascii="Century Gothic" w:hAnsi="Century Gothic"/>
                <w:sz w:val="22"/>
                <w:szCs w:val="22"/>
                <w:lang w:val="es-CO"/>
              </w:rPr>
              <w:t xml:space="preserve">en este caso solo es el valor asegurado. </w:t>
            </w:r>
          </w:p>
          <w:p w14:paraId="014FB519" w14:textId="64BD9A7B" w:rsidR="00AB21E5" w:rsidRPr="00423E67" w:rsidRDefault="00AB21E5" w:rsidP="00423E67">
            <w:pPr>
              <w:spacing w:line="276" w:lineRule="auto"/>
              <w:jc w:val="both"/>
              <w:rPr>
                <w:rFonts w:ascii="Century Gothic" w:hAnsi="Century Gothic"/>
                <w:sz w:val="22"/>
                <w:szCs w:val="22"/>
                <w:lang w:val="es-CO"/>
              </w:rPr>
            </w:pPr>
          </w:p>
          <w:p w14:paraId="31FF8AB1" w14:textId="77777777" w:rsidR="003436B9" w:rsidRPr="00AB21E5" w:rsidRDefault="003436B9" w:rsidP="00AB21E5">
            <w:pPr>
              <w:spacing w:line="276" w:lineRule="auto"/>
              <w:rPr>
                <w:rFonts w:ascii="Century Gothic" w:hAnsi="Century Gothic"/>
                <w:sz w:val="22"/>
                <w:szCs w:val="22"/>
              </w:rPr>
            </w:pP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3D1942E6">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3D1942E6">
        <w:trPr>
          <w:trHeight w:val="3906"/>
        </w:trPr>
        <w:tc>
          <w:tcPr>
            <w:tcW w:w="10207" w:type="dxa"/>
            <w:vAlign w:val="center"/>
          </w:tcPr>
          <w:p w14:paraId="7FA202E6" w14:textId="77777777" w:rsidR="001D506B" w:rsidRPr="009027F5" w:rsidRDefault="009027F5" w:rsidP="001D506B">
            <w:pPr>
              <w:pStyle w:val="Prrafodelista"/>
              <w:numPr>
                <w:ilvl w:val="0"/>
                <w:numId w:val="4"/>
              </w:numPr>
              <w:spacing w:line="276" w:lineRule="auto"/>
              <w:jc w:val="both"/>
              <w:rPr>
                <w:rFonts w:ascii="Century Gothic" w:hAnsi="Century Gothic"/>
                <w:sz w:val="22"/>
                <w:szCs w:val="22"/>
              </w:rPr>
            </w:pPr>
            <w:r w:rsidRPr="009027F5">
              <w:rPr>
                <w:rFonts w:ascii="Century Gothic" w:hAnsi="Century Gothic"/>
                <w:sz w:val="22"/>
                <w:szCs w:val="22"/>
              </w:rPr>
              <w:t>PRESCRIPCIÓN DE LAS ACCIONES DERIVADAS DEL CONTRATO DE SEGUROS. </w:t>
            </w:r>
          </w:p>
          <w:p w14:paraId="427C076B" w14:textId="77777777" w:rsidR="009027F5" w:rsidRPr="009027F5" w:rsidRDefault="009027F5" w:rsidP="001D506B">
            <w:pPr>
              <w:pStyle w:val="Prrafodelista"/>
              <w:numPr>
                <w:ilvl w:val="0"/>
                <w:numId w:val="4"/>
              </w:numPr>
              <w:spacing w:line="276" w:lineRule="auto"/>
              <w:jc w:val="both"/>
              <w:rPr>
                <w:rFonts w:ascii="Century Gothic" w:hAnsi="Century Gothic"/>
                <w:sz w:val="22"/>
                <w:szCs w:val="22"/>
              </w:rPr>
            </w:pPr>
            <w:r w:rsidRPr="009027F5">
              <w:rPr>
                <w:rFonts w:ascii="Century Gothic" w:hAnsi="Century Gothic"/>
                <w:sz w:val="22"/>
                <w:szCs w:val="22"/>
              </w:rPr>
              <w:t>SOLICITUD DE SENTENCIA ANTICIPADA </w:t>
            </w:r>
          </w:p>
          <w:p w14:paraId="5CA9EC19" w14:textId="77777777" w:rsidR="009027F5" w:rsidRPr="009027F5" w:rsidRDefault="009027F5" w:rsidP="001D506B">
            <w:pPr>
              <w:pStyle w:val="Prrafodelista"/>
              <w:numPr>
                <w:ilvl w:val="0"/>
                <w:numId w:val="4"/>
              </w:numPr>
              <w:spacing w:line="276" w:lineRule="auto"/>
              <w:jc w:val="both"/>
              <w:rPr>
                <w:rFonts w:ascii="Century Gothic" w:hAnsi="Century Gothic"/>
                <w:sz w:val="22"/>
                <w:szCs w:val="22"/>
              </w:rPr>
            </w:pPr>
            <w:r w:rsidRPr="009027F5">
              <w:rPr>
                <w:rFonts w:ascii="Century Gothic" w:hAnsi="Century Gothic"/>
                <w:sz w:val="22"/>
                <w:szCs w:val="22"/>
              </w:rPr>
              <w:t>NULIDAD RELATIVA DEL CONTRATO DE SEGURO POR RETICENCIA DE LA INFORMACIÓN Y/O INEXACTITUD DEL ESTADO DEL RIESGO DEL ASEGURADO.  </w:t>
            </w:r>
          </w:p>
          <w:p w14:paraId="6EF00D6B" w14:textId="77777777" w:rsidR="009027F5" w:rsidRPr="009027F5" w:rsidRDefault="009027F5" w:rsidP="001D506B">
            <w:pPr>
              <w:pStyle w:val="Prrafodelista"/>
              <w:numPr>
                <w:ilvl w:val="0"/>
                <w:numId w:val="4"/>
              </w:numPr>
              <w:spacing w:line="276" w:lineRule="auto"/>
              <w:jc w:val="both"/>
              <w:rPr>
                <w:rFonts w:ascii="Century Gothic" w:hAnsi="Century Gothic"/>
                <w:sz w:val="22"/>
                <w:szCs w:val="22"/>
              </w:rPr>
            </w:pPr>
            <w:r w:rsidRPr="009027F5">
              <w:rPr>
                <w:rFonts w:ascii="Century Gothic" w:hAnsi="Century Gothic"/>
                <w:sz w:val="22"/>
                <w:szCs w:val="22"/>
                <w:lang w:val="es-ES"/>
              </w:rPr>
              <w:t>FALTA DE LEGTIMACIÓN EN LA CAUSA POR ACTIVA</w:t>
            </w:r>
            <w:r w:rsidRPr="009027F5">
              <w:rPr>
                <w:rFonts w:ascii="Century Gothic" w:hAnsi="Century Gothic"/>
                <w:sz w:val="22"/>
                <w:szCs w:val="22"/>
              </w:rPr>
              <w:t> </w:t>
            </w:r>
          </w:p>
          <w:p w14:paraId="1B95571D" w14:textId="77777777" w:rsidR="009027F5" w:rsidRPr="009027F5" w:rsidRDefault="009027F5" w:rsidP="001D506B">
            <w:pPr>
              <w:pStyle w:val="Prrafodelista"/>
              <w:numPr>
                <w:ilvl w:val="0"/>
                <w:numId w:val="4"/>
              </w:numPr>
              <w:spacing w:line="276" w:lineRule="auto"/>
              <w:jc w:val="both"/>
              <w:rPr>
                <w:rFonts w:ascii="Century Gothic" w:hAnsi="Century Gothic"/>
                <w:sz w:val="22"/>
                <w:szCs w:val="22"/>
              </w:rPr>
            </w:pPr>
            <w:r w:rsidRPr="009027F5">
              <w:rPr>
                <w:rFonts w:ascii="Century Gothic" w:hAnsi="Century Gothic"/>
                <w:sz w:val="22"/>
                <w:szCs w:val="22"/>
              </w:rPr>
              <w:t>INEXISTENCIA DE RIESGO INCIERTO Y FUTURO QUE PUDIERA SER OBJETO DE ASEGURAMIENTO. </w:t>
            </w:r>
          </w:p>
          <w:p w14:paraId="2C231BE2" w14:textId="77777777" w:rsidR="009027F5" w:rsidRPr="009027F5" w:rsidRDefault="009027F5" w:rsidP="001D506B">
            <w:pPr>
              <w:pStyle w:val="Prrafodelista"/>
              <w:numPr>
                <w:ilvl w:val="0"/>
                <w:numId w:val="4"/>
              </w:numPr>
              <w:spacing w:line="276" w:lineRule="auto"/>
              <w:jc w:val="both"/>
              <w:rPr>
                <w:rFonts w:ascii="Century Gothic" w:hAnsi="Century Gothic"/>
                <w:sz w:val="22"/>
                <w:szCs w:val="22"/>
              </w:rPr>
            </w:pPr>
            <w:r w:rsidRPr="009027F5">
              <w:rPr>
                <w:rFonts w:ascii="Century Gothic" w:hAnsi="Century Gothic"/>
                <w:sz w:val="22"/>
                <w:szCs w:val="22"/>
              </w:rPr>
              <w:t>AUSENCIA DE COBERTURA POR FALTA DE COBERTURA CONTRACTUAL- PREEXISTENCIA</w:t>
            </w:r>
          </w:p>
          <w:p w14:paraId="70DCA52B" w14:textId="77777777" w:rsidR="009027F5" w:rsidRPr="009027F5" w:rsidRDefault="009027F5" w:rsidP="001D506B">
            <w:pPr>
              <w:pStyle w:val="Prrafodelista"/>
              <w:numPr>
                <w:ilvl w:val="0"/>
                <w:numId w:val="4"/>
              </w:numPr>
              <w:spacing w:line="276" w:lineRule="auto"/>
              <w:jc w:val="both"/>
              <w:rPr>
                <w:rFonts w:ascii="Century Gothic" w:hAnsi="Century Gothic"/>
                <w:sz w:val="22"/>
                <w:szCs w:val="22"/>
              </w:rPr>
            </w:pPr>
            <w:r w:rsidRPr="009027F5">
              <w:rPr>
                <w:rFonts w:ascii="Century Gothic" w:hAnsi="Century Gothic"/>
                <w:sz w:val="22"/>
                <w:szCs w:val="22"/>
              </w:rPr>
              <w:t>BUENA FE CONTRACTUAL DE LA EQUIDAD SEGUROS VIDA O.C. AL MOMENTO DE EXPEDIR EL SEGURO DE VIDA DEUDOR</w:t>
            </w:r>
          </w:p>
          <w:p w14:paraId="4EAA020B" w14:textId="77777777" w:rsidR="009027F5" w:rsidRPr="009027F5" w:rsidRDefault="009027F5" w:rsidP="001D506B">
            <w:pPr>
              <w:pStyle w:val="Prrafodelista"/>
              <w:numPr>
                <w:ilvl w:val="0"/>
                <w:numId w:val="4"/>
              </w:numPr>
              <w:spacing w:line="276" w:lineRule="auto"/>
              <w:jc w:val="both"/>
              <w:rPr>
                <w:rFonts w:ascii="Century Gothic" w:hAnsi="Century Gothic"/>
                <w:sz w:val="22"/>
                <w:szCs w:val="22"/>
              </w:rPr>
            </w:pPr>
            <w:r w:rsidRPr="009027F5">
              <w:rPr>
                <w:rFonts w:ascii="Century Gothic" w:hAnsi="Century Gothic"/>
                <w:sz w:val="22"/>
                <w:szCs w:val="22"/>
                <w:lang w:val="es-ES"/>
              </w:rPr>
              <w:t xml:space="preserve">OMISION DE INFORMACION POR PARTE DEL SEÑOR </w:t>
            </w:r>
            <w:r w:rsidRPr="009027F5">
              <w:rPr>
                <w:rFonts w:ascii="Century Gothic" w:hAnsi="Century Gothic"/>
                <w:sz w:val="22"/>
                <w:szCs w:val="22"/>
              </w:rPr>
              <w:t>VÍCTOR HUGO MEDINA</w:t>
            </w:r>
            <w:r w:rsidRPr="009027F5">
              <w:rPr>
                <w:rFonts w:ascii="Century Gothic" w:hAnsi="Century Gothic"/>
                <w:sz w:val="22"/>
                <w:szCs w:val="22"/>
                <w:lang w:val="es-ES"/>
              </w:rPr>
              <w:t xml:space="preserve"> AL MOMENTO DE DILIGENCIAR LAS DECLARACIONES DE ASEGURABILIDAD</w:t>
            </w:r>
          </w:p>
          <w:p w14:paraId="1937E0F6" w14:textId="77777777" w:rsidR="009027F5" w:rsidRPr="009027F5" w:rsidRDefault="009027F5" w:rsidP="001D506B">
            <w:pPr>
              <w:pStyle w:val="Prrafodelista"/>
              <w:numPr>
                <w:ilvl w:val="0"/>
                <w:numId w:val="4"/>
              </w:numPr>
              <w:spacing w:line="276" w:lineRule="auto"/>
              <w:jc w:val="both"/>
              <w:rPr>
                <w:rFonts w:ascii="Century Gothic" w:hAnsi="Century Gothic"/>
                <w:sz w:val="22"/>
                <w:szCs w:val="22"/>
              </w:rPr>
            </w:pPr>
            <w:r w:rsidRPr="009027F5">
              <w:rPr>
                <w:rFonts w:ascii="Century Gothic" w:hAnsi="Century Gothic"/>
                <w:sz w:val="22"/>
                <w:szCs w:val="22"/>
              </w:rPr>
              <w:t>INEXISTENCIA DE LA OBLIGACIÓN DE AFECTACIÓN DEL CONTRATO DE SEGURO. </w:t>
            </w:r>
          </w:p>
          <w:p w14:paraId="0510AE81" w14:textId="77777777" w:rsidR="009027F5" w:rsidRPr="009027F5" w:rsidRDefault="009027F5" w:rsidP="001D506B">
            <w:pPr>
              <w:pStyle w:val="Prrafodelista"/>
              <w:numPr>
                <w:ilvl w:val="0"/>
                <w:numId w:val="4"/>
              </w:numPr>
              <w:spacing w:line="276" w:lineRule="auto"/>
              <w:jc w:val="both"/>
              <w:rPr>
                <w:rFonts w:ascii="Century Gothic" w:hAnsi="Century Gothic"/>
                <w:sz w:val="22"/>
                <w:szCs w:val="22"/>
              </w:rPr>
            </w:pPr>
            <w:r w:rsidRPr="009027F5">
              <w:rPr>
                <w:rFonts w:ascii="Century Gothic" w:hAnsi="Century Gothic"/>
                <w:sz w:val="22"/>
                <w:szCs w:val="22"/>
              </w:rPr>
              <w:t>SUJECIÓN AL CONTRATO DE SEGURO CELEBRADO.</w:t>
            </w:r>
          </w:p>
          <w:p w14:paraId="1B594114" w14:textId="77777777" w:rsidR="009027F5" w:rsidRPr="009027F5" w:rsidRDefault="009027F5" w:rsidP="001D506B">
            <w:pPr>
              <w:pStyle w:val="Prrafodelista"/>
              <w:numPr>
                <w:ilvl w:val="0"/>
                <w:numId w:val="4"/>
              </w:numPr>
              <w:spacing w:line="276" w:lineRule="auto"/>
              <w:jc w:val="both"/>
              <w:rPr>
                <w:rFonts w:ascii="Century Gothic" w:hAnsi="Century Gothic"/>
                <w:sz w:val="22"/>
                <w:szCs w:val="22"/>
              </w:rPr>
            </w:pPr>
            <w:r w:rsidRPr="009027F5">
              <w:rPr>
                <w:rFonts w:ascii="Century Gothic" w:hAnsi="Century Gothic"/>
                <w:sz w:val="22"/>
                <w:szCs w:val="22"/>
              </w:rPr>
              <w:t>LÍMITE DEL VALOR ASEGURADO.</w:t>
            </w:r>
          </w:p>
          <w:p w14:paraId="56E6A66C" w14:textId="77777777" w:rsidR="009027F5" w:rsidRPr="009027F5" w:rsidRDefault="009027F5" w:rsidP="001D506B">
            <w:pPr>
              <w:pStyle w:val="Prrafodelista"/>
              <w:numPr>
                <w:ilvl w:val="0"/>
                <w:numId w:val="4"/>
              </w:numPr>
              <w:spacing w:line="276" w:lineRule="auto"/>
              <w:jc w:val="both"/>
              <w:rPr>
                <w:rFonts w:ascii="Century Gothic" w:hAnsi="Century Gothic"/>
                <w:sz w:val="22"/>
                <w:szCs w:val="22"/>
              </w:rPr>
            </w:pPr>
            <w:r w:rsidRPr="009027F5">
              <w:rPr>
                <w:rFonts w:ascii="Century Gothic" w:hAnsi="Century Gothic"/>
                <w:sz w:val="22"/>
                <w:szCs w:val="22"/>
                <w:lang w:val="es-ES"/>
              </w:rPr>
              <w:t>OBJECION DE TASACION DE PERJUICIOS.</w:t>
            </w:r>
          </w:p>
          <w:p w14:paraId="52CE2D52" w14:textId="13A59A0C" w:rsidR="009027F5" w:rsidRPr="009027F5" w:rsidRDefault="009027F5" w:rsidP="001D506B">
            <w:pPr>
              <w:pStyle w:val="Prrafodelista"/>
              <w:numPr>
                <w:ilvl w:val="0"/>
                <w:numId w:val="4"/>
              </w:numPr>
              <w:spacing w:line="276" w:lineRule="auto"/>
              <w:jc w:val="both"/>
              <w:rPr>
                <w:rFonts w:ascii="Century Gothic" w:hAnsi="Century Gothic"/>
                <w:sz w:val="22"/>
                <w:szCs w:val="22"/>
              </w:rPr>
            </w:pPr>
            <w:r w:rsidRPr="009027F5">
              <w:rPr>
                <w:rFonts w:ascii="Century Gothic" w:hAnsi="Century Gothic"/>
                <w:sz w:val="22"/>
                <w:szCs w:val="22"/>
              </w:rPr>
              <w:t>EXCEPCION GENÉRICA O INNOMINADA, INCLUYENDO LA PRESCRIPCION DE LAS ACCIONES QUE DERIVAN DEL CONTRATO DE SEGURO </w:t>
            </w: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3D1942E6">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lastRenderedPageBreak/>
              <w:t>Siniestro</w:t>
            </w:r>
          </w:p>
        </w:tc>
        <w:tc>
          <w:tcPr>
            <w:tcW w:w="6941" w:type="dxa"/>
            <w:vAlign w:val="center"/>
            <w:hideMark/>
          </w:tcPr>
          <w:p w14:paraId="06D242A3" w14:textId="5BFAE9BB" w:rsidR="00EE687D" w:rsidRPr="00BA1E5F" w:rsidRDefault="00EE687D" w:rsidP="00EB6AB4">
            <w:pPr>
              <w:jc w:val="both"/>
              <w:rPr>
                <w:rFonts w:ascii="Century Gothic" w:hAnsi="Century Gothic" w:cs="Segoe UI"/>
                <w:sz w:val="22"/>
                <w:szCs w:val="22"/>
                <w:lang w:eastAsia="es-CO"/>
              </w:rPr>
            </w:pPr>
          </w:p>
        </w:tc>
      </w:tr>
      <w:tr w:rsidR="006F0CAA" w:rsidRPr="00BA1E5F" w14:paraId="7A21B905" w14:textId="77777777" w:rsidTr="3D1942E6">
        <w:trPr>
          <w:trHeight w:val="454"/>
        </w:trPr>
        <w:tc>
          <w:tcPr>
            <w:tcW w:w="3266" w:type="dxa"/>
            <w:vAlign w:val="center"/>
          </w:tcPr>
          <w:p w14:paraId="533380A9" w14:textId="7103E52D" w:rsidR="006F0CAA" w:rsidRPr="00BA1E5F" w:rsidRDefault="006F0CAA" w:rsidP="3D1942E6">
            <w:pPr>
              <w:jc w:val="both"/>
              <w:textAlignment w:val="baseline"/>
              <w:rPr>
                <w:rFonts w:ascii="Century Gothic" w:hAnsi="Century Gothic"/>
                <w:b/>
                <w:bCs/>
                <w:color w:val="000000"/>
                <w:sz w:val="22"/>
                <w:szCs w:val="22"/>
                <w:shd w:val="clear" w:color="auto" w:fill="FFFFFF"/>
                <w:lang w:val="es-ES" w:eastAsia="es-CO"/>
              </w:rPr>
            </w:pPr>
            <w:r w:rsidRPr="3D1942E6">
              <w:rPr>
                <w:rFonts w:ascii="Century Gothic" w:hAnsi="Century Gothic"/>
                <w:b/>
                <w:bCs/>
                <w:color w:val="000000"/>
                <w:sz w:val="22"/>
                <w:szCs w:val="22"/>
                <w:shd w:val="clear" w:color="auto" w:fill="FFFFFF"/>
                <w:lang w:val="es-ES" w:eastAsia="es-CO"/>
              </w:rPr>
              <w:t xml:space="preserve">Caso </w:t>
            </w:r>
            <w:proofErr w:type="spellStart"/>
            <w:r w:rsidRPr="3D1942E6">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43E59C3A" w:rsidR="006F0CAA" w:rsidRPr="00BA1E5F" w:rsidRDefault="006F0CAA" w:rsidP="00EB6AB4">
            <w:pPr>
              <w:jc w:val="both"/>
              <w:rPr>
                <w:rFonts w:ascii="Century Gothic" w:hAnsi="Century Gothic" w:cs="Segoe UI"/>
                <w:sz w:val="22"/>
                <w:szCs w:val="22"/>
                <w:lang w:eastAsia="es-CO"/>
              </w:rPr>
            </w:pPr>
          </w:p>
        </w:tc>
      </w:tr>
      <w:tr w:rsidR="00EE687D" w:rsidRPr="00BA1E5F" w14:paraId="00877764" w14:textId="77777777" w:rsidTr="3D1942E6">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3152C599" w:rsidR="00EE687D" w:rsidRPr="00F24A2E" w:rsidRDefault="009027F5" w:rsidP="00EB6AB4">
            <w:pPr>
              <w:jc w:val="both"/>
              <w:rPr>
                <w:rFonts w:ascii="Century Gothic" w:hAnsi="Century Gothic" w:cs="Segoe UI"/>
                <w:sz w:val="22"/>
                <w:szCs w:val="22"/>
                <w:lang w:eastAsia="es-CO"/>
              </w:rPr>
            </w:pPr>
            <w:r w:rsidRPr="009027F5">
              <w:rPr>
                <w:rFonts w:ascii="Century Gothic" w:hAnsi="Century Gothic"/>
                <w:sz w:val="22"/>
                <w:szCs w:val="22"/>
                <w:lang w:val="es-CO"/>
              </w:rPr>
              <w:t>AA000051</w:t>
            </w:r>
          </w:p>
        </w:tc>
      </w:tr>
      <w:tr w:rsidR="00EE687D" w:rsidRPr="00BA1E5F" w14:paraId="3260B646" w14:textId="77777777" w:rsidTr="3D1942E6">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4F733940" w:rsidR="00EE687D" w:rsidRPr="00BA1E5F" w:rsidRDefault="00EE687D" w:rsidP="00EB6AB4">
            <w:pPr>
              <w:jc w:val="both"/>
              <w:rPr>
                <w:rFonts w:ascii="Century Gothic" w:hAnsi="Century Gothic" w:cs="Segoe UI"/>
                <w:sz w:val="22"/>
                <w:szCs w:val="22"/>
                <w:lang w:eastAsia="es-CO"/>
              </w:rPr>
            </w:pPr>
          </w:p>
        </w:tc>
      </w:tr>
      <w:tr w:rsidR="00EE687D" w:rsidRPr="00BA1E5F" w14:paraId="0BC7C6A3" w14:textId="77777777" w:rsidTr="3D1942E6">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12682EB5" w:rsidR="00EE687D" w:rsidRPr="00BA1E5F" w:rsidRDefault="00EE687D" w:rsidP="00EB6AB4">
            <w:pPr>
              <w:jc w:val="both"/>
              <w:rPr>
                <w:rFonts w:ascii="Century Gothic" w:hAnsi="Century Gothic" w:cs="Segoe UI"/>
                <w:sz w:val="22"/>
                <w:szCs w:val="22"/>
                <w:lang w:eastAsia="es-CO"/>
              </w:rPr>
            </w:pPr>
          </w:p>
        </w:tc>
      </w:tr>
      <w:tr w:rsidR="00B90E05" w:rsidRPr="00BA1E5F" w14:paraId="3ACEF28A" w14:textId="77777777" w:rsidTr="3D1942E6">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41D4A328" w:rsidR="00B90E05" w:rsidRPr="00BA1E5F" w:rsidRDefault="00B90E05" w:rsidP="00EB6AB4">
            <w:pPr>
              <w:jc w:val="both"/>
              <w:rPr>
                <w:rFonts w:ascii="Century Gothic" w:hAnsi="Century Gothic" w:cs="Segoe UI"/>
                <w:sz w:val="22"/>
                <w:szCs w:val="22"/>
                <w:lang w:eastAsia="es-CO"/>
              </w:rPr>
            </w:pPr>
          </w:p>
        </w:tc>
      </w:tr>
      <w:tr w:rsidR="00EE687D" w:rsidRPr="00BA1E5F" w14:paraId="4BCD09C7" w14:textId="77777777" w:rsidTr="3D1942E6">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04343D63" w:rsidR="00EE687D" w:rsidRPr="00BA1E5F" w:rsidRDefault="002E1D2C"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0BA9ECEE" w14:textId="77777777" w:rsidTr="3D1942E6">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35AD97F1" w:rsidR="001C44B4" w:rsidRPr="00BA1E5F" w:rsidRDefault="009027F5" w:rsidP="001C44B4">
            <w:pPr>
              <w:jc w:val="both"/>
              <w:rPr>
                <w:rFonts w:ascii="Century Gothic" w:hAnsi="Century Gothic" w:cs="Segoe UI"/>
                <w:sz w:val="22"/>
                <w:szCs w:val="22"/>
                <w:lang w:eastAsia="es-CO"/>
              </w:rPr>
            </w:pPr>
            <w:r>
              <w:rPr>
                <w:rFonts w:ascii="Century Gothic" w:hAnsi="Century Gothic" w:cs="Segoe UI"/>
                <w:sz w:val="22"/>
                <w:szCs w:val="22"/>
                <w:lang w:eastAsia="es-CO"/>
              </w:rPr>
              <w:t>30 DE AGOSTO DE 2020</w:t>
            </w:r>
          </w:p>
        </w:tc>
      </w:tr>
      <w:tr w:rsidR="001C44B4" w:rsidRPr="00BA1E5F" w14:paraId="05412033" w14:textId="77777777" w:rsidTr="3D1942E6">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22A589FF" w:rsidR="001C44B4" w:rsidRPr="00BA1E5F" w:rsidRDefault="009027F5" w:rsidP="001C44B4">
            <w:pPr>
              <w:jc w:val="both"/>
              <w:rPr>
                <w:rFonts w:ascii="Century Gothic" w:hAnsi="Century Gothic" w:cs="Segoe UI"/>
                <w:sz w:val="22"/>
                <w:szCs w:val="22"/>
                <w:lang w:eastAsia="es-CO"/>
              </w:rPr>
            </w:pPr>
            <w:r>
              <w:rPr>
                <w:rFonts w:ascii="Century Gothic" w:hAnsi="Century Gothic" w:cs="Segoe UI"/>
                <w:sz w:val="22"/>
                <w:szCs w:val="22"/>
                <w:lang w:eastAsia="es-CO"/>
              </w:rPr>
              <w:t>09 DE SEPTIEMBRE DE 2020</w:t>
            </w:r>
          </w:p>
        </w:tc>
      </w:tr>
      <w:tr w:rsidR="001C44B4" w:rsidRPr="00BA1E5F" w14:paraId="6DB6B020" w14:textId="77777777" w:rsidTr="3D1942E6">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1314861C" w:rsidR="001C44B4" w:rsidRPr="00BA1E5F" w:rsidRDefault="001C44B4" w:rsidP="001C44B4">
            <w:pPr>
              <w:jc w:val="both"/>
              <w:rPr>
                <w:rFonts w:ascii="Century Gothic" w:hAnsi="Century Gothic" w:cs="Segoe UI"/>
                <w:sz w:val="22"/>
                <w:szCs w:val="22"/>
                <w:lang w:eastAsia="es-CO"/>
              </w:rPr>
            </w:pPr>
          </w:p>
        </w:tc>
      </w:tr>
      <w:tr w:rsidR="001C44B4" w:rsidRPr="00BA1E5F" w14:paraId="2F1DA9E6" w14:textId="77777777" w:rsidTr="3D1942E6">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0063607C" w:rsidR="001C44B4" w:rsidRPr="00BA1E5F" w:rsidRDefault="009027F5" w:rsidP="001C44B4">
            <w:pPr>
              <w:jc w:val="both"/>
              <w:rPr>
                <w:rFonts w:ascii="Century Gothic" w:hAnsi="Century Gothic" w:cs="Segoe UI"/>
                <w:sz w:val="22"/>
                <w:szCs w:val="22"/>
                <w:lang w:eastAsia="es-CO"/>
              </w:rPr>
            </w:pPr>
            <w:r w:rsidRPr="009027F5">
              <w:rPr>
                <w:rFonts w:ascii="Century Gothic" w:hAnsi="Century Gothic" w:cs="Segoe UI"/>
                <w:sz w:val="22"/>
                <w:szCs w:val="22"/>
                <w:lang w:eastAsia="es-CO"/>
              </w:rPr>
              <w:t>MIBANCO - BANCO DE LA MICROEMPRESA DE COLOMBIA S.A</w:t>
            </w:r>
            <w:r w:rsidR="007820E1">
              <w:rPr>
                <w:rFonts w:ascii="Century Gothic" w:hAnsi="Century Gothic" w:cs="Segoe UI"/>
                <w:sz w:val="22"/>
                <w:szCs w:val="22"/>
                <w:lang w:eastAsia="es-CO"/>
              </w:rPr>
              <w:t>.</w:t>
            </w:r>
          </w:p>
        </w:tc>
      </w:tr>
      <w:tr w:rsidR="001C44B4" w:rsidRPr="00BA1E5F" w14:paraId="1165CBE1" w14:textId="77777777" w:rsidTr="3D1942E6">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086DC16C" w:rsidR="001C44B4" w:rsidRPr="00F24A2E" w:rsidRDefault="009027F5" w:rsidP="001C44B4">
            <w:pPr>
              <w:jc w:val="both"/>
              <w:rPr>
                <w:rFonts w:ascii="Century Gothic" w:hAnsi="Century Gothic" w:cs="Segoe UI"/>
                <w:sz w:val="22"/>
                <w:szCs w:val="22"/>
                <w:lang w:eastAsia="es-CO"/>
              </w:rPr>
            </w:pPr>
            <w:r w:rsidRPr="00B630AA">
              <w:rPr>
                <w:rFonts w:ascii="Century Gothic" w:hAnsi="Century Gothic"/>
                <w:sz w:val="22"/>
                <w:szCs w:val="22"/>
                <w:lang w:val="es-CO"/>
              </w:rPr>
              <w:t>VÍCTOR HUGO MEDINA</w:t>
            </w:r>
          </w:p>
        </w:tc>
      </w:tr>
      <w:tr w:rsidR="001C44B4" w:rsidRPr="00BA1E5F" w14:paraId="513C2A8D" w14:textId="77777777" w:rsidTr="3D1942E6">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4ABC1603" w:rsidR="001C44B4" w:rsidRPr="00BA1E5F" w:rsidRDefault="002E1D2C" w:rsidP="002E1D2C">
            <w:pPr>
              <w:rPr>
                <w:rFonts w:ascii="Century Gothic" w:hAnsi="Century Gothic" w:cs="Segoe UI"/>
                <w:sz w:val="22"/>
                <w:szCs w:val="22"/>
                <w:lang w:eastAsia="es-CO"/>
              </w:rPr>
            </w:pPr>
            <w:r w:rsidRPr="002E1D2C">
              <w:rPr>
                <w:rFonts w:ascii="Century Gothic" w:hAnsi="Century Gothic" w:cs="Segoe UI"/>
                <w:sz w:val="22"/>
                <w:szCs w:val="22"/>
                <w:lang w:eastAsia="es-CO"/>
              </w:rPr>
              <w:t>VIDA GRUPO DEUDORES</w:t>
            </w:r>
          </w:p>
        </w:tc>
      </w:tr>
      <w:tr w:rsidR="001C44B4" w:rsidRPr="00BA1E5F" w14:paraId="2F8ECFA3" w14:textId="77777777" w:rsidTr="3D1942E6">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2CA554E5" w:rsidR="00F24A2E" w:rsidRPr="002E1D2C" w:rsidRDefault="00F24A2E" w:rsidP="002E1D2C">
            <w:pPr>
              <w:jc w:val="both"/>
              <w:rPr>
                <w:rFonts w:ascii="Century Gothic" w:hAnsi="Century Gothic" w:cs="Segoe UI"/>
                <w:sz w:val="22"/>
                <w:szCs w:val="22"/>
                <w:lang w:eastAsia="es-CO"/>
              </w:rPr>
            </w:pPr>
            <w:r w:rsidRPr="002E1D2C">
              <w:rPr>
                <w:rFonts w:ascii="Century Gothic" w:hAnsi="Century Gothic" w:cs="Segoe UI"/>
                <w:sz w:val="22"/>
                <w:szCs w:val="22"/>
                <w:lang w:eastAsia="es-CO"/>
              </w:rPr>
              <w:t xml:space="preserve"> </w:t>
            </w:r>
          </w:p>
        </w:tc>
      </w:tr>
      <w:tr w:rsidR="001C44B4" w:rsidRPr="00BA1E5F" w14:paraId="59B4A554" w14:textId="77777777" w:rsidTr="3D1942E6">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2624C80C" w:rsidR="001C44B4" w:rsidRPr="00BA1E5F" w:rsidRDefault="009027F5" w:rsidP="001C44B4">
            <w:pPr>
              <w:jc w:val="both"/>
              <w:rPr>
                <w:rFonts w:ascii="Century Gothic" w:hAnsi="Century Gothic" w:cs="Segoe UI"/>
                <w:sz w:val="22"/>
                <w:szCs w:val="22"/>
                <w:lang w:eastAsia="es-CO"/>
              </w:rPr>
            </w:pPr>
            <w:r>
              <w:rPr>
                <w:rFonts w:ascii="Century Gothic" w:hAnsi="Century Gothic" w:cs="Segoe UI"/>
                <w:sz w:val="22"/>
                <w:szCs w:val="22"/>
                <w:lang w:eastAsia="es-CO"/>
              </w:rPr>
              <w:t>$700.000.000 (Saldo insoluto de la deuda</w:t>
            </w:r>
            <w:r w:rsidR="00AB21E5">
              <w:rPr>
                <w:rFonts w:ascii="Century Gothic" w:hAnsi="Century Gothic" w:cs="Segoe UI"/>
                <w:sz w:val="22"/>
                <w:szCs w:val="22"/>
                <w:lang w:eastAsia="es-CO"/>
              </w:rPr>
              <w:t>, $106.460.787)</w:t>
            </w:r>
          </w:p>
        </w:tc>
      </w:tr>
      <w:tr w:rsidR="001129B6" w:rsidRPr="00BA1E5F" w14:paraId="2F24D88E" w14:textId="77777777" w:rsidTr="3D1942E6">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75A1F837" w:rsidR="001129B6" w:rsidRPr="00BA1E5F" w:rsidRDefault="001129B6" w:rsidP="001C44B4">
            <w:pPr>
              <w:jc w:val="both"/>
              <w:rPr>
                <w:rFonts w:ascii="Century Gothic" w:hAnsi="Century Gothic" w:cs="Segoe UI"/>
                <w:sz w:val="22"/>
                <w:szCs w:val="22"/>
                <w:lang w:eastAsia="es-CO"/>
              </w:rPr>
            </w:pPr>
          </w:p>
        </w:tc>
      </w:tr>
      <w:tr w:rsidR="001C44B4" w:rsidRPr="00BA1E5F" w14:paraId="658B9E4D" w14:textId="77777777" w:rsidTr="3D1942E6">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61BC47B8"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F6A2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452DCF56" w:rsidR="002633C0" w:rsidRPr="00BA1E5F" w:rsidRDefault="00AB21E5" w:rsidP="003314A2">
            <w:pPr>
              <w:spacing w:line="360" w:lineRule="auto"/>
              <w:rPr>
                <w:rFonts w:ascii="Century Gothic" w:hAnsi="Century Gothic"/>
                <w:sz w:val="22"/>
                <w:szCs w:val="22"/>
              </w:rPr>
            </w:pPr>
            <w:r>
              <w:rPr>
                <w:rFonts w:ascii="Century Gothic" w:hAnsi="Century Gothic"/>
                <w:sz w:val="22"/>
                <w:szCs w:val="22"/>
              </w:rPr>
              <w:t>REMOTA</w:t>
            </w:r>
          </w:p>
        </w:tc>
      </w:tr>
      <w:tr w:rsidR="002633C0" w:rsidRPr="00BA1E5F" w14:paraId="47B026EC" w14:textId="77777777" w:rsidTr="00BF6A2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455AFAA3" w:rsidR="002633C0" w:rsidRPr="00BA1E5F" w:rsidRDefault="00423E67" w:rsidP="003314A2">
            <w:pPr>
              <w:spacing w:line="360" w:lineRule="auto"/>
              <w:rPr>
                <w:rFonts w:ascii="Century Gothic" w:hAnsi="Century Gothic"/>
                <w:sz w:val="22"/>
                <w:szCs w:val="22"/>
              </w:rPr>
            </w:pPr>
            <w:r>
              <w:rPr>
                <w:rFonts w:ascii="Century Gothic" w:hAnsi="Century Gothic"/>
                <w:sz w:val="22"/>
                <w:szCs w:val="22"/>
              </w:rPr>
              <w:t>$ 53.230.393</w:t>
            </w:r>
          </w:p>
        </w:tc>
      </w:tr>
      <w:tr w:rsidR="00BA1E5F" w:rsidRPr="00BA1E5F" w14:paraId="22F780E0" w14:textId="77777777" w:rsidTr="00BF6A2F">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6A3F4D91" w14:textId="77777777" w:rsidTr="00BF6A2F">
        <w:trPr>
          <w:trHeight w:val="1361"/>
        </w:trPr>
        <w:tc>
          <w:tcPr>
            <w:tcW w:w="10207" w:type="dxa"/>
            <w:gridSpan w:val="2"/>
            <w:vAlign w:val="center"/>
          </w:tcPr>
          <w:p w14:paraId="462B5C60" w14:textId="7F19A711" w:rsidR="00380955" w:rsidRDefault="00AB21E5" w:rsidP="00AB21E5">
            <w:pPr>
              <w:spacing w:line="360" w:lineRule="auto"/>
              <w:jc w:val="both"/>
              <w:rPr>
                <w:rFonts w:ascii="Century Gothic" w:hAnsi="Century Gothic"/>
                <w:sz w:val="22"/>
                <w:szCs w:val="22"/>
              </w:rPr>
            </w:pPr>
            <w:r w:rsidRPr="00AB21E5">
              <w:rPr>
                <w:rFonts w:ascii="Century Gothic" w:hAnsi="Century Gothic"/>
                <w:sz w:val="22"/>
                <w:szCs w:val="22"/>
              </w:rPr>
              <w:t xml:space="preserve">La contingencia se califica como </w:t>
            </w:r>
            <w:r w:rsidRPr="00AB21E5">
              <w:rPr>
                <w:rFonts w:ascii="Century Gothic" w:hAnsi="Century Gothic"/>
                <w:sz w:val="22"/>
                <w:szCs w:val="22"/>
                <w:u w:val="single"/>
              </w:rPr>
              <w:t>REMOTA</w:t>
            </w:r>
            <w:r w:rsidRPr="00AB21E5">
              <w:rPr>
                <w:rFonts w:ascii="Century Gothic" w:hAnsi="Century Gothic"/>
                <w:sz w:val="22"/>
                <w:szCs w:val="22"/>
              </w:rPr>
              <w:t>, toda vez que</w:t>
            </w:r>
            <w:r w:rsidR="00380955">
              <w:rPr>
                <w:rFonts w:ascii="Century Gothic" w:hAnsi="Century Gothic"/>
                <w:sz w:val="22"/>
                <w:szCs w:val="22"/>
              </w:rPr>
              <w:t xml:space="preserve"> las acciones derivadas del contrato de seguro se encuentran prescritas</w:t>
            </w:r>
            <w:r w:rsidR="0016650C">
              <w:rPr>
                <w:rFonts w:ascii="Century Gothic" w:hAnsi="Century Gothic"/>
                <w:sz w:val="22"/>
                <w:szCs w:val="22"/>
              </w:rPr>
              <w:t xml:space="preserve"> en favor de la compañía</w:t>
            </w:r>
            <w:r w:rsidR="00380955">
              <w:rPr>
                <w:rFonts w:ascii="Century Gothic" w:hAnsi="Century Gothic"/>
                <w:sz w:val="22"/>
                <w:szCs w:val="22"/>
              </w:rPr>
              <w:t xml:space="preserve">. Aunado a ello, </w:t>
            </w:r>
            <w:r w:rsidR="00380955" w:rsidRPr="00380955">
              <w:rPr>
                <w:rFonts w:ascii="Century Gothic" w:hAnsi="Century Gothic"/>
                <w:sz w:val="22"/>
                <w:szCs w:val="22"/>
              </w:rPr>
              <w:t>se encuentra viciado de nulidad relativa como consecuencia de la reticencia del asegurado.</w:t>
            </w:r>
            <w:r w:rsidR="00380955" w:rsidRPr="00380955">
              <w:rPr>
                <w:rFonts w:ascii="Arial" w:hAnsi="Arial" w:cs="Arial"/>
                <w:sz w:val="22"/>
                <w:szCs w:val="22"/>
              </w:rPr>
              <w:t> </w:t>
            </w:r>
            <w:r w:rsidR="00380955" w:rsidRPr="00380955">
              <w:rPr>
                <w:rFonts w:ascii="Century Gothic" w:hAnsi="Century Gothic"/>
                <w:sz w:val="22"/>
                <w:szCs w:val="22"/>
              </w:rPr>
              <w:t xml:space="preserve"> </w:t>
            </w:r>
          </w:p>
          <w:p w14:paraId="6EFFE9B7" w14:textId="77777777" w:rsidR="00380955" w:rsidRDefault="00380955" w:rsidP="00AB21E5">
            <w:pPr>
              <w:spacing w:line="360" w:lineRule="auto"/>
              <w:jc w:val="both"/>
              <w:rPr>
                <w:rFonts w:ascii="Arial" w:hAnsi="Arial" w:cs="Arial"/>
                <w:sz w:val="22"/>
                <w:szCs w:val="22"/>
              </w:rPr>
            </w:pPr>
          </w:p>
          <w:p w14:paraId="2C05F831" w14:textId="458D4AD4" w:rsidR="00A05F01" w:rsidRPr="00A05F01" w:rsidRDefault="00AB21E5" w:rsidP="00A05F01">
            <w:pPr>
              <w:spacing w:line="360" w:lineRule="auto"/>
              <w:jc w:val="both"/>
              <w:rPr>
                <w:rFonts w:ascii="Century Gothic" w:hAnsi="Century Gothic"/>
                <w:sz w:val="22"/>
                <w:szCs w:val="22"/>
                <w:lang w:val="es-CO"/>
              </w:rPr>
            </w:pPr>
            <w:r w:rsidRPr="00AB21E5">
              <w:rPr>
                <w:rFonts w:ascii="Arial" w:hAnsi="Arial" w:cs="Arial"/>
                <w:sz w:val="22"/>
                <w:szCs w:val="22"/>
              </w:rPr>
              <w:t> </w:t>
            </w:r>
            <w:r w:rsidR="00380955" w:rsidRPr="00380955">
              <w:rPr>
                <w:rFonts w:ascii="Century Gothic" w:hAnsi="Century Gothic"/>
                <w:sz w:val="22"/>
                <w:szCs w:val="22"/>
              </w:rPr>
              <w:t xml:space="preserve">Lo primero que debe tomarse en consideración, es que la Póliza </w:t>
            </w:r>
            <w:r w:rsidR="00380955">
              <w:rPr>
                <w:rFonts w:ascii="Century Gothic" w:hAnsi="Century Gothic"/>
                <w:sz w:val="22"/>
                <w:szCs w:val="22"/>
              </w:rPr>
              <w:t xml:space="preserve">Vida Grupo Deudores No. </w:t>
            </w:r>
            <w:r w:rsidR="00380955" w:rsidRPr="009027F5">
              <w:rPr>
                <w:rFonts w:ascii="Century Gothic" w:hAnsi="Century Gothic"/>
                <w:sz w:val="22"/>
                <w:szCs w:val="22"/>
                <w:lang w:val="es-CO"/>
              </w:rPr>
              <w:t>AA000051</w:t>
            </w:r>
            <w:r w:rsidR="00380955" w:rsidRPr="00380955">
              <w:rPr>
                <w:rFonts w:ascii="Century Gothic" w:hAnsi="Century Gothic"/>
                <w:sz w:val="22"/>
                <w:szCs w:val="22"/>
              </w:rPr>
              <w:t xml:space="preserve">, cuyo asegurado es el señor </w:t>
            </w:r>
            <w:r w:rsidR="00AE1752" w:rsidRPr="00380955">
              <w:rPr>
                <w:rFonts w:ascii="Century Gothic" w:hAnsi="Century Gothic"/>
                <w:sz w:val="22"/>
                <w:szCs w:val="22"/>
              </w:rPr>
              <w:t>V</w:t>
            </w:r>
            <w:r w:rsidR="00AE1752">
              <w:rPr>
                <w:rFonts w:ascii="Century Gothic" w:hAnsi="Century Gothic"/>
                <w:sz w:val="22"/>
                <w:szCs w:val="22"/>
              </w:rPr>
              <w:t>íctor</w:t>
            </w:r>
            <w:r w:rsidR="00380955" w:rsidRPr="00380955">
              <w:rPr>
                <w:rFonts w:ascii="Century Gothic" w:hAnsi="Century Gothic"/>
                <w:sz w:val="22"/>
                <w:szCs w:val="22"/>
              </w:rPr>
              <w:t xml:space="preserve"> H</w:t>
            </w:r>
            <w:r w:rsidR="00C51148">
              <w:rPr>
                <w:rFonts w:ascii="Century Gothic" w:hAnsi="Century Gothic"/>
                <w:sz w:val="22"/>
                <w:szCs w:val="22"/>
              </w:rPr>
              <w:t>ugo</w:t>
            </w:r>
            <w:r w:rsidR="00380955" w:rsidRPr="00380955">
              <w:rPr>
                <w:rFonts w:ascii="Century Gothic" w:hAnsi="Century Gothic"/>
                <w:sz w:val="22"/>
                <w:szCs w:val="22"/>
              </w:rPr>
              <w:t xml:space="preserve"> M</w:t>
            </w:r>
            <w:r w:rsidR="00C51148">
              <w:rPr>
                <w:rFonts w:ascii="Century Gothic" w:hAnsi="Century Gothic"/>
                <w:sz w:val="22"/>
                <w:szCs w:val="22"/>
              </w:rPr>
              <w:t>edina</w:t>
            </w:r>
            <w:r w:rsidR="00380955" w:rsidRPr="00380955">
              <w:rPr>
                <w:rFonts w:ascii="Century Gothic" w:hAnsi="Century Gothic"/>
                <w:sz w:val="22"/>
                <w:szCs w:val="22"/>
              </w:rPr>
              <w:t xml:space="preserve">, presta cobertura material y temporal, de conformidad con los hechos y pretensiones expuestas en el líbelo de la </w:t>
            </w:r>
            <w:r w:rsidR="00380955" w:rsidRPr="00380955">
              <w:rPr>
                <w:rFonts w:ascii="Century Gothic" w:hAnsi="Century Gothic"/>
                <w:sz w:val="22"/>
                <w:szCs w:val="22"/>
              </w:rPr>
              <w:lastRenderedPageBreak/>
              <w:t xml:space="preserve">demanda. Frente a la cobertura temporal, debe señalarse que el fallecimiento del Sr. </w:t>
            </w:r>
            <w:r w:rsidR="00AE1752">
              <w:rPr>
                <w:rFonts w:ascii="Century Gothic" w:hAnsi="Century Gothic"/>
                <w:sz w:val="22"/>
                <w:szCs w:val="22"/>
              </w:rPr>
              <w:t>Víctor Hugo Medina</w:t>
            </w:r>
            <w:r w:rsidR="00380955" w:rsidRPr="00380955">
              <w:rPr>
                <w:rFonts w:ascii="Century Gothic" w:hAnsi="Century Gothic"/>
                <w:sz w:val="22"/>
                <w:szCs w:val="22"/>
              </w:rPr>
              <w:t xml:space="preserve"> ocurrió el </w:t>
            </w:r>
            <w:r w:rsidR="00380955">
              <w:rPr>
                <w:rFonts w:ascii="Century Gothic" w:hAnsi="Century Gothic"/>
                <w:sz w:val="22"/>
                <w:szCs w:val="22"/>
              </w:rPr>
              <w:t>30</w:t>
            </w:r>
            <w:r w:rsidR="00380955" w:rsidRPr="00380955">
              <w:rPr>
                <w:rFonts w:ascii="Century Gothic" w:hAnsi="Century Gothic"/>
                <w:sz w:val="22"/>
                <w:szCs w:val="22"/>
              </w:rPr>
              <w:t xml:space="preserve"> de </w:t>
            </w:r>
            <w:r w:rsidR="00380955">
              <w:rPr>
                <w:rFonts w:ascii="Century Gothic" w:hAnsi="Century Gothic"/>
                <w:sz w:val="22"/>
                <w:szCs w:val="22"/>
              </w:rPr>
              <w:t>agosto</w:t>
            </w:r>
            <w:r w:rsidR="00380955" w:rsidRPr="00380955">
              <w:rPr>
                <w:rFonts w:ascii="Century Gothic" w:hAnsi="Century Gothic"/>
                <w:sz w:val="22"/>
                <w:szCs w:val="22"/>
              </w:rPr>
              <w:t xml:space="preserve"> de 202</w:t>
            </w:r>
            <w:r w:rsidR="00380955">
              <w:rPr>
                <w:rFonts w:ascii="Century Gothic" w:hAnsi="Century Gothic"/>
                <w:sz w:val="22"/>
                <w:szCs w:val="22"/>
              </w:rPr>
              <w:t>0</w:t>
            </w:r>
            <w:r w:rsidR="00380955" w:rsidRPr="00380955">
              <w:rPr>
                <w:rFonts w:ascii="Century Gothic" w:hAnsi="Century Gothic"/>
                <w:sz w:val="22"/>
                <w:szCs w:val="22"/>
              </w:rPr>
              <w:t xml:space="preserve">, es decir, dentro del periodo de vigencia de la póliza, comprendida entre el 01 de </w:t>
            </w:r>
            <w:r w:rsidR="00380955">
              <w:rPr>
                <w:rFonts w:ascii="Century Gothic" w:hAnsi="Century Gothic"/>
                <w:sz w:val="22"/>
                <w:szCs w:val="22"/>
              </w:rPr>
              <w:t>noviembre</w:t>
            </w:r>
            <w:r w:rsidR="00380955" w:rsidRPr="00380955">
              <w:rPr>
                <w:rFonts w:ascii="Century Gothic" w:hAnsi="Century Gothic"/>
                <w:sz w:val="22"/>
                <w:szCs w:val="22"/>
              </w:rPr>
              <w:t xml:space="preserve"> de </w:t>
            </w:r>
            <w:r w:rsidR="00380955">
              <w:rPr>
                <w:rFonts w:ascii="Century Gothic" w:hAnsi="Century Gothic"/>
                <w:sz w:val="22"/>
                <w:szCs w:val="22"/>
              </w:rPr>
              <w:t>2019</w:t>
            </w:r>
            <w:r w:rsidR="00380955" w:rsidRPr="00380955">
              <w:rPr>
                <w:rFonts w:ascii="Century Gothic" w:hAnsi="Century Gothic"/>
                <w:sz w:val="22"/>
                <w:szCs w:val="22"/>
              </w:rPr>
              <w:t xml:space="preserve"> hasta el </w:t>
            </w:r>
            <w:r w:rsidR="00380955">
              <w:rPr>
                <w:rFonts w:ascii="Century Gothic" w:hAnsi="Century Gothic"/>
                <w:sz w:val="22"/>
                <w:szCs w:val="22"/>
              </w:rPr>
              <w:t>0</w:t>
            </w:r>
            <w:r w:rsidR="00380955" w:rsidRPr="00380955">
              <w:rPr>
                <w:rFonts w:ascii="Century Gothic" w:hAnsi="Century Gothic"/>
                <w:sz w:val="22"/>
                <w:szCs w:val="22"/>
              </w:rPr>
              <w:t xml:space="preserve">1 de </w:t>
            </w:r>
            <w:r w:rsidR="00380955">
              <w:rPr>
                <w:rFonts w:ascii="Century Gothic" w:hAnsi="Century Gothic"/>
                <w:sz w:val="22"/>
                <w:szCs w:val="22"/>
              </w:rPr>
              <w:t>noviembre</w:t>
            </w:r>
            <w:r w:rsidR="00380955" w:rsidRPr="00380955">
              <w:rPr>
                <w:rFonts w:ascii="Century Gothic" w:hAnsi="Century Gothic"/>
                <w:sz w:val="22"/>
                <w:szCs w:val="22"/>
              </w:rPr>
              <w:t xml:space="preserve"> de 202</w:t>
            </w:r>
            <w:r w:rsidR="00380955">
              <w:rPr>
                <w:rFonts w:ascii="Century Gothic" w:hAnsi="Century Gothic"/>
                <w:sz w:val="22"/>
                <w:szCs w:val="22"/>
              </w:rPr>
              <w:t>1</w:t>
            </w:r>
            <w:r w:rsidR="00380955" w:rsidRPr="00380955">
              <w:rPr>
                <w:rFonts w:ascii="Century Gothic" w:hAnsi="Century Gothic"/>
                <w:sz w:val="22"/>
                <w:szCs w:val="22"/>
              </w:rPr>
              <w:t xml:space="preserve">. Aunado a ello, presta cobertura material en tanto ampara la </w:t>
            </w:r>
            <w:r w:rsidR="00AE1752">
              <w:rPr>
                <w:rFonts w:ascii="Century Gothic" w:hAnsi="Century Gothic"/>
                <w:sz w:val="22"/>
                <w:szCs w:val="22"/>
              </w:rPr>
              <w:t>“Muerte por cualquier Causa”</w:t>
            </w:r>
            <w:r w:rsidR="00AE1752" w:rsidRPr="00380955">
              <w:rPr>
                <w:rFonts w:ascii="Century Gothic" w:hAnsi="Century Gothic"/>
                <w:sz w:val="22"/>
                <w:szCs w:val="22"/>
              </w:rPr>
              <w:t xml:space="preserve"> </w:t>
            </w:r>
            <w:r w:rsidR="00380955" w:rsidRPr="00380955">
              <w:rPr>
                <w:rFonts w:ascii="Century Gothic" w:hAnsi="Century Gothic"/>
                <w:sz w:val="22"/>
                <w:szCs w:val="22"/>
              </w:rPr>
              <w:t>del asegurado, amparo que se pretende afectar por parte de la demandante.</w:t>
            </w:r>
            <w:r w:rsidR="00A05F01">
              <w:rPr>
                <w:rFonts w:ascii="Century Gothic" w:hAnsi="Century Gothic"/>
                <w:sz w:val="22"/>
                <w:szCs w:val="22"/>
              </w:rPr>
              <w:t xml:space="preserve"> </w:t>
            </w:r>
            <w:r w:rsidR="00A05F01" w:rsidRPr="00A05F01">
              <w:rPr>
                <w:rFonts w:ascii="Century Gothic" w:hAnsi="Century Gothic"/>
                <w:sz w:val="22"/>
                <w:szCs w:val="22"/>
                <w:lang w:val="es-CO"/>
              </w:rPr>
              <w:t>Ahora bien, conforme a los documentos que obran en el expediente, se acredita que se ha configurado la prescripción de las acciones derivadas del contrato de seguro a favor de la compañía. Esto, por cuanto transcurrieron más de dos años entre la fecha del fallecimiento del asegurado (30 de agosto de 2020) y la presentación de la demanda (21 de abril de 2023), por lo que el término prescriptivo se consolidó el 30 de agosto de 2022.</w:t>
            </w:r>
            <w:r w:rsidR="00A05F01">
              <w:rPr>
                <w:rFonts w:ascii="Century Gothic" w:hAnsi="Century Gothic"/>
                <w:sz w:val="22"/>
                <w:szCs w:val="22"/>
                <w:lang w:val="es-CO"/>
              </w:rPr>
              <w:t xml:space="preserve"> </w:t>
            </w:r>
            <w:r w:rsidR="00A05F01" w:rsidRPr="00A05F01">
              <w:rPr>
                <w:rFonts w:ascii="Century Gothic" w:hAnsi="Century Gothic"/>
                <w:sz w:val="22"/>
                <w:szCs w:val="22"/>
                <w:lang w:val="es-CO"/>
              </w:rPr>
              <w:t xml:space="preserve">Incluso si se considera </w:t>
            </w:r>
            <w:r w:rsidR="00906D01">
              <w:rPr>
                <w:rFonts w:ascii="Century Gothic" w:hAnsi="Century Gothic"/>
                <w:sz w:val="22"/>
                <w:szCs w:val="22"/>
                <w:lang w:val="es-CO"/>
              </w:rPr>
              <w:t xml:space="preserve">que </w:t>
            </w:r>
            <w:r w:rsidR="00F26BFC">
              <w:rPr>
                <w:rFonts w:ascii="Century Gothic" w:hAnsi="Century Gothic"/>
                <w:sz w:val="22"/>
                <w:szCs w:val="22"/>
                <w:lang w:val="es-CO"/>
              </w:rPr>
              <w:t xml:space="preserve">existió </w:t>
            </w:r>
            <w:r w:rsidR="00F26BFC" w:rsidRPr="00A05F01">
              <w:rPr>
                <w:rFonts w:ascii="Century Gothic" w:hAnsi="Century Gothic"/>
                <w:sz w:val="22"/>
                <w:szCs w:val="22"/>
                <w:lang w:val="es-CO"/>
              </w:rPr>
              <w:t>interrupción</w:t>
            </w:r>
            <w:r w:rsidR="00A05F01" w:rsidRPr="00A05F01">
              <w:rPr>
                <w:rFonts w:ascii="Century Gothic" w:hAnsi="Century Gothic"/>
                <w:sz w:val="22"/>
                <w:szCs w:val="22"/>
                <w:lang w:val="es-CO"/>
              </w:rPr>
              <w:t xml:space="preserve"> de la prescripción generada por la solicitud de indemnización presentada el 9 de septiembre de 2020</w:t>
            </w:r>
            <w:r w:rsidR="00906D01">
              <w:rPr>
                <w:rFonts w:ascii="Century Gothic" w:hAnsi="Century Gothic"/>
                <w:sz w:val="22"/>
                <w:szCs w:val="22"/>
                <w:lang w:val="es-CO"/>
              </w:rPr>
              <w:t xml:space="preserve"> (La cual fue traslada por “MI BANCO” a la compañía”</w:t>
            </w:r>
            <w:r w:rsidR="00F26BFC">
              <w:rPr>
                <w:rFonts w:ascii="Century Gothic" w:hAnsi="Century Gothic"/>
                <w:sz w:val="22"/>
                <w:szCs w:val="22"/>
                <w:lang w:val="es-CO"/>
              </w:rPr>
              <w:t>)</w:t>
            </w:r>
            <w:r w:rsidR="00A05F01" w:rsidRPr="00A05F01">
              <w:rPr>
                <w:rFonts w:ascii="Century Gothic" w:hAnsi="Century Gothic"/>
                <w:sz w:val="22"/>
                <w:szCs w:val="22"/>
                <w:lang w:val="es-CO"/>
              </w:rPr>
              <w:t>, el término volvió a correr desde dicha fecha y venció el 9 de septiembre de 2022, lo que confirma que la demanda fue presentada por fuera del término bienal previsto en el artículo 1081 del Código de Comercio.</w:t>
            </w:r>
          </w:p>
          <w:p w14:paraId="74180406" w14:textId="77777777" w:rsidR="00380955" w:rsidRDefault="00380955" w:rsidP="00AB21E5">
            <w:pPr>
              <w:spacing w:line="360" w:lineRule="auto"/>
              <w:jc w:val="both"/>
              <w:rPr>
                <w:rFonts w:ascii="Century Gothic" w:hAnsi="Century Gothic"/>
                <w:sz w:val="22"/>
                <w:szCs w:val="22"/>
                <w:lang w:val="es-CO"/>
              </w:rPr>
            </w:pPr>
          </w:p>
          <w:p w14:paraId="4DEC9420" w14:textId="59E786C7" w:rsidR="00C16DE0" w:rsidRDefault="00380955" w:rsidP="00C16DE0">
            <w:pPr>
              <w:spacing w:line="360" w:lineRule="auto"/>
              <w:jc w:val="both"/>
              <w:rPr>
                <w:rFonts w:ascii="Century Gothic" w:hAnsi="Century Gothic"/>
                <w:sz w:val="22"/>
                <w:szCs w:val="22"/>
                <w:lang w:val="es-CO"/>
              </w:rPr>
            </w:pPr>
            <w:r w:rsidRPr="00380955">
              <w:rPr>
                <w:rFonts w:ascii="Century Gothic" w:hAnsi="Century Gothic"/>
                <w:sz w:val="22"/>
                <w:szCs w:val="22"/>
              </w:rPr>
              <w:t>Por otro lado, frente a la obligación indemnizatoria de la compañía</w:t>
            </w:r>
            <w:r>
              <w:rPr>
                <w:rFonts w:ascii="Century Gothic" w:hAnsi="Century Gothic"/>
                <w:sz w:val="22"/>
                <w:szCs w:val="22"/>
              </w:rPr>
              <w:t xml:space="preserve"> EQUIDAD SEGUROS DE VIDA S.A, </w:t>
            </w:r>
            <w:r w:rsidR="00C51148" w:rsidRPr="00C51148">
              <w:rPr>
                <w:rFonts w:ascii="Century Gothic" w:hAnsi="Century Gothic"/>
                <w:sz w:val="22"/>
                <w:szCs w:val="22"/>
              </w:rPr>
              <w:t xml:space="preserve">debe mencionarse que, </w:t>
            </w:r>
            <w:r w:rsidR="00957DCD">
              <w:rPr>
                <w:rFonts w:ascii="Century Gothic" w:hAnsi="Century Gothic"/>
                <w:sz w:val="22"/>
                <w:szCs w:val="22"/>
              </w:rPr>
              <w:t xml:space="preserve">si bien </w:t>
            </w:r>
            <w:r w:rsidR="00C51148" w:rsidRPr="00C51148">
              <w:rPr>
                <w:rFonts w:ascii="Century Gothic" w:hAnsi="Century Gothic"/>
                <w:sz w:val="22"/>
                <w:szCs w:val="22"/>
              </w:rPr>
              <w:t xml:space="preserve">existen elementos de prueba que podrían </w:t>
            </w:r>
            <w:r w:rsidR="00423E67" w:rsidRPr="00C51148">
              <w:rPr>
                <w:rFonts w:ascii="Century Gothic" w:hAnsi="Century Gothic"/>
                <w:sz w:val="22"/>
                <w:szCs w:val="22"/>
              </w:rPr>
              <w:t xml:space="preserve">acreditar </w:t>
            </w:r>
            <w:r w:rsidR="00423E67">
              <w:rPr>
                <w:rFonts w:ascii="Century Gothic" w:hAnsi="Century Gothic"/>
                <w:sz w:val="22"/>
                <w:szCs w:val="22"/>
              </w:rPr>
              <w:t>la</w:t>
            </w:r>
            <w:r w:rsidR="00967CE2">
              <w:rPr>
                <w:rFonts w:ascii="Century Gothic" w:hAnsi="Century Gothic"/>
                <w:sz w:val="22"/>
                <w:szCs w:val="22"/>
              </w:rPr>
              <w:t xml:space="preserve"> n</w:t>
            </w:r>
            <w:r w:rsidR="00BF6A2F">
              <w:rPr>
                <w:rFonts w:ascii="Century Gothic" w:hAnsi="Century Gothic"/>
                <w:sz w:val="22"/>
                <w:szCs w:val="22"/>
              </w:rPr>
              <w:t>ulidad del contrato de Seguro</w:t>
            </w:r>
            <w:r w:rsidR="00957DCD">
              <w:rPr>
                <w:rFonts w:ascii="Century Gothic" w:hAnsi="Century Gothic"/>
                <w:sz w:val="22"/>
                <w:szCs w:val="22"/>
              </w:rPr>
              <w:t xml:space="preserve"> </w:t>
            </w:r>
            <w:r w:rsidR="00C51148" w:rsidRPr="00C51148">
              <w:rPr>
                <w:rFonts w:ascii="Century Gothic" w:hAnsi="Century Gothic"/>
                <w:sz w:val="22"/>
                <w:szCs w:val="22"/>
              </w:rPr>
              <w:t>como consecuencia de la reticencia</w:t>
            </w:r>
            <w:r w:rsidR="00BF6A2F">
              <w:rPr>
                <w:rFonts w:ascii="Century Gothic" w:hAnsi="Century Gothic"/>
                <w:sz w:val="22"/>
                <w:szCs w:val="22"/>
              </w:rPr>
              <w:t xml:space="preserve"> del asegurado fundamentada en </w:t>
            </w:r>
            <w:r w:rsidR="00BF6A2F" w:rsidRPr="00C51148">
              <w:rPr>
                <w:rFonts w:ascii="Century Gothic" w:hAnsi="Century Gothic"/>
                <w:sz w:val="22"/>
                <w:szCs w:val="22"/>
              </w:rPr>
              <w:t>que el señor</w:t>
            </w:r>
            <w:r w:rsidR="00BF6A2F">
              <w:rPr>
                <w:rFonts w:ascii="Century Gothic" w:hAnsi="Century Gothic"/>
                <w:sz w:val="22"/>
                <w:szCs w:val="22"/>
              </w:rPr>
              <w:t xml:space="preserve"> Víctor Hugo Medina, </w:t>
            </w:r>
            <w:r w:rsidR="00BF6A2F" w:rsidRPr="00C51148">
              <w:rPr>
                <w:rFonts w:ascii="Century Gothic" w:hAnsi="Century Gothic"/>
                <w:sz w:val="22"/>
                <w:szCs w:val="22"/>
              </w:rPr>
              <w:t>padecía de manera previa a la suscri</w:t>
            </w:r>
            <w:r w:rsidR="00BF6A2F">
              <w:rPr>
                <w:rFonts w:ascii="Century Gothic" w:hAnsi="Century Gothic"/>
                <w:sz w:val="22"/>
                <w:szCs w:val="22"/>
              </w:rPr>
              <w:t>p</w:t>
            </w:r>
            <w:r w:rsidR="00BF6A2F" w:rsidRPr="00C51148">
              <w:rPr>
                <w:rFonts w:ascii="Century Gothic" w:hAnsi="Century Gothic"/>
                <w:sz w:val="22"/>
                <w:szCs w:val="22"/>
              </w:rPr>
              <w:t>ción del aseguramiento, enfermedades como</w:t>
            </w:r>
            <w:r w:rsidR="00BF6A2F">
              <w:rPr>
                <w:rFonts w:ascii="Century Gothic" w:hAnsi="Century Gothic"/>
                <w:sz w:val="22"/>
                <w:szCs w:val="22"/>
              </w:rPr>
              <w:t xml:space="preserve"> Diabetis Mellitus e Hipertensión arterial. </w:t>
            </w:r>
            <w:r w:rsidR="00BF6A2F" w:rsidRPr="00C16DE0">
              <w:rPr>
                <w:rFonts w:ascii="Century Gothic" w:hAnsi="Century Gothic"/>
                <w:sz w:val="22"/>
                <w:szCs w:val="22"/>
              </w:rPr>
              <w:t>Antecedentes que no fueron informados mediante la declaración de asegurabilidad suscrita el</w:t>
            </w:r>
            <w:r w:rsidR="00BF6A2F">
              <w:rPr>
                <w:rFonts w:ascii="Century Gothic" w:hAnsi="Century Gothic"/>
                <w:sz w:val="22"/>
                <w:szCs w:val="22"/>
              </w:rPr>
              <w:t xml:space="preserve"> 12 de julio de 2019</w:t>
            </w:r>
            <w:r w:rsidR="00164AB0">
              <w:rPr>
                <w:rFonts w:ascii="Century Gothic" w:hAnsi="Century Gothic"/>
                <w:sz w:val="22"/>
                <w:szCs w:val="22"/>
              </w:rPr>
              <w:t>,</w:t>
            </w:r>
            <w:r w:rsidR="00BF6A2F" w:rsidRPr="00C16DE0">
              <w:rPr>
                <w:rFonts w:ascii="Century Gothic" w:hAnsi="Century Gothic"/>
                <w:sz w:val="22"/>
                <w:szCs w:val="22"/>
              </w:rPr>
              <w:t xml:space="preserve"> </w:t>
            </w:r>
            <w:r w:rsidR="00BF6A2F">
              <w:rPr>
                <w:rFonts w:ascii="Century Gothic" w:hAnsi="Century Gothic"/>
                <w:sz w:val="22"/>
                <w:szCs w:val="22"/>
              </w:rPr>
              <w:t>dando</w:t>
            </w:r>
            <w:r w:rsidR="00BF6A2F" w:rsidRPr="00C16DE0">
              <w:rPr>
                <w:rFonts w:ascii="Century Gothic" w:hAnsi="Century Gothic"/>
                <w:sz w:val="22"/>
                <w:szCs w:val="22"/>
              </w:rPr>
              <w:t xml:space="preserve"> aplicación al artículo 1058 del Código de Comercio</w:t>
            </w:r>
            <w:r w:rsidR="00A64B37">
              <w:rPr>
                <w:rFonts w:ascii="Century Gothic" w:hAnsi="Century Gothic"/>
                <w:sz w:val="22"/>
                <w:szCs w:val="22"/>
              </w:rPr>
              <w:t xml:space="preserve">, dependerá del debate probatorio establecer </w:t>
            </w:r>
            <w:r w:rsidR="00967CE2">
              <w:rPr>
                <w:rFonts w:ascii="Century Gothic" w:hAnsi="Century Gothic"/>
                <w:sz w:val="22"/>
                <w:szCs w:val="22"/>
              </w:rPr>
              <w:t>la prescripción</w:t>
            </w:r>
            <w:r w:rsidR="00A64B37">
              <w:rPr>
                <w:rFonts w:ascii="Century Gothic" w:hAnsi="Century Gothic"/>
                <w:sz w:val="22"/>
                <w:szCs w:val="22"/>
              </w:rPr>
              <w:t xml:space="preserve"> derivada del contrato de seguro en su connotación</w:t>
            </w:r>
            <w:r w:rsidR="00967CE2">
              <w:rPr>
                <w:rFonts w:ascii="Century Gothic" w:hAnsi="Century Gothic"/>
                <w:sz w:val="22"/>
                <w:szCs w:val="22"/>
              </w:rPr>
              <w:t xml:space="preserve"> ordinaria </w:t>
            </w:r>
            <w:r w:rsidR="00BF6A2F">
              <w:rPr>
                <w:rFonts w:ascii="Century Gothic" w:hAnsi="Century Gothic"/>
                <w:sz w:val="22"/>
                <w:szCs w:val="22"/>
              </w:rPr>
              <w:t>en contra de la compañía</w:t>
            </w:r>
            <w:r w:rsidR="00967CE2">
              <w:rPr>
                <w:rFonts w:ascii="Century Gothic" w:hAnsi="Century Gothic"/>
                <w:sz w:val="22"/>
                <w:szCs w:val="22"/>
              </w:rPr>
              <w:t xml:space="preserve">. Ello si se tiene en cuenta que desde </w:t>
            </w:r>
            <w:proofErr w:type="gramStart"/>
            <w:r w:rsidR="00967CE2">
              <w:rPr>
                <w:rFonts w:ascii="Century Gothic" w:hAnsi="Century Gothic"/>
                <w:sz w:val="22"/>
                <w:szCs w:val="22"/>
              </w:rPr>
              <w:t xml:space="preserve">el </w:t>
            </w:r>
            <w:r w:rsidR="00957DCD">
              <w:rPr>
                <w:rFonts w:ascii="Century Gothic" w:hAnsi="Century Gothic"/>
                <w:sz w:val="22"/>
                <w:szCs w:val="22"/>
              </w:rPr>
              <w:t xml:space="preserve"> (</w:t>
            </w:r>
            <w:proofErr w:type="gramEnd"/>
            <w:r w:rsidR="00BF6A2F">
              <w:rPr>
                <w:rFonts w:ascii="Century Gothic" w:hAnsi="Century Gothic"/>
                <w:sz w:val="22"/>
                <w:szCs w:val="22"/>
              </w:rPr>
              <w:t>8 de abril de 2021</w:t>
            </w:r>
            <w:r w:rsidR="00957DCD">
              <w:rPr>
                <w:rFonts w:ascii="Century Gothic" w:hAnsi="Century Gothic"/>
                <w:sz w:val="22"/>
                <w:szCs w:val="22"/>
              </w:rPr>
              <w:t>)</w:t>
            </w:r>
            <w:r w:rsidR="00967CE2">
              <w:rPr>
                <w:rFonts w:ascii="Century Gothic" w:hAnsi="Century Gothic"/>
                <w:sz w:val="22"/>
                <w:szCs w:val="22"/>
              </w:rPr>
              <w:t xml:space="preserve"> la aseguradora tuvo conocimiento del hecho relativo a inexactitud del asegurado en la declaración del riesgo</w:t>
            </w:r>
            <w:r w:rsidR="00A64B37">
              <w:rPr>
                <w:rFonts w:ascii="Century Gothic" w:hAnsi="Century Gothic"/>
                <w:sz w:val="22"/>
                <w:szCs w:val="22"/>
              </w:rPr>
              <w:t>.</w:t>
            </w:r>
            <w:r w:rsidR="00957DCD">
              <w:rPr>
                <w:rFonts w:ascii="Century Gothic" w:hAnsi="Century Gothic"/>
                <w:sz w:val="22"/>
                <w:szCs w:val="22"/>
              </w:rPr>
              <w:t xml:space="preserve"> </w:t>
            </w:r>
            <w:r w:rsidR="00A64B37" w:rsidRPr="00A64B37">
              <w:rPr>
                <w:rFonts w:ascii="Century Gothic" w:hAnsi="Century Gothic"/>
                <w:sz w:val="22"/>
                <w:szCs w:val="22"/>
              </w:rPr>
              <w:t>Luego, contaba con dos años posteriores a dicha calenda para ejercer una acción tendiente a que se declarara la nulidad relativa del seguro, empero eso no sucedió, sino hasta la discusión que se desatará por la formulación de la excepción de nulidad en la contestación de la demanda</w:t>
            </w:r>
            <w:r w:rsidR="00BF6A2F">
              <w:rPr>
                <w:rFonts w:ascii="Century Gothic" w:hAnsi="Century Gothic"/>
                <w:sz w:val="22"/>
                <w:szCs w:val="22"/>
              </w:rPr>
              <w:t xml:space="preserve"> </w:t>
            </w:r>
            <w:r w:rsidR="00A64B37">
              <w:rPr>
                <w:rFonts w:ascii="Century Gothic" w:hAnsi="Century Gothic"/>
                <w:sz w:val="22"/>
                <w:szCs w:val="22"/>
              </w:rPr>
              <w:t>(27 de noviembre de 2023)</w:t>
            </w:r>
            <w:r w:rsidR="00967CE2">
              <w:rPr>
                <w:rFonts w:ascii="Century Gothic" w:hAnsi="Century Gothic"/>
                <w:sz w:val="22"/>
                <w:szCs w:val="22"/>
              </w:rPr>
              <w:t xml:space="preserve">. Sin embargo, independientemente de ello, </w:t>
            </w:r>
            <w:r w:rsidR="00957DCD" w:rsidRPr="00164AB0">
              <w:rPr>
                <w:rFonts w:ascii="Century Gothic" w:hAnsi="Century Gothic"/>
                <w:b/>
                <w:bCs/>
                <w:sz w:val="22"/>
                <w:szCs w:val="22"/>
                <w:u w:val="single"/>
              </w:rPr>
              <w:t>lo cierto es que</w:t>
            </w:r>
            <w:r w:rsidR="00957DCD">
              <w:rPr>
                <w:rFonts w:ascii="Century Gothic" w:hAnsi="Century Gothic"/>
                <w:sz w:val="22"/>
                <w:szCs w:val="22"/>
              </w:rPr>
              <w:t xml:space="preserve"> </w:t>
            </w:r>
            <w:r w:rsidR="00A05F01">
              <w:rPr>
                <w:rFonts w:ascii="Century Gothic" w:hAnsi="Century Gothic"/>
                <w:sz w:val="22"/>
                <w:szCs w:val="22"/>
              </w:rPr>
              <w:t>en el presente asunto se configuró la prescripción ordinaria del contrato de seguro</w:t>
            </w:r>
            <w:r w:rsidR="00967CE2">
              <w:rPr>
                <w:rFonts w:ascii="Century Gothic" w:hAnsi="Century Gothic"/>
                <w:sz w:val="22"/>
                <w:szCs w:val="22"/>
              </w:rPr>
              <w:t xml:space="preserve"> que fue alegada en oportunidad legal</w:t>
            </w:r>
            <w:r w:rsidR="000A6767">
              <w:rPr>
                <w:rFonts w:ascii="Century Gothic" w:hAnsi="Century Gothic"/>
                <w:sz w:val="22"/>
                <w:szCs w:val="22"/>
              </w:rPr>
              <w:t xml:space="preserve"> a favor </w:t>
            </w:r>
            <w:r w:rsidR="000A6767">
              <w:rPr>
                <w:rFonts w:ascii="Century Gothic" w:hAnsi="Century Gothic"/>
                <w:sz w:val="22"/>
                <w:szCs w:val="22"/>
              </w:rPr>
              <w:lastRenderedPageBreak/>
              <w:t>de la compañía y en contra de los herederos determinados e indeterminados</w:t>
            </w:r>
            <w:r w:rsidR="00A05F01">
              <w:rPr>
                <w:rFonts w:ascii="Century Gothic" w:hAnsi="Century Gothic"/>
                <w:sz w:val="22"/>
                <w:szCs w:val="22"/>
              </w:rPr>
              <w:t xml:space="preserve"> </w:t>
            </w:r>
            <w:r w:rsidR="000A6767">
              <w:rPr>
                <w:rFonts w:ascii="Century Gothic" w:hAnsi="Century Gothic"/>
                <w:sz w:val="22"/>
                <w:szCs w:val="22"/>
              </w:rPr>
              <w:t>del asegurado</w:t>
            </w:r>
            <w:r w:rsidR="00F26BFC">
              <w:rPr>
                <w:rFonts w:ascii="Century Gothic" w:hAnsi="Century Gothic"/>
                <w:sz w:val="22"/>
                <w:szCs w:val="22"/>
              </w:rPr>
              <w:t xml:space="preserve"> (</w:t>
            </w:r>
            <w:r w:rsidR="00F26BFC" w:rsidRPr="00F26BFC">
              <w:rPr>
                <w:rFonts w:ascii="Century Gothic" w:hAnsi="Century Gothic"/>
                <w:sz w:val="22"/>
                <w:szCs w:val="22"/>
              </w:rPr>
              <w:t>SC4904-2021</w:t>
            </w:r>
            <w:r w:rsidR="00F26BFC">
              <w:rPr>
                <w:rFonts w:ascii="Century Gothic" w:hAnsi="Century Gothic"/>
                <w:sz w:val="22"/>
                <w:szCs w:val="22"/>
              </w:rPr>
              <w:t>)</w:t>
            </w:r>
            <w:r w:rsidR="00A05F01">
              <w:rPr>
                <w:rFonts w:ascii="Century Gothic" w:hAnsi="Century Gothic"/>
                <w:sz w:val="22"/>
                <w:szCs w:val="22"/>
              </w:rPr>
              <w:t xml:space="preserve">. </w:t>
            </w:r>
            <w:r w:rsidR="00957DCD">
              <w:rPr>
                <w:rFonts w:ascii="Century Gothic" w:hAnsi="Century Gothic"/>
                <w:sz w:val="22"/>
                <w:szCs w:val="22"/>
              </w:rPr>
              <w:t xml:space="preserve">Por dicho motivo, la contingencia se califica como REMOTA. </w:t>
            </w:r>
          </w:p>
          <w:p w14:paraId="276EA2B8" w14:textId="77777777" w:rsidR="00C16DE0" w:rsidRPr="00C16DE0" w:rsidRDefault="00C16DE0" w:rsidP="00C16DE0">
            <w:pPr>
              <w:spacing w:line="360" w:lineRule="auto"/>
              <w:jc w:val="both"/>
              <w:rPr>
                <w:rFonts w:ascii="Century Gothic" w:hAnsi="Century Gothic"/>
                <w:sz w:val="22"/>
                <w:szCs w:val="22"/>
                <w:lang w:val="es-CO"/>
              </w:rPr>
            </w:pPr>
          </w:p>
          <w:p w14:paraId="07FB7202" w14:textId="420C25AF" w:rsidR="00C16DE0" w:rsidRPr="00C16DE0" w:rsidRDefault="00C16DE0" w:rsidP="00C16DE0">
            <w:pPr>
              <w:spacing w:line="360" w:lineRule="auto"/>
              <w:jc w:val="both"/>
              <w:rPr>
                <w:rFonts w:ascii="Century Gothic" w:hAnsi="Century Gothic"/>
                <w:sz w:val="22"/>
                <w:szCs w:val="22"/>
                <w:lang w:val="es-CO"/>
              </w:rPr>
            </w:pPr>
            <w:r w:rsidRPr="00C16DE0">
              <w:rPr>
                <w:rFonts w:ascii="Century Gothic" w:hAnsi="Century Gothic"/>
                <w:sz w:val="22"/>
                <w:szCs w:val="22"/>
                <w:lang w:val="es-CO"/>
              </w:rPr>
              <w:t>Lo anterior sin perjuicio del carácter contingente del proceso</w:t>
            </w:r>
            <w:r>
              <w:rPr>
                <w:rFonts w:ascii="Century Gothic" w:hAnsi="Century Gothic"/>
                <w:sz w:val="22"/>
                <w:szCs w:val="22"/>
                <w:lang w:val="es-CO"/>
              </w:rPr>
              <w:t>.</w:t>
            </w:r>
          </w:p>
          <w:p w14:paraId="65ABDA13" w14:textId="54517D29" w:rsidR="00380955" w:rsidRDefault="00380955" w:rsidP="00AB21E5">
            <w:pPr>
              <w:spacing w:line="360" w:lineRule="auto"/>
              <w:jc w:val="both"/>
              <w:rPr>
                <w:rFonts w:ascii="Century Gothic" w:hAnsi="Century Gothic"/>
                <w:sz w:val="22"/>
                <w:szCs w:val="22"/>
                <w:lang w:val="es-CO"/>
              </w:rPr>
            </w:pPr>
          </w:p>
          <w:p w14:paraId="3A806213" w14:textId="151DE897" w:rsidR="00380955" w:rsidRPr="00AB21E5" w:rsidRDefault="00380955" w:rsidP="00AB21E5">
            <w:pPr>
              <w:spacing w:line="360" w:lineRule="auto"/>
              <w:jc w:val="both"/>
              <w:rPr>
                <w:rFonts w:ascii="Century Gothic" w:hAnsi="Century Gothic"/>
                <w:sz w:val="22"/>
                <w:szCs w:val="22"/>
                <w:lang w:val="es-CO"/>
              </w:rPr>
            </w:pPr>
          </w:p>
        </w:tc>
      </w:tr>
      <w:tr w:rsidR="00BF6A2F" w14:paraId="19B79918" w14:textId="77777777" w:rsidTr="00BF6A2F">
        <w:trPr>
          <w:trHeight w:val="1361"/>
        </w:trPr>
        <w:tc>
          <w:tcPr>
            <w:tcW w:w="10207" w:type="dxa"/>
            <w:gridSpan w:val="2"/>
            <w:hideMark/>
          </w:tcPr>
          <w:p w14:paraId="6FD3C54C" w14:textId="77777777" w:rsidR="00423E67" w:rsidRPr="00423E67" w:rsidRDefault="00423E67" w:rsidP="00423E67">
            <w:pPr>
              <w:spacing w:line="360" w:lineRule="auto"/>
              <w:jc w:val="center"/>
              <w:rPr>
                <w:rFonts w:ascii="Century Gothic" w:hAnsi="Century Gothic"/>
                <w:b/>
                <w:bCs/>
                <w:sz w:val="22"/>
                <w:szCs w:val="22"/>
                <w:lang w:val="es-ES"/>
              </w:rPr>
            </w:pPr>
            <w:r w:rsidRPr="00423E67">
              <w:rPr>
                <w:rFonts w:ascii="Century Gothic" w:hAnsi="Century Gothic"/>
                <w:b/>
                <w:bCs/>
                <w:sz w:val="22"/>
                <w:szCs w:val="22"/>
                <w:lang w:val="es-ES"/>
              </w:rPr>
              <w:lastRenderedPageBreak/>
              <w:t xml:space="preserve">GUSTAVO ALBERTO HERRERA ÁVILA </w:t>
            </w:r>
          </w:p>
          <w:p w14:paraId="2A44ED05" w14:textId="77777777" w:rsidR="00423E67" w:rsidRPr="00423E67" w:rsidRDefault="00423E67" w:rsidP="00423E67">
            <w:pPr>
              <w:spacing w:line="360" w:lineRule="auto"/>
              <w:jc w:val="center"/>
              <w:rPr>
                <w:rFonts w:ascii="Century Gothic" w:hAnsi="Century Gothic"/>
                <w:sz w:val="22"/>
                <w:szCs w:val="22"/>
                <w:lang w:val="es-ES"/>
              </w:rPr>
            </w:pPr>
            <w:r w:rsidRPr="00423E67">
              <w:rPr>
                <w:rFonts w:ascii="Century Gothic" w:hAnsi="Century Gothic"/>
                <w:sz w:val="22"/>
                <w:szCs w:val="22"/>
                <w:lang w:val="es-ES"/>
              </w:rPr>
              <w:t xml:space="preserve">C.C. </w:t>
            </w:r>
            <w:proofErr w:type="spellStart"/>
            <w:r w:rsidRPr="00423E67">
              <w:rPr>
                <w:rFonts w:ascii="Century Gothic" w:hAnsi="Century Gothic"/>
                <w:sz w:val="22"/>
                <w:szCs w:val="22"/>
                <w:lang w:val="es-ES"/>
              </w:rPr>
              <w:t>Nº</w:t>
            </w:r>
            <w:proofErr w:type="spellEnd"/>
            <w:r w:rsidRPr="00423E67">
              <w:rPr>
                <w:rFonts w:ascii="Century Gothic" w:hAnsi="Century Gothic"/>
                <w:sz w:val="22"/>
                <w:szCs w:val="22"/>
                <w:lang w:val="es-ES"/>
              </w:rPr>
              <w:t xml:space="preserve"> 19.395.114 de Bogotá </w:t>
            </w:r>
          </w:p>
          <w:p w14:paraId="4A069774" w14:textId="77777777" w:rsidR="00BF6A2F" w:rsidRPr="00423E67" w:rsidRDefault="00423E67" w:rsidP="00423E67">
            <w:pPr>
              <w:spacing w:line="360" w:lineRule="auto"/>
              <w:jc w:val="center"/>
              <w:rPr>
                <w:rFonts w:ascii="Century Gothic" w:hAnsi="Century Gothic"/>
                <w:sz w:val="22"/>
                <w:szCs w:val="22"/>
                <w:lang w:val="es-ES"/>
              </w:rPr>
            </w:pPr>
            <w:r w:rsidRPr="00423E67">
              <w:rPr>
                <w:rFonts w:ascii="Century Gothic" w:hAnsi="Century Gothic"/>
                <w:sz w:val="22"/>
                <w:szCs w:val="22"/>
                <w:lang w:val="es-ES"/>
              </w:rPr>
              <w:t xml:space="preserve">T.P. </w:t>
            </w:r>
            <w:proofErr w:type="spellStart"/>
            <w:r w:rsidRPr="00423E67">
              <w:rPr>
                <w:rFonts w:ascii="Century Gothic" w:hAnsi="Century Gothic"/>
                <w:sz w:val="22"/>
                <w:szCs w:val="22"/>
                <w:lang w:val="es-ES"/>
              </w:rPr>
              <w:t>N°</w:t>
            </w:r>
            <w:proofErr w:type="spellEnd"/>
            <w:r w:rsidRPr="00423E67">
              <w:rPr>
                <w:rFonts w:ascii="Century Gothic" w:hAnsi="Century Gothic"/>
                <w:sz w:val="22"/>
                <w:szCs w:val="22"/>
                <w:lang w:val="es-ES"/>
              </w:rPr>
              <w:t xml:space="preserve"> 39.116 del C. S. de la J.</w:t>
            </w:r>
          </w:p>
          <w:p w14:paraId="15D70108" w14:textId="77777777" w:rsidR="00423E67" w:rsidRDefault="00423E67" w:rsidP="00423E67">
            <w:pPr>
              <w:spacing w:line="360" w:lineRule="auto"/>
              <w:jc w:val="center"/>
              <w:rPr>
                <w:rFonts w:ascii="Century Gothic" w:hAnsi="Century Gothic"/>
                <w:b/>
                <w:bCs/>
                <w:sz w:val="22"/>
                <w:szCs w:val="22"/>
                <w:lang w:val="es-ES"/>
              </w:rPr>
            </w:pPr>
          </w:p>
          <w:p w14:paraId="2428A69D" w14:textId="77777777" w:rsidR="00423E67" w:rsidRDefault="00423E67" w:rsidP="00423E67">
            <w:pPr>
              <w:spacing w:line="360" w:lineRule="auto"/>
              <w:jc w:val="center"/>
              <w:rPr>
                <w:rFonts w:ascii="Century Gothic" w:hAnsi="Century Gothic"/>
                <w:b/>
                <w:bCs/>
                <w:sz w:val="22"/>
                <w:szCs w:val="22"/>
                <w:lang w:val="es-ES"/>
              </w:rPr>
            </w:pPr>
          </w:p>
          <w:p w14:paraId="33DF5473" w14:textId="1436A12F" w:rsidR="00423E67" w:rsidRDefault="00423E67" w:rsidP="00423E67">
            <w:pPr>
              <w:spacing w:line="360" w:lineRule="auto"/>
              <w:jc w:val="center"/>
              <w:rPr>
                <w:rFonts w:ascii="Century Gothic" w:hAnsi="Century Gothic"/>
                <w:b/>
                <w:bCs/>
                <w:sz w:val="22"/>
                <w:szCs w:val="22"/>
              </w:rPr>
            </w:pPr>
            <w:r>
              <w:rPr>
                <w:rFonts w:ascii="Century Gothic" w:hAnsi="Century Gothic"/>
                <w:b/>
                <w:bCs/>
                <w:sz w:val="22"/>
                <w:szCs w:val="22"/>
                <w:lang w:val="es-ES"/>
              </w:rPr>
              <w:t>SMF</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1971C" w14:textId="77777777" w:rsidR="004B7AB6" w:rsidRDefault="004B7AB6" w:rsidP="00E7033F">
      <w:r>
        <w:separator/>
      </w:r>
    </w:p>
  </w:endnote>
  <w:endnote w:type="continuationSeparator" w:id="0">
    <w:p w14:paraId="364E7FBA" w14:textId="77777777" w:rsidR="004B7AB6" w:rsidRDefault="004B7AB6"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930EC" w14:textId="77777777" w:rsidR="004B7AB6" w:rsidRDefault="004B7AB6" w:rsidP="00E7033F">
      <w:r>
        <w:separator/>
      </w:r>
    </w:p>
  </w:footnote>
  <w:footnote w:type="continuationSeparator" w:id="0">
    <w:p w14:paraId="3D215CC2" w14:textId="77777777" w:rsidR="004B7AB6" w:rsidRDefault="004B7AB6"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A19B5"/>
    <w:multiLevelType w:val="hybridMultilevel"/>
    <w:tmpl w:val="4D120E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7531D3"/>
    <w:multiLevelType w:val="multilevel"/>
    <w:tmpl w:val="38928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90BE9"/>
    <w:multiLevelType w:val="hybridMultilevel"/>
    <w:tmpl w:val="94B213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C25D05"/>
    <w:multiLevelType w:val="multilevel"/>
    <w:tmpl w:val="8B94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B00827"/>
    <w:multiLevelType w:val="hybridMultilevel"/>
    <w:tmpl w:val="3C16A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5F4E8B"/>
    <w:multiLevelType w:val="multilevel"/>
    <w:tmpl w:val="F6048C3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5C6B3C"/>
    <w:multiLevelType w:val="hybridMultilevel"/>
    <w:tmpl w:val="B5563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A163F92"/>
    <w:multiLevelType w:val="hybridMultilevel"/>
    <w:tmpl w:val="B47A1D2E"/>
    <w:lvl w:ilvl="0" w:tplc="EE88935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11A4834"/>
    <w:multiLevelType w:val="hybridMultilevel"/>
    <w:tmpl w:val="44B0A418"/>
    <w:lvl w:ilvl="0" w:tplc="C02AC66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F1D596C"/>
    <w:multiLevelType w:val="multilevel"/>
    <w:tmpl w:val="A250440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7730279">
    <w:abstractNumId w:val="2"/>
  </w:num>
  <w:num w:numId="2" w16cid:durableId="1536385128">
    <w:abstractNumId w:val="3"/>
  </w:num>
  <w:num w:numId="3" w16cid:durableId="1804889415">
    <w:abstractNumId w:val="4"/>
  </w:num>
  <w:num w:numId="4" w16cid:durableId="1818954244">
    <w:abstractNumId w:val="7"/>
  </w:num>
  <w:num w:numId="5" w16cid:durableId="2096005050">
    <w:abstractNumId w:val="1"/>
  </w:num>
  <w:num w:numId="6" w16cid:durableId="920456693">
    <w:abstractNumId w:val="5"/>
  </w:num>
  <w:num w:numId="7" w16cid:durableId="200555471">
    <w:abstractNumId w:val="9"/>
  </w:num>
  <w:num w:numId="8" w16cid:durableId="1516337932">
    <w:abstractNumId w:val="6"/>
  </w:num>
  <w:num w:numId="9" w16cid:durableId="167525143">
    <w:abstractNumId w:val="0"/>
  </w:num>
  <w:num w:numId="10" w16cid:durableId="2468159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A6767"/>
    <w:rsid w:val="000B4B5F"/>
    <w:rsid w:val="000D23FC"/>
    <w:rsid w:val="000E5AE6"/>
    <w:rsid w:val="001129B6"/>
    <w:rsid w:val="00163B4B"/>
    <w:rsid w:val="00164AB0"/>
    <w:rsid w:val="0016650C"/>
    <w:rsid w:val="00181E11"/>
    <w:rsid w:val="001C44B4"/>
    <w:rsid w:val="001D1D70"/>
    <w:rsid w:val="001D506B"/>
    <w:rsid w:val="001E096B"/>
    <w:rsid w:val="001E1616"/>
    <w:rsid w:val="001E5C79"/>
    <w:rsid w:val="00263011"/>
    <w:rsid w:val="002633C0"/>
    <w:rsid w:val="002A0E98"/>
    <w:rsid w:val="002D02D3"/>
    <w:rsid w:val="002E1D2C"/>
    <w:rsid w:val="00311097"/>
    <w:rsid w:val="00314CAF"/>
    <w:rsid w:val="00324E27"/>
    <w:rsid w:val="003314A2"/>
    <w:rsid w:val="003436B9"/>
    <w:rsid w:val="00352015"/>
    <w:rsid w:val="00380955"/>
    <w:rsid w:val="003827E1"/>
    <w:rsid w:val="003B44CB"/>
    <w:rsid w:val="003B7F1A"/>
    <w:rsid w:val="003D74EE"/>
    <w:rsid w:val="00403BFC"/>
    <w:rsid w:val="00423E67"/>
    <w:rsid w:val="00437455"/>
    <w:rsid w:val="00493936"/>
    <w:rsid w:val="004B1072"/>
    <w:rsid w:val="004B7AB6"/>
    <w:rsid w:val="004C7D4E"/>
    <w:rsid w:val="004F0549"/>
    <w:rsid w:val="00504FFB"/>
    <w:rsid w:val="00517C84"/>
    <w:rsid w:val="005F61D3"/>
    <w:rsid w:val="006056E7"/>
    <w:rsid w:val="00694306"/>
    <w:rsid w:val="006A1563"/>
    <w:rsid w:val="006F0CAA"/>
    <w:rsid w:val="00761B63"/>
    <w:rsid w:val="00765FBC"/>
    <w:rsid w:val="007820E1"/>
    <w:rsid w:val="007C37D7"/>
    <w:rsid w:val="00844594"/>
    <w:rsid w:val="008B59F4"/>
    <w:rsid w:val="008B61E5"/>
    <w:rsid w:val="008B685D"/>
    <w:rsid w:val="008E249B"/>
    <w:rsid w:val="008E628A"/>
    <w:rsid w:val="008F6B57"/>
    <w:rsid w:val="009027F5"/>
    <w:rsid w:val="00906D01"/>
    <w:rsid w:val="00922F57"/>
    <w:rsid w:val="0095195F"/>
    <w:rsid w:val="0095378E"/>
    <w:rsid w:val="00957DCD"/>
    <w:rsid w:val="00967CE2"/>
    <w:rsid w:val="009820E4"/>
    <w:rsid w:val="00987619"/>
    <w:rsid w:val="00992368"/>
    <w:rsid w:val="00996B7A"/>
    <w:rsid w:val="009A06ED"/>
    <w:rsid w:val="009A5DA8"/>
    <w:rsid w:val="00A05F01"/>
    <w:rsid w:val="00A64B37"/>
    <w:rsid w:val="00A822AC"/>
    <w:rsid w:val="00AB21E5"/>
    <w:rsid w:val="00AE1752"/>
    <w:rsid w:val="00B2787D"/>
    <w:rsid w:val="00B630AA"/>
    <w:rsid w:val="00B775EB"/>
    <w:rsid w:val="00B90E05"/>
    <w:rsid w:val="00BA0472"/>
    <w:rsid w:val="00BA1E5F"/>
    <w:rsid w:val="00BA54AA"/>
    <w:rsid w:val="00BF6A2F"/>
    <w:rsid w:val="00C16DE0"/>
    <w:rsid w:val="00C51148"/>
    <w:rsid w:val="00D33414"/>
    <w:rsid w:val="00D35F0D"/>
    <w:rsid w:val="00DD6A64"/>
    <w:rsid w:val="00DE5BEB"/>
    <w:rsid w:val="00E45738"/>
    <w:rsid w:val="00E7033F"/>
    <w:rsid w:val="00E802BC"/>
    <w:rsid w:val="00EB5FFB"/>
    <w:rsid w:val="00EE3081"/>
    <w:rsid w:val="00EE687D"/>
    <w:rsid w:val="00F24A2E"/>
    <w:rsid w:val="00F26BFC"/>
    <w:rsid w:val="00F62D63"/>
    <w:rsid w:val="00F67EF8"/>
    <w:rsid w:val="00F856C2"/>
    <w:rsid w:val="00F90650"/>
    <w:rsid w:val="00FC01A7"/>
    <w:rsid w:val="00FC36E2"/>
    <w:rsid w:val="00FD0FD5"/>
    <w:rsid w:val="00FD53B3"/>
    <w:rsid w:val="3D1942E6"/>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E5AE6"/>
    <w:pPr>
      <w:ind w:left="720"/>
      <w:contextualSpacing/>
    </w:pPr>
  </w:style>
  <w:style w:type="paragraph" w:styleId="Revisin">
    <w:name w:val="Revision"/>
    <w:hidden/>
    <w:uiPriority w:val="99"/>
    <w:semiHidden/>
    <w:rsid w:val="007820E1"/>
  </w:style>
  <w:style w:type="character" w:styleId="Refdecomentario">
    <w:name w:val="annotation reference"/>
    <w:basedOn w:val="Fuentedeprrafopredeter"/>
    <w:uiPriority w:val="99"/>
    <w:semiHidden/>
    <w:unhideWhenUsed/>
    <w:rsid w:val="007820E1"/>
    <w:rPr>
      <w:sz w:val="16"/>
      <w:szCs w:val="16"/>
    </w:rPr>
  </w:style>
  <w:style w:type="paragraph" w:styleId="Textocomentario">
    <w:name w:val="annotation text"/>
    <w:basedOn w:val="Normal"/>
    <w:link w:val="TextocomentarioCar"/>
    <w:uiPriority w:val="99"/>
    <w:unhideWhenUsed/>
    <w:rsid w:val="007820E1"/>
    <w:rPr>
      <w:sz w:val="20"/>
      <w:szCs w:val="20"/>
    </w:rPr>
  </w:style>
  <w:style w:type="character" w:customStyle="1" w:styleId="TextocomentarioCar">
    <w:name w:val="Texto comentario Car"/>
    <w:basedOn w:val="Fuentedeprrafopredeter"/>
    <w:link w:val="Textocomentario"/>
    <w:uiPriority w:val="99"/>
    <w:rsid w:val="007820E1"/>
    <w:rPr>
      <w:sz w:val="20"/>
      <w:szCs w:val="20"/>
    </w:rPr>
  </w:style>
  <w:style w:type="paragraph" w:styleId="Asuntodelcomentario">
    <w:name w:val="annotation subject"/>
    <w:basedOn w:val="Textocomentario"/>
    <w:next w:val="Textocomentario"/>
    <w:link w:val="AsuntodelcomentarioCar"/>
    <w:uiPriority w:val="99"/>
    <w:semiHidden/>
    <w:unhideWhenUsed/>
    <w:rsid w:val="007820E1"/>
    <w:rPr>
      <w:b/>
      <w:bCs/>
    </w:rPr>
  </w:style>
  <w:style w:type="character" w:customStyle="1" w:styleId="AsuntodelcomentarioCar">
    <w:name w:val="Asunto del comentario Car"/>
    <w:basedOn w:val="TextocomentarioCar"/>
    <w:link w:val="Asuntodelcomentario"/>
    <w:uiPriority w:val="99"/>
    <w:semiHidden/>
    <w:rsid w:val="007820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3044">
      <w:bodyDiv w:val="1"/>
      <w:marLeft w:val="0"/>
      <w:marRight w:val="0"/>
      <w:marTop w:val="0"/>
      <w:marBottom w:val="0"/>
      <w:divBdr>
        <w:top w:val="none" w:sz="0" w:space="0" w:color="auto"/>
        <w:left w:val="none" w:sz="0" w:space="0" w:color="auto"/>
        <w:bottom w:val="none" w:sz="0" w:space="0" w:color="auto"/>
        <w:right w:val="none" w:sz="0" w:space="0" w:color="auto"/>
      </w:divBdr>
    </w:div>
    <w:div w:id="387850676">
      <w:bodyDiv w:val="1"/>
      <w:marLeft w:val="0"/>
      <w:marRight w:val="0"/>
      <w:marTop w:val="0"/>
      <w:marBottom w:val="0"/>
      <w:divBdr>
        <w:top w:val="none" w:sz="0" w:space="0" w:color="auto"/>
        <w:left w:val="none" w:sz="0" w:space="0" w:color="auto"/>
        <w:bottom w:val="none" w:sz="0" w:space="0" w:color="auto"/>
        <w:right w:val="none" w:sz="0" w:space="0" w:color="auto"/>
      </w:divBdr>
    </w:div>
    <w:div w:id="618220175">
      <w:bodyDiv w:val="1"/>
      <w:marLeft w:val="0"/>
      <w:marRight w:val="0"/>
      <w:marTop w:val="0"/>
      <w:marBottom w:val="0"/>
      <w:divBdr>
        <w:top w:val="none" w:sz="0" w:space="0" w:color="auto"/>
        <w:left w:val="none" w:sz="0" w:space="0" w:color="auto"/>
        <w:bottom w:val="none" w:sz="0" w:space="0" w:color="auto"/>
        <w:right w:val="none" w:sz="0" w:space="0" w:color="auto"/>
      </w:divBdr>
    </w:div>
    <w:div w:id="680394791">
      <w:bodyDiv w:val="1"/>
      <w:marLeft w:val="0"/>
      <w:marRight w:val="0"/>
      <w:marTop w:val="0"/>
      <w:marBottom w:val="0"/>
      <w:divBdr>
        <w:top w:val="none" w:sz="0" w:space="0" w:color="auto"/>
        <w:left w:val="none" w:sz="0" w:space="0" w:color="auto"/>
        <w:bottom w:val="none" w:sz="0" w:space="0" w:color="auto"/>
        <w:right w:val="none" w:sz="0" w:space="0" w:color="auto"/>
      </w:divBdr>
    </w:div>
    <w:div w:id="787117162">
      <w:bodyDiv w:val="1"/>
      <w:marLeft w:val="0"/>
      <w:marRight w:val="0"/>
      <w:marTop w:val="0"/>
      <w:marBottom w:val="0"/>
      <w:divBdr>
        <w:top w:val="none" w:sz="0" w:space="0" w:color="auto"/>
        <w:left w:val="none" w:sz="0" w:space="0" w:color="auto"/>
        <w:bottom w:val="none" w:sz="0" w:space="0" w:color="auto"/>
        <w:right w:val="none" w:sz="0" w:space="0" w:color="auto"/>
      </w:divBdr>
    </w:div>
    <w:div w:id="798760490">
      <w:bodyDiv w:val="1"/>
      <w:marLeft w:val="0"/>
      <w:marRight w:val="0"/>
      <w:marTop w:val="0"/>
      <w:marBottom w:val="0"/>
      <w:divBdr>
        <w:top w:val="none" w:sz="0" w:space="0" w:color="auto"/>
        <w:left w:val="none" w:sz="0" w:space="0" w:color="auto"/>
        <w:bottom w:val="none" w:sz="0" w:space="0" w:color="auto"/>
        <w:right w:val="none" w:sz="0" w:space="0" w:color="auto"/>
      </w:divBdr>
    </w:div>
    <w:div w:id="952247439">
      <w:bodyDiv w:val="1"/>
      <w:marLeft w:val="0"/>
      <w:marRight w:val="0"/>
      <w:marTop w:val="0"/>
      <w:marBottom w:val="0"/>
      <w:divBdr>
        <w:top w:val="none" w:sz="0" w:space="0" w:color="auto"/>
        <w:left w:val="none" w:sz="0" w:space="0" w:color="auto"/>
        <w:bottom w:val="none" w:sz="0" w:space="0" w:color="auto"/>
        <w:right w:val="none" w:sz="0" w:space="0" w:color="auto"/>
      </w:divBdr>
      <w:divsChild>
        <w:div w:id="1768110746">
          <w:marLeft w:val="720"/>
          <w:marRight w:val="0"/>
          <w:marTop w:val="0"/>
          <w:marBottom w:val="0"/>
          <w:divBdr>
            <w:top w:val="none" w:sz="0" w:space="0" w:color="auto"/>
            <w:left w:val="none" w:sz="0" w:space="0" w:color="auto"/>
            <w:bottom w:val="none" w:sz="0" w:space="0" w:color="auto"/>
            <w:right w:val="none" w:sz="0" w:space="0" w:color="auto"/>
          </w:divBdr>
        </w:div>
        <w:div w:id="421074435">
          <w:marLeft w:val="1440"/>
          <w:marRight w:val="0"/>
          <w:marTop w:val="0"/>
          <w:marBottom w:val="0"/>
          <w:divBdr>
            <w:top w:val="none" w:sz="0" w:space="0" w:color="auto"/>
            <w:left w:val="none" w:sz="0" w:space="0" w:color="auto"/>
            <w:bottom w:val="none" w:sz="0" w:space="0" w:color="auto"/>
            <w:right w:val="none" w:sz="0" w:space="0" w:color="auto"/>
          </w:divBdr>
        </w:div>
      </w:divsChild>
    </w:div>
    <w:div w:id="1183395996">
      <w:bodyDiv w:val="1"/>
      <w:marLeft w:val="0"/>
      <w:marRight w:val="0"/>
      <w:marTop w:val="0"/>
      <w:marBottom w:val="0"/>
      <w:divBdr>
        <w:top w:val="none" w:sz="0" w:space="0" w:color="auto"/>
        <w:left w:val="none" w:sz="0" w:space="0" w:color="auto"/>
        <w:bottom w:val="none" w:sz="0" w:space="0" w:color="auto"/>
        <w:right w:val="none" w:sz="0" w:space="0" w:color="auto"/>
      </w:divBdr>
    </w:div>
    <w:div w:id="1187209407">
      <w:bodyDiv w:val="1"/>
      <w:marLeft w:val="0"/>
      <w:marRight w:val="0"/>
      <w:marTop w:val="0"/>
      <w:marBottom w:val="0"/>
      <w:divBdr>
        <w:top w:val="none" w:sz="0" w:space="0" w:color="auto"/>
        <w:left w:val="none" w:sz="0" w:space="0" w:color="auto"/>
        <w:bottom w:val="none" w:sz="0" w:space="0" w:color="auto"/>
        <w:right w:val="none" w:sz="0" w:space="0" w:color="auto"/>
      </w:divBdr>
      <w:divsChild>
        <w:div w:id="762645480">
          <w:marLeft w:val="0"/>
          <w:marRight w:val="0"/>
          <w:marTop w:val="0"/>
          <w:marBottom w:val="0"/>
          <w:divBdr>
            <w:top w:val="none" w:sz="0" w:space="0" w:color="auto"/>
            <w:left w:val="none" w:sz="0" w:space="0" w:color="auto"/>
            <w:bottom w:val="none" w:sz="0" w:space="0" w:color="auto"/>
            <w:right w:val="none" w:sz="0" w:space="0" w:color="auto"/>
          </w:divBdr>
        </w:div>
        <w:div w:id="1525361595">
          <w:marLeft w:val="0"/>
          <w:marRight w:val="0"/>
          <w:marTop w:val="0"/>
          <w:marBottom w:val="0"/>
          <w:divBdr>
            <w:top w:val="none" w:sz="0" w:space="0" w:color="auto"/>
            <w:left w:val="none" w:sz="0" w:space="0" w:color="auto"/>
            <w:bottom w:val="none" w:sz="0" w:space="0" w:color="auto"/>
            <w:right w:val="none" w:sz="0" w:space="0" w:color="auto"/>
          </w:divBdr>
        </w:div>
      </w:divsChild>
    </w:div>
    <w:div w:id="1233157236">
      <w:bodyDiv w:val="1"/>
      <w:marLeft w:val="0"/>
      <w:marRight w:val="0"/>
      <w:marTop w:val="0"/>
      <w:marBottom w:val="0"/>
      <w:divBdr>
        <w:top w:val="none" w:sz="0" w:space="0" w:color="auto"/>
        <w:left w:val="none" w:sz="0" w:space="0" w:color="auto"/>
        <w:bottom w:val="none" w:sz="0" w:space="0" w:color="auto"/>
        <w:right w:val="none" w:sz="0" w:space="0" w:color="auto"/>
      </w:divBdr>
      <w:divsChild>
        <w:div w:id="751894848">
          <w:marLeft w:val="720"/>
          <w:marRight w:val="0"/>
          <w:marTop w:val="0"/>
          <w:marBottom w:val="0"/>
          <w:divBdr>
            <w:top w:val="none" w:sz="0" w:space="0" w:color="auto"/>
            <w:left w:val="none" w:sz="0" w:space="0" w:color="auto"/>
            <w:bottom w:val="none" w:sz="0" w:space="0" w:color="auto"/>
            <w:right w:val="none" w:sz="0" w:space="0" w:color="auto"/>
          </w:divBdr>
        </w:div>
        <w:div w:id="1473719461">
          <w:marLeft w:val="1440"/>
          <w:marRight w:val="0"/>
          <w:marTop w:val="0"/>
          <w:marBottom w:val="0"/>
          <w:divBdr>
            <w:top w:val="none" w:sz="0" w:space="0" w:color="auto"/>
            <w:left w:val="none" w:sz="0" w:space="0" w:color="auto"/>
            <w:bottom w:val="none" w:sz="0" w:space="0" w:color="auto"/>
            <w:right w:val="none" w:sz="0" w:space="0" w:color="auto"/>
          </w:divBdr>
        </w:div>
      </w:divsChild>
    </w:div>
    <w:div w:id="1234583428">
      <w:bodyDiv w:val="1"/>
      <w:marLeft w:val="0"/>
      <w:marRight w:val="0"/>
      <w:marTop w:val="0"/>
      <w:marBottom w:val="0"/>
      <w:divBdr>
        <w:top w:val="none" w:sz="0" w:space="0" w:color="auto"/>
        <w:left w:val="none" w:sz="0" w:space="0" w:color="auto"/>
        <w:bottom w:val="none" w:sz="0" w:space="0" w:color="auto"/>
        <w:right w:val="none" w:sz="0" w:space="0" w:color="auto"/>
      </w:divBdr>
    </w:div>
    <w:div w:id="1331449191">
      <w:bodyDiv w:val="1"/>
      <w:marLeft w:val="0"/>
      <w:marRight w:val="0"/>
      <w:marTop w:val="0"/>
      <w:marBottom w:val="0"/>
      <w:divBdr>
        <w:top w:val="none" w:sz="0" w:space="0" w:color="auto"/>
        <w:left w:val="none" w:sz="0" w:space="0" w:color="auto"/>
        <w:bottom w:val="none" w:sz="0" w:space="0" w:color="auto"/>
        <w:right w:val="none" w:sz="0" w:space="0" w:color="auto"/>
      </w:divBdr>
    </w:div>
    <w:div w:id="1372880821">
      <w:bodyDiv w:val="1"/>
      <w:marLeft w:val="0"/>
      <w:marRight w:val="0"/>
      <w:marTop w:val="0"/>
      <w:marBottom w:val="0"/>
      <w:divBdr>
        <w:top w:val="none" w:sz="0" w:space="0" w:color="auto"/>
        <w:left w:val="none" w:sz="0" w:space="0" w:color="auto"/>
        <w:bottom w:val="none" w:sz="0" w:space="0" w:color="auto"/>
        <w:right w:val="none" w:sz="0" w:space="0" w:color="auto"/>
      </w:divBdr>
      <w:divsChild>
        <w:div w:id="260187319">
          <w:marLeft w:val="0"/>
          <w:marRight w:val="0"/>
          <w:marTop w:val="0"/>
          <w:marBottom w:val="0"/>
          <w:divBdr>
            <w:top w:val="none" w:sz="0" w:space="0" w:color="auto"/>
            <w:left w:val="none" w:sz="0" w:space="0" w:color="auto"/>
            <w:bottom w:val="none" w:sz="0" w:space="0" w:color="auto"/>
            <w:right w:val="none" w:sz="0" w:space="0" w:color="auto"/>
          </w:divBdr>
        </w:div>
        <w:div w:id="18236786">
          <w:marLeft w:val="0"/>
          <w:marRight w:val="0"/>
          <w:marTop w:val="0"/>
          <w:marBottom w:val="0"/>
          <w:divBdr>
            <w:top w:val="none" w:sz="0" w:space="0" w:color="auto"/>
            <w:left w:val="none" w:sz="0" w:space="0" w:color="auto"/>
            <w:bottom w:val="none" w:sz="0" w:space="0" w:color="auto"/>
            <w:right w:val="none" w:sz="0" w:space="0" w:color="auto"/>
          </w:divBdr>
        </w:div>
        <w:div w:id="1283684754">
          <w:marLeft w:val="0"/>
          <w:marRight w:val="0"/>
          <w:marTop w:val="0"/>
          <w:marBottom w:val="0"/>
          <w:divBdr>
            <w:top w:val="none" w:sz="0" w:space="0" w:color="auto"/>
            <w:left w:val="none" w:sz="0" w:space="0" w:color="auto"/>
            <w:bottom w:val="none" w:sz="0" w:space="0" w:color="auto"/>
            <w:right w:val="none" w:sz="0" w:space="0" w:color="auto"/>
          </w:divBdr>
        </w:div>
        <w:div w:id="111095842">
          <w:marLeft w:val="0"/>
          <w:marRight w:val="0"/>
          <w:marTop w:val="0"/>
          <w:marBottom w:val="0"/>
          <w:divBdr>
            <w:top w:val="none" w:sz="0" w:space="0" w:color="auto"/>
            <w:left w:val="none" w:sz="0" w:space="0" w:color="auto"/>
            <w:bottom w:val="none" w:sz="0" w:space="0" w:color="auto"/>
            <w:right w:val="none" w:sz="0" w:space="0" w:color="auto"/>
          </w:divBdr>
        </w:div>
        <w:div w:id="389964442">
          <w:marLeft w:val="0"/>
          <w:marRight w:val="0"/>
          <w:marTop w:val="0"/>
          <w:marBottom w:val="0"/>
          <w:divBdr>
            <w:top w:val="none" w:sz="0" w:space="0" w:color="auto"/>
            <w:left w:val="none" w:sz="0" w:space="0" w:color="auto"/>
            <w:bottom w:val="none" w:sz="0" w:space="0" w:color="auto"/>
            <w:right w:val="none" w:sz="0" w:space="0" w:color="auto"/>
          </w:divBdr>
        </w:div>
      </w:divsChild>
    </w:div>
    <w:div w:id="1379552770">
      <w:bodyDiv w:val="1"/>
      <w:marLeft w:val="0"/>
      <w:marRight w:val="0"/>
      <w:marTop w:val="0"/>
      <w:marBottom w:val="0"/>
      <w:divBdr>
        <w:top w:val="none" w:sz="0" w:space="0" w:color="auto"/>
        <w:left w:val="none" w:sz="0" w:space="0" w:color="auto"/>
        <w:bottom w:val="none" w:sz="0" w:space="0" w:color="auto"/>
        <w:right w:val="none" w:sz="0" w:space="0" w:color="auto"/>
      </w:divBdr>
    </w:div>
    <w:div w:id="1491364970">
      <w:bodyDiv w:val="1"/>
      <w:marLeft w:val="0"/>
      <w:marRight w:val="0"/>
      <w:marTop w:val="0"/>
      <w:marBottom w:val="0"/>
      <w:divBdr>
        <w:top w:val="none" w:sz="0" w:space="0" w:color="auto"/>
        <w:left w:val="none" w:sz="0" w:space="0" w:color="auto"/>
        <w:bottom w:val="none" w:sz="0" w:space="0" w:color="auto"/>
        <w:right w:val="none" w:sz="0" w:space="0" w:color="auto"/>
      </w:divBdr>
    </w:div>
    <w:div w:id="1523520232">
      <w:bodyDiv w:val="1"/>
      <w:marLeft w:val="0"/>
      <w:marRight w:val="0"/>
      <w:marTop w:val="0"/>
      <w:marBottom w:val="0"/>
      <w:divBdr>
        <w:top w:val="none" w:sz="0" w:space="0" w:color="auto"/>
        <w:left w:val="none" w:sz="0" w:space="0" w:color="auto"/>
        <w:bottom w:val="none" w:sz="0" w:space="0" w:color="auto"/>
        <w:right w:val="none" w:sz="0" w:space="0" w:color="auto"/>
      </w:divBdr>
    </w:div>
    <w:div w:id="1550921818">
      <w:bodyDiv w:val="1"/>
      <w:marLeft w:val="0"/>
      <w:marRight w:val="0"/>
      <w:marTop w:val="0"/>
      <w:marBottom w:val="0"/>
      <w:divBdr>
        <w:top w:val="none" w:sz="0" w:space="0" w:color="auto"/>
        <w:left w:val="none" w:sz="0" w:space="0" w:color="auto"/>
        <w:bottom w:val="none" w:sz="0" w:space="0" w:color="auto"/>
        <w:right w:val="none" w:sz="0" w:space="0" w:color="auto"/>
      </w:divBdr>
      <w:divsChild>
        <w:div w:id="725837555">
          <w:marLeft w:val="0"/>
          <w:marRight w:val="0"/>
          <w:marTop w:val="0"/>
          <w:marBottom w:val="0"/>
          <w:divBdr>
            <w:top w:val="none" w:sz="0" w:space="0" w:color="auto"/>
            <w:left w:val="none" w:sz="0" w:space="0" w:color="auto"/>
            <w:bottom w:val="none" w:sz="0" w:space="0" w:color="auto"/>
            <w:right w:val="none" w:sz="0" w:space="0" w:color="auto"/>
          </w:divBdr>
        </w:div>
        <w:div w:id="695234206">
          <w:marLeft w:val="0"/>
          <w:marRight w:val="0"/>
          <w:marTop w:val="0"/>
          <w:marBottom w:val="0"/>
          <w:divBdr>
            <w:top w:val="none" w:sz="0" w:space="0" w:color="auto"/>
            <w:left w:val="none" w:sz="0" w:space="0" w:color="auto"/>
            <w:bottom w:val="none" w:sz="0" w:space="0" w:color="auto"/>
            <w:right w:val="none" w:sz="0" w:space="0" w:color="auto"/>
          </w:divBdr>
        </w:div>
        <w:div w:id="1466048447">
          <w:marLeft w:val="0"/>
          <w:marRight w:val="0"/>
          <w:marTop w:val="0"/>
          <w:marBottom w:val="0"/>
          <w:divBdr>
            <w:top w:val="none" w:sz="0" w:space="0" w:color="auto"/>
            <w:left w:val="none" w:sz="0" w:space="0" w:color="auto"/>
            <w:bottom w:val="none" w:sz="0" w:space="0" w:color="auto"/>
            <w:right w:val="none" w:sz="0" w:space="0" w:color="auto"/>
          </w:divBdr>
        </w:div>
        <w:div w:id="1844860601">
          <w:marLeft w:val="0"/>
          <w:marRight w:val="0"/>
          <w:marTop w:val="0"/>
          <w:marBottom w:val="0"/>
          <w:divBdr>
            <w:top w:val="none" w:sz="0" w:space="0" w:color="auto"/>
            <w:left w:val="none" w:sz="0" w:space="0" w:color="auto"/>
            <w:bottom w:val="none" w:sz="0" w:space="0" w:color="auto"/>
            <w:right w:val="none" w:sz="0" w:space="0" w:color="auto"/>
          </w:divBdr>
        </w:div>
        <w:div w:id="314838306">
          <w:marLeft w:val="0"/>
          <w:marRight w:val="0"/>
          <w:marTop w:val="0"/>
          <w:marBottom w:val="0"/>
          <w:divBdr>
            <w:top w:val="none" w:sz="0" w:space="0" w:color="auto"/>
            <w:left w:val="none" w:sz="0" w:space="0" w:color="auto"/>
            <w:bottom w:val="none" w:sz="0" w:space="0" w:color="auto"/>
            <w:right w:val="none" w:sz="0" w:space="0" w:color="auto"/>
          </w:divBdr>
        </w:div>
      </w:divsChild>
    </w:div>
    <w:div w:id="1601836274">
      <w:bodyDiv w:val="1"/>
      <w:marLeft w:val="0"/>
      <w:marRight w:val="0"/>
      <w:marTop w:val="0"/>
      <w:marBottom w:val="0"/>
      <w:divBdr>
        <w:top w:val="none" w:sz="0" w:space="0" w:color="auto"/>
        <w:left w:val="none" w:sz="0" w:space="0" w:color="auto"/>
        <w:bottom w:val="none" w:sz="0" w:space="0" w:color="auto"/>
        <w:right w:val="none" w:sz="0" w:space="0" w:color="auto"/>
      </w:divBdr>
      <w:divsChild>
        <w:div w:id="1776319627">
          <w:marLeft w:val="0"/>
          <w:marRight w:val="0"/>
          <w:marTop w:val="0"/>
          <w:marBottom w:val="0"/>
          <w:divBdr>
            <w:top w:val="none" w:sz="0" w:space="0" w:color="auto"/>
            <w:left w:val="none" w:sz="0" w:space="0" w:color="auto"/>
            <w:bottom w:val="none" w:sz="0" w:space="0" w:color="auto"/>
            <w:right w:val="none" w:sz="0" w:space="0" w:color="auto"/>
          </w:divBdr>
        </w:div>
        <w:div w:id="129129844">
          <w:marLeft w:val="0"/>
          <w:marRight w:val="0"/>
          <w:marTop w:val="0"/>
          <w:marBottom w:val="0"/>
          <w:divBdr>
            <w:top w:val="none" w:sz="0" w:space="0" w:color="auto"/>
            <w:left w:val="none" w:sz="0" w:space="0" w:color="auto"/>
            <w:bottom w:val="none" w:sz="0" w:space="0" w:color="auto"/>
            <w:right w:val="none" w:sz="0" w:space="0" w:color="auto"/>
          </w:divBdr>
        </w:div>
      </w:divsChild>
    </w:div>
    <w:div w:id="1689721525">
      <w:bodyDiv w:val="1"/>
      <w:marLeft w:val="0"/>
      <w:marRight w:val="0"/>
      <w:marTop w:val="0"/>
      <w:marBottom w:val="0"/>
      <w:divBdr>
        <w:top w:val="none" w:sz="0" w:space="0" w:color="auto"/>
        <w:left w:val="none" w:sz="0" w:space="0" w:color="auto"/>
        <w:bottom w:val="none" w:sz="0" w:space="0" w:color="auto"/>
        <w:right w:val="none" w:sz="0" w:space="0" w:color="auto"/>
      </w:divBdr>
    </w:div>
    <w:div w:id="1761441890">
      <w:bodyDiv w:val="1"/>
      <w:marLeft w:val="0"/>
      <w:marRight w:val="0"/>
      <w:marTop w:val="0"/>
      <w:marBottom w:val="0"/>
      <w:divBdr>
        <w:top w:val="none" w:sz="0" w:space="0" w:color="auto"/>
        <w:left w:val="none" w:sz="0" w:space="0" w:color="auto"/>
        <w:bottom w:val="none" w:sz="0" w:space="0" w:color="auto"/>
        <w:right w:val="none" w:sz="0" w:space="0" w:color="auto"/>
      </w:divBdr>
    </w:div>
    <w:div w:id="1845434990">
      <w:bodyDiv w:val="1"/>
      <w:marLeft w:val="0"/>
      <w:marRight w:val="0"/>
      <w:marTop w:val="0"/>
      <w:marBottom w:val="0"/>
      <w:divBdr>
        <w:top w:val="none" w:sz="0" w:space="0" w:color="auto"/>
        <w:left w:val="none" w:sz="0" w:space="0" w:color="auto"/>
        <w:bottom w:val="none" w:sz="0" w:space="0" w:color="auto"/>
        <w:right w:val="none" w:sz="0" w:space="0" w:color="auto"/>
      </w:divBdr>
    </w:div>
    <w:div w:id="1937590540">
      <w:bodyDiv w:val="1"/>
      <w:marLeft w:val="0"/>
      <w:marRight w:val="0"/>
      <w:marTop w:val="0"/>
      <w:marBottom w:val="0"/>
      <w:divBdr>
        <w:top w:val="none" w:sz="0" w:space="0" w:color="auto"/>
        <w:left w:val="none" w:sz="0" w:space="0" w:color="auto"/>
        <w:bottom w:val="none" w:sz="0" w:space="0" w:color="auto"/>
        <w:right w:val="none" w:sz="0" w:space="0" w:color="auto"/>
      </w:divBdr>
    </w:div>
    <w:div w:id="2035766603">
      <w:bodyDiv w:val="1"/>
      <w:marLeft w:val="0"/>
      <w:marRight w:val="0"/>
      <w:marTop w:val="0"/>
      <w:marBottom w:val="0"/>
      <w:divBdr>
        <w:top w:val="none" w:sz="0" w:space="0" w:color="auto"/>
        <w:left w:val="none" w:sz="0" w:space="0" w:color="auto"/>
        <w:bottom w:val="none" w:sz="0" w:space="0" w:color="auto"/>
        <w:right w:val="none" w:sz="0" w:space="0" w:color="auto"/>
      </w:divBdr>
    </w:div>
    <w:div w:id="20976248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1212</Words>
  <Characters>6672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 Pablo Medina Campiño</cp:lastModifiedBy>
  <cp:revision>2</cp:revision>
  <cp:lastPrinted>2025-01-20T16:39:00Z</cp:lastPrinted>
  <dcterms:created xsi:type="dcterms:W3CDTF">2025-05-19T23:50:00Z</dcterms:created>
  <dcterms:modified xsi:type="dcterms:W3CDTF">2025-05-19T23:50:00Z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