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BA1E5F" w:rsidRDefault="003314A2" w:rsidP="003314A2">
      <w:pPr>
        <w:spacing w:line="360" w:lineRule="auto"/>
        <w:rPr>
          <w:rFonts w:ascii="Century Gothic" w:hAnsi="Century Gothic"/>
          <w:sz w:val="22"/>
          <w:szCs w:val="22"/>
        </w:rPr>
      </w:pPr>
      <w:r w:rsidRPr="00BA1E5F">
        <w:rPr>
          <w:rFonts w:ascii="Century Gothic" w:hAnsi="Century Gothic"/>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422EA9" id="_x0000_t202" coordsize="21600,21600" o:spt="202" path="m,l,21600r21600,l21600,xe">
                <v:stroke joinstyle="miter"/>
                <v:path gradientshapeok="t" o:connecttype="rect"/>
              </v:shapetype>
              <v:shape id="Cuadro de texto 2" o:spid="_x0000_s1026" type="#_x0000_t202" style="position:absolute;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" filled="f" stroked="f">
                <v:textbo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BA1E5F" w:rsidRDefault="00F67EF8" w:rsidP="00F67EF8">
      <w:pPr>
        <w:spacing w:line="276" w:lineRule="auto"/>
        <w:jc w:val="both"/>
        <w:rPr>
          <w:rFonts w:ascii="Century Gothic" w:hAnsi="Century Gothic"/>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BA1E5F" w14:paraId="077F9E4D" w14:textId="77777777" w:rsidTr="003827E1">
        <w:trPr>
          <w:trHeight w:val="454"/>
        </w:trPr>
        <w:tc>
          <w:tcPr>
            <w:tcW w:w="4537" w:type="dxa"/>
            <w:vAlign w:val="center"/>
          </w:tcPr>
          <w:p w14:paraId="239BC5A7" w14:textId="7E10D35F"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Fecha de presentación</w:t>
            </w:r>
          </w:p>
        </w:tc>
        <w:tc>
          <w:tcPr>
            <w:tcW w:w="5670" w:type="dxa"/>
          </w:tcPr>
          <w:p w14:paraId="29FA6EF6" w14:textId="2421685F" w:rsidR="00F67EF8" w:rsidRPr="00BA1E5F" w:rsidRDefault="00695E05" w:rsidP="00F67EF8">
            <w:pPr>
              <w:spacing w:line="276" w:lineRule="auto"/>
              <w:jc w:val="both"/>
              <w:rPr>
                <w:rFonts w:ascii="Century Gothic" w:hAnsi="Century Gothic"/>
                <w:sz w:val="22"/>
                <w:szCs w:val="22"/>
              </w:rPr>
            </w:pPr>
            <w:r>
              <w:rPr>
                <w:rFonts w:ascii="Century Gothic" w:hAnsi="Century Gothic"/>
                <w:sz w:val="22"/>
                <w:szCs w:val="22"/>
              </w:rPr>
              <w:t>8</w:t>
            </w:r>
            <w:r w:rsidR="00485837">
              <w:rPr>
                <w:rFonts w:ascii="Century Gothic" w:hAnsi="Century Gothic"/>
                <w:sz w:val="22"/>
                <w:szCs w:val="22"/>
              </w:rPr>
              <w:t xml:space="preserve"> de mayo de 2025</w:t>
            </w:r>
          </w:p>
        </w:tc>
      </w:tr>
      <w:tr w:rsidR="00F67EF8" w:rsidRPr="00BA1E5F" w14:paraId="6959AD48" w14:textId="77777777" w:rsidTr="003827E1">
        <w:trPr>
          <w:trHeight w:val="454"/>
        </w:trPr>
        <w:tc>
          <w:tcPr>
            <w:tcW w:w="4537" w:type="dxa"/>
            <w:vAlign w:val="center"/>
          </w:tcPr>
          <w:p w14:paraId="45E895A9" w14:textId="1E20E681" w:rsidR="00F67EF8" w:rsidRPr="00BA1E5F" w:rsidRDefault="00F67EF8" w:rsidP="003B7F1A">
            <w:pPr>
              <w:spacing w:line="360" w:lineRule="auto"/>
              <w:rPr>
                <w:rFonts w:ascii="Century Gothic" w:hAnsi="Century Gothic"/>
                <w:b/>
                <w:bCs/>
                <w:sz w:val="22"/>
                <w:szCs w:val="22"/>
              </w:rPr>
            </w:pPr>
            <w:r w:rsidRPr="00BA1E5F">
              <w:rPr>
                <w:rFonts w:ascii="Century Gothic" w:hAnsi="Century Gothic"/>
                <w:b/>
                <w:bCs/>
                <w:sz w:val="22"/>
                <w:szCs w:val="22"/>
              </w:rPr>
              <w:t>Tipo de abogado</w:t>
            </w:r>
          </w:p>
        </w:tc>
        <w:tc>
          <w:tcPr>
            <w:tcW w:w="5670" w:type="dxa"/>
          </w:tcPr>
          <w:p w14:paraId="06C25C40" w14:textId="50BF1A4A" w:rsidR="00F67EF8" w:rsidRPr="00BA1E5F" w:rsidRDefault="009A6A9B" w:rsidP="00F67EF8">
            <w:pPr>
              <w:spacing w:line="276" w:lineRule="auto"/>
              <w:jc w:val="both"/>
              <w:rPr>
                <w:rFonts w:ascii="Century Gothic" w:hAnsi="Century Gothic"/>
                <w:sz w:val="22"/>
                <w:szCs w:val="22"/>
              </w:rPr>
            </w:pPr>
            <w:r>
              <w:rPr>
                <w:rFonts w:ascii="Century Gothic" w:hAnsi="Century Gothic"/>
                <w:sz w:val="22"/>
                <w:szCs w:val="22"/>
              </w:rPr>
              <w:t>Externo</w:t>
            </w:r>
          </w:p>
        </w:tc>
      </w:tr>
      <w:tr w:rsidR="00F67EF8" w:rsidRPr="00BA1E5F" w14:paraId="2F6DA3B0" w14:textId="77777777" w:rsidTr="003827E1">
        <w:trPr>
          <w:trHeight w:val="454"/>
        </w:trPr>
        <w:tc>
          <w:tcPr>
            <w:tcW w:w="4537" w:type="dxa"/>
            <w:vAlign w:val="center"/>
          </w:tcPr>
          <w:p w14:paraId="30599F8A" w14:textId="674A8832" w:rsidR="00F67EF8" w:rsidRPr="00BA1E5F" w:rsidRDefault="00F67EF8" w:rsidP="003B7F1A">
            <w:pPr>
              <w:spacing w:line="360" w:lineRule="auto"/>
              <w:rPr>
                <w:rFonts w:ascii="Century Gothic" w:hAnsi="Century Gothic"/>
                <w:sz w:val="22"/>
                <w:szCs w:val="22"/>
              </w:rPr>
            </w:pPr>
            <w:r w:rsidRPr="00BA1E5F">
              <w:rPr>
                <w:rFonts w:ascii="Century Gothic" w:hAnsi="Century Gothic"/>
                <w:b/>
                <w:bCs/>
                <w:sz w:val="22"/>
                <w:szCs w:val="22"/>
              </w:rPr>
              <w:t>Aseguradora vinculada al proceso</w:t>
            </w:r>
          </w:p>
        </w:tc>
        <w:tc>
          <w:tcPr>
            <w:tcW w:w="5670" w:type="dxa"/>
          </w:tcPr>
          <w:p w14:paraId="794A38B0" w14:textId="5657B2BA" w:rsidR="00F67EF8" w:rsidRPr="00BA1E5F" w:rsidRDefault="009A6A9B" w:rsidP="00F67EF8">
            <w:pPr>
              <w:spacing w:line="276" w:lineRule="auto"/>
              <w:jc w:val="both"/>
              <w:rPr>
                <w:rFonts w:ascii="Century Gothic" w:hAnsi="Century Gothic"/>
                <w:sz w:val="22"/>
                <w:szCs w:val="22"/>
              </w:rPr>
            </w:pPr>
            <w:r w:rsidRPr="009A6A9B">
              <w:rPr>
                <w:rFonts w:ascii="Century Gothic" w:hAnsi="Century Gothic"/>
                <w:sz w:val="22"/>
                <w:szCs w:val="22"/>
              </w:rPr>
              <w:t xml:space="preserve">LA EQUIDAD SEGUROS </w:t>
            </w:r>
            <w:r w:rsidR="00485837">
              <w:rPr>
                <w:rFonts w:ascii="Century Gothic" w:hAnsi="Century Gothic"/>
                <w:sz w:val="22"/>
                <w:szCs w:val="22"/>
              </w:rPr>
              <w:t>DE VIDA</w:t>
            </w:r>
            <w:r w:rsidRPr="009A6A9B">
              <w:rPr>
                <w:rFonts w:ascii="Century Gothic" w:hAnsi="Century Gothic"/>
                <w:sz w:val="22"/>
                <w:szCs w:val="22"/>
              </w:rPr>
              <w:t xml:space="preserve"> </w:t>
            </w:r>
            <w:r>
              <w:rPr>
                <w:rFonts w:ascii="Century Gothic" w:hAnsi="Century Gothic"/>
                <w:sz w:val="22"/>
                <w:szCs w:val="22"/>
              </w:rPr>
              <w:t>O.C.</w:t>
            </w:r>
          </w:p>
        </w:tc>
      </w:tr>
      <w:tr w:rsidR="00F67EF8" w:rsidRPr="00BA1E5F" w14:paraId="490540BB" w14:textId="77777777" w:rsidTr="003827E1">
        <w:trPr>
          <w:trHeight w:val="454"/>
        </w:trPr>
        <w:tc>
          <w:tcPr>
            <w:tcW w:w="4537" w:type="dxa"/>
            <w:vAlign w:val="center"/>
          </w:tcPr>
          <w:p w14:paraId="1C2D5235" w14:textId="2B4007F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SGC</w:t>
            </w:r>
          </w:p>
        </w:tc>
        <w:tc>
          <w:tcPr>
            <w:tcW w:w="5670" w:type="dxa"/>
          </w:tcPr>
          <w:p w14:paraId="11B788BC" w14:textId="52239721" w:rsidR="00F67EF8" w:rsidRPr="00BA1E5F" w:rsidRDefault="009A6A9B" w:rsidP="00F67EF8">
            <w:pPr>
              <w:spacing w:line="276" w:lineRule="auto"/>
              <w:jc w:val="both"/>
              <w:rPr>
                <w:rFonts w:ascii="Century Gothic" w:hAnsi="Century Gothic"/>
                <w:sz w:val="22"/>
                <w:szCs w:val="22"/>
              </w:rPr>
            </w:pPr>
            <w:r w:rsidRPr="009A6A9B">
              <w:rPr>
                <w:rFonts w:ascii="Century Gothic" w:hAnsi="Century Gothic"/>
                <w:sz w:val="22"/>
                <w:szCs w:val="22"/>
              </w:rPr>
              <w:t>10</w:t>
            </w:r>
            <w:r w:rsidR="00485837">
              <w:rPr>
                <w:rFonts w:ascii="Century Gothic" w:hAnsi="Century Gothic"/>
                <w:sz w:val="22"/>
                <w:szCs w:val="22"/>
              </w:rPr>
              <w:t>166</w:t>
            </w:r>
          </w:p>
        </w:tc>
      </w:tr>
      <w:tr w:rsidR="00F67EF8" w:rsidRPr="00BA1E5F" w14:paraId="1D86DF69" w14:textId="77777777" w:rsidTr="003827E1">
        <w:trPr>
          <w:trHeight w:val="454"/>
        </w:trPr>
        <w:tc>
          <w:tcPr>
            <w:tcW w:w="4537" w:type="dxa"/>
            <w:vAlign w:val="center"/>
          </w:tcPr>
          <w:p w14:paraId="699114C2" w14:textId="0BB9EC2F"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Despacho/Juzgado/ Tribunal</w:t>
            </w:r>
          </w:p>
        </w:tc>
        <w:tc>
          <w:tcPr>
            <w:tcW w:w="5670" w:type="dxa"/>
          </w:tcPr>
          <w:p w14:paraId="7DD6339C" w14:textId="796954FC" w:rsidR="00F67EF8" w:rsidRPr="00BA1E5F" w:rsidRDefault="009A6A9B" w:rsidP="00F67EF8">
            <w:pPr>
              <w:spacing w:line="276" w:lineRule="auto"/>
              <w:jc w:val="both"/>
              <w:rPr>
                <w:rFonts w:ascii="Century Gothic" w:hAnsi="Century Gothic"/>
                <w:sz w:val="22"/>
                <w:szCs w:val="22"/>
              </w:rPr>
            </w:pPr>
            <w:r w:rsidRPr="009A6A9B">
              <w:rPr>
                <w:rFonts w:ascii="Century Gothic" w:hAnsi="Century Gothic"/>
                <w:sz w:val="22"/>
                <w:szCs w:val="22"/>
              </w:rPr>
              <w:t xml:space="preserve">Juzgado </w:t>
            </w:r>
            <w:r w:rsidR="00485837">
              <w:rPr>
                <w:rFonts w:ascii="Century Gothic" w:hAnsi="Century Gothic"/>
                <w:sz w:val="22"/>
                <w:szCs w:val="22"/>
              </w:rPr>
              <w:t>33 de Pequeñas Causas y Competencia Múltiple</w:t>
            </w:r>
          </w:p>
        </w:tc>
      </w:tr>
      <w:tr w:rsidR="00F67EF8" w:rsidRPr="00BA1E5F" w14:paraId="54742FD8" w14:textId="77777777" w:rsidTr="003827E1">
        <w:trPr>
          <w:trHeight w:val="454"/>
        </w:trPr>
        <w:tc>
          <w:tcPr>
            <w:tcW w:w="4537" w:type="dxa"/>
            <w:vAlign w:val="center"/>
          </w:tcPr>
          <w:p w14:paraId="5A357CCF" w14:textId="3C7FFC83" w:rsidR="00F67EF8" w:rsidRPr="00BA1E5F" w:rsidRDefault="00992368"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Ciudad </w:t>
            </w:r>
          </w:p>
        </w:tc>
        <w:tc>
          <w:tcPr>
            <w:tcW w:w="5670" w:type="dxa"/>
          </w:tcPr>
          <w:p w14:paraId="5101FDD8" w14:textId="1DE5DBCA" w:rsidR="00F67EF8" w:rsidRPr="00BA1E5F" w:rsidRDefault="00485837" w:rsidP="00F67EF8">
            <w:pPr>
              <w:spacing w:line="276" w:lineRule="auto"/>
              <w:jc w:val="both"/>
              <w:rPr>
                <w:rFonts w:ascii="Century Gothic" w:hAnsi="Century Gothic"/>
                <w:sz w:val="22"/>
                <w:szCs w:val="22"/>
              </w:rPr>
            </w:pPr>
            <w:r>
              <w:rPr>
                <w:rFonts w:ascii="Century Gothic" w:hAnsi="Century Gothic"/>
                <w:sz w:val="22"/>
                <w:szCs w:val="22"/>
              </w:rPr>
              <w:t>Bogotá</w:t>
            </w:r>
          </w:p>
        </w:tc>
      </w:tr>
      <w:tr w:rsidR="00992368" w:rsidRPr="00BA1E5F" w14:paraId="3983A9CE" w14:textId="77777777" w:rsidTr="003827E1">
        <w:trPr>
          <w:trHeight w:val="454"/>
        </w:trPr>
        <w:tc>
          <w:tcPr>
            <w:tcW w:w="4537" w:type="dxa"/>
            <w:vAlign w:val="center"/>
          </w:tcPr>
          <w:p w14:paraId="7EC7EF81" w14:textId="3CF9A0A9" w:rsidR="00992368" w:rsidRPr="00BA1E5F" w:rsidRDefault="008E249B" w:rsidP="003B7F1A">
            <w:pPr>
              <w:spacing w:line="276" w:lineRule="auto"/>
              <w:rPr>
                <w:rFonts w:ascii="Century Gothic" w:hAnsi="Century Gothic"/>
                <w:b/>
                <w:bCs/>
                <w:sz w:val="22"/>
                <w:szCs w:val="22"/>
              </w:rPr>
            </w:pPr>
            <w:r w:rsidRPr="00BA1E5F">
              <w:rPr>
                <w:rFonts w:ascii="Century Gothic" w:hAnsi="Century Gothic"/>
                <w:b/>
                <w:bCs/>
                <w:sz w:val="22"/>
                <w:szCs w:val="22"/>
              </w:rPr>
              <w:t>Radicado completo 23 dígitos</w:t>
            </w:r>
          </w:p>
        </w:tc>
        <w:tc>
          <w:tcPr>
            <w:tcW w:w="5670" w:type="dxa"/>
          </w:tcPr>
          <w:p w14:paraId="573C25D1" w14:textId="37219A1B" w:rsidR="00992368" w:rsidRPr="00485837" w:rsidRDefault="00485837" w:rsidP="00F67EF8">
            <w:pPr>
              <w:spacing w:line="276" w:lineRule="auto"/>
              <w:jc w:val="both"/>
              <w:rPr>
                <w:rFonts w:ascii="Century Gothic" w:hAnsi="Century Gothic"/>
                <w:sz w:val="22"/>
                <w:szCs w:val="22"/>
              </w:rPr>
            </w:pPr>
            <w:r w:rsidRPr="00485837">
              <w:rPr>
                <w:rFonts w:ascii="Century Gothic" w:hAnsi="Century Gothic"/>
                <w:sz w:val="22"/>
                <w:szCs w:val="22"/>
              </w:rPr>
              <w:t>11001418903320230193100</w:t>
            </w:r>
          </w:p>
        </w:tc>
      </w:tr>
      <w:tr w:rsidR="00992368" w:rsidRPr="00BA1E5F" w14:paraId="4A0D8041" w14:textId="77777777" w:rsidTr="003827E1">
        <w:trPr>
          <w:trHeight w:val="454"/>
        </w:trPr>
        <w:tc>
          <w:tcPr>
            <w:tcW w:w="4537" w:type="dxa"/>
            <w:vAlign w:val="center"/>
          </w:tcPr>
          <w:p w14:paraId="6BA2EEB5" w14:textId="7369F36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de notificación</w:t>
            </w:r>
          </w:p>
        </w:tc>
        <w:tc>
          <w:tcPr>
            <w:tcW w:w="5670" w:type="dxa"/>
          </w:tcPr>
          <w:p w14:paraId="64AC88EB" w14:textId="546463FA" w:rsidR="00992368" w:rsidRPr="00BA1E5F" w:rsidRDefault="00485837" w:rsidP="00F67EF8">
            <w:pPr>
              <w:spacing w:line="276" w:lineRule="auto"/>
              <w:jc w:val="both"/>
              <w:rPr>
                <w:rFonts w:ascii="Century Gothic" w:hAnsi="Century Gothic"/>
                <w:sz w:val="22"/>
                <w:szCs w:val="22"/>
              </w:rPr>
            </w:pPr>
            <w:r>
              <w:rPr>
                <w:rFonts w:ascii="Century Gothic" w:hAnsi="Century Gothic"/>
                <w:sz w:val="22"/>
                <w:szCs w:val="22"/>
              </w:rPr>
              <w:t>18</w:t>
            </w:r>
            <w:r w:rsidR="009A6A9B" w:rsidRPr="009A6A9B">
              <w:rPr>
                <w:rFonts w:ascii="Century Gothic" w:hAnsi="Century Gothic"/>
                <w:sz w:val="22"/>
                <w:szCs w:val="22"/>
              </w:rPr>
              <w:t xml:space="preserve"> </w:t>
            </w:r>
            <w:r w:rsidR="009A6A9B">
              <w:rPr>
                <w:rFonts w:ascii="Century Gothic" w:hAnsi="Century Gothic"/>
                <w:sz w:val="22"/>
                <w:szCs w:val="22"/>
              </w:rPr>
              <w:t>d</w:t>
            </w:r>
            <w:r w:rsidR="009A6A9B" w:rsidRPr="009A6A9B">
              <w:rPr>
                <w:rFonts w:ascii="Century Gothic" w:hAnsi="Century Gothic"/>
                <w:sz w:val="22"/>
                <w:szCs w:val="22"/>
              </w:rPr>
              <w:t xml:space="preserve">e </w:t>
            </w:r>
            <w:r>
              <w:rPr>
                <w:rFonts w:ascii="Century Gothic" w:hAnsi="Century Gothic"/>
                <w:sz w:val="22"/>
                <w:szCs w:val="22"/>
              </w:rPr>
              <w:t>marzo</w:t>
            </w:r>
            <w:r w:rsidR="009A6A9B" w:rsidRPr="009A6A9B">
              <w:rPr>
                <w:rFonts w:ascii="Century Gothic" w:hAnsi="Century Gothic"/>
                <w:sz w:val="22"/>
                <w:szCs w:val="22"/>
              </w:rPr>
              <w:t xml:space="preserve"> </w:t>
            </w:r>
            <w:r w:rsidR="009A6A9B">
              <w:rPr>
                <w:rFonts w:ascii="Century Gothic" w:hAnsi="Century Gothic"/>
                <w:sz w:val="22"/>
                <w:szCs w:val="22"/>
              </w:rPr>
              <w:t>d</w:t>
            </w:r>
            <w:r w:rsidR="009A6A9B" w:rsidRPr="009A6A9B">
              <w:rPr>
                <w:rFonts w:ascii="Century Gothic" w:hAnsi="Century Gothic"/>
                <w:sz w:val="22"/>
                <w:szCs w:val="22"/>
              </w:rPr>
              <w:t>el 2024.</w:t>
            </w:r>
          </w:p>
        </w:tc>
      </w:tr>
      <w:tr w:rsidR="00992368" w:rsidRPr="00BA1E5F" w14:paraId="028BDD81" w14:textId="77777777" w:rsidTr="003827E1">
        <w:trPr>
          <w:trHeight w:val="454"/>
        </w:trPr>
        <w:tc>
          <w:tcPr>
            <w:tcW w:w="4537" w:type="dxa"/>
            <w:vAlign w:val="center"/>
          </w:tcPr>
          <w:p w14:paraId="74AA3CB7" w14:textId="0154798B" w:rsidR="00992368" w:rsidRPr="00BA1E5F" w:rsidRDefault="00B2787D" w:rsidP="003B7F1A">
            <w:pPr>
              <w:spacing w:line="276" w:lineRule="auto"/>
              <w:rPr>
                <w:rFonts w:ascii="Century Gothic" w:hAnsi="Century Gothic"/>
                <w:b/>
                <w:bCs/>
                <w:sz w:val="22"/>
                <w:szCs w:val="22"/>
              </w:rPr>
            </w:pPr>
            <w:r w:rsidRPr="00BA1E5F">
              <w:rPr>
                <w:rFonts w:ascii="Century Gothic" w:hAnsi="Century Gothic"/>
                <w:b/>
                <w:bCs/>
                <w:sz w:val="22"/>
                <w:szCs w:val="22"/>
              </w:rPr>
              <w:t>Fecha vencimiento del término</w:t>
            </w:r>
          </w:p>
        </w:tc>
        <w:tc>
          <w:tcPr>
            <w:tcW w:w="5670" w:type="dxa"/>
          </w:tcPr>
          <w:p w14:paraId="41E82979" w14:textId="3508C8AF" w:rsidR="00992368" w:rsidRPr="00BA1E5F" w:rsidRDefault="00485837" w:rsidP="009A6A9B">
            <w:pPr>
              <w:tabs>
                <w:tab w:val="left" w:pos="900"/>
              </w:tabs>
              <w:spacing w:line="276" w:lineRule="auto"/>
              <w:jc w:val="both"/>
              <w:rPr>
                <w:rFonts w:ascii="Century Gothic" w:hAnsi="Century Gothic"/>
                <w:sz w:val="22"/>
                <w:szCs w:val="22"/>
              </w:rPr>
            </w:pPr>
            <w:r>
              <w:rPr>
                <w:rFonts w:ascii="Century Gothic" w:hAnsi="Century Gothic"/>
                <w:sz w:val="22"/>
                <w:szCs w:val="22"/>
              </w:rPr>
              <w:t>8</w:t>
            </w:r>
            <w:r w:rsidR="009A6A9B" w:rsidRPr="00BB3C2C">
              <w:rPr>
                <w:rFonts w:ascii="Century Gothic" w:hAnsi="Century Gothic"/>
                <w:sz w:val="22"/>
                <w:szCs w:val="22"/>
              </w:rPr>
              <w:t xml:space="preserve"> de </w:t>
            </w:r>
            <w:r>
              <w:rPr>
                <w:rFonts w:ascii="Century Gothic" w:hAnsi="Century Gothic"/>
                <w:sz w:val="22"/>
                <w:szCs w:val="22"/>
              </w:rPr>
              <w:t>abril</w:t>
            </w:r>
            <w:r w:rsidR="009A6A9B" w:rsidRPr="00BB3C2C">
              <w:rPr>
                <w:rFonts w:ascii="Century Gothic" w:hAnsi="Century Gothic"/>
                <w:sz w:val="22"/>
                <w:szCs w:val="22"/>
              </w:rPr>
              <w:t xml:space="preserve"> del 2024</w:t>
            </w:r>
          </w:p>
        </w:tc>
      </w:tr>
    </w:tbl>
    <w:p w14:paraId="619AE562" w14:textId="77777777" w:rsidR="00BA1E5F" w:rsidRDefault="00BA1E5F"/>
    <w:p w14:paraId="64A76143" w14:textId="77777777" w:rsidR="00BA1E5F" w:rsidRDefault="00BA1E5F"/>
    <w:tbl>
      <w:tblPr>
        <w:tblStyle w:val="Tablaconcuadrcula"/>
        <w:tblW w:w="10207" w:type="dxa"/>
        <w:tblInd w:w="-431" w:type="dxa"/>
        <w:tblLook w:val="04A0" w:firstRow="1" w:lastRow="0" w:firstColumn="1" w:lastColumn="0" w:noHBand="0" w:noVBand="1"/>
      </w:tblPr>
      <w:tblGrid>
        <w:gridCol w:w="10207"/>
      </w:tblGrid>
      <w:tr w:rsidR="00B2787D" w:rsidRPr="00BA1E5F" w14:paraId="55765E90" w14:textId="77777777" w:rsidTr="0095378E">
        <w:tc>
          <w:tcPr>
            <w:tcW w:w="10207" w:type="dxa"/>
            <w:shd w:val="clear" w:color="auto" w:fill="C5E0B3" w:themeFill="accent6" w:themeFillTint="66"/>
            <w:vAlign w:val="center"/>
          </w:tcPr>
          <w:p w14:paraId="7B465D4D" w14:textId="5CAE6B68" w:rsidR="00B2787D" w:rsidRPr="00BA1E5F" w:rsidRDefault="00B2787D" w:rsidP="00B2787D">
            <w:pPr>
              <w:spacing w:line="276" w:lineRule="auto"/>
              <w:jc w:val="center"/>
              <w:rPr>
                <w:rFonts w:ascii="Century Gothic" w:hAnsi="Century Gothic"/>
                <w:sz w:val="22"/>
                <w:szCs w:val="22"/>
              </w:rPr>
            </w:pPr>
            <w:r w:rsidRPr="00BA1E5F">
              <w:rPr>
                <w:rFonts w:ascii="Century Gothic" w:hAnsi="Century Gothic"/>
                <w:b/>
                <w:bCs/>
                <w:sz w:val="22"/>
                <w:szCs w:val="22"/>
              </w:rPr>
              <w:t>Hechos</w:t>
            </w:r>
            <w:r w:rsidR="007C37D7" w:rsidRPr="00BA1E5F">
              <w:rPr>
                <w:rFonts w:ascii="Century Gothic" w:hAnsi="Century Gothic"/>
                <w:b/>
                <w:bCs/>
                <w:sz w:val="22"/>
                <w:szCs w:val="22"/>
              </w:rPr>
              <w:t xml:space="preserve"> </w:t>
            </w:r>
            <w:r w:rsidR="007C37D7" w:rsidRPr="00BA1E5F">
              <w:rPr>
                <w:rFonts w:ascii="Century Gothic" w:hAnsi="Century Gothic"/>
                <w:sz w:val="22"/>
                <w:szCs w:val="22"/>
              </w:rPr>
              <w:t>(haga un relato conciso y preciso de las circunstancias que rodearon el siniestro, tales como fecha, lugar de los hechos, partes involucrados, póliza, lesiones y/o secuelas)</w:t>
            </w:r>
          </w:p>
        </w:tc>
      </w:tr>
      <w:tr w:rsidR="00B2787D" w:rsidRPr="00BA1E5F" w14:paraId="59EA92D0" w14:textId="77777777" w:rsidTr="006056E7">
        <w:tc>
          <w:tcPr>
            <w:tcW w:w="10207" w:type="dxa"/>
            <w:vAlign w:val="center"/>
          </w:tcPr>
          <w:p w14:paraId="7D5C850F" w14:textId="77777777" w:rsidR="00B2787D" w:rsidRPr="00BA1E5F" w:rsidRDefault="00B2787D" w:rsidP="007C37D7">
            <w:pPr>
              <w:spacing w:line="276" w:lineRule="auto"/>
              <w:jc w:val="center"/>
              <w:rPr>
                <w:rFonts w:ascii="Century Gothic" w:hAnsi="Century Gothic"/>
                <w:sz w:val="22"/>
                <w:szCs w:val="22"/>
              </w:rPr>
            </w:pPr>
          </w:p>
          <w:p w14:paraId="26DCCB13" w14:textId="77777777" w:rsidR="00B2787D" w:rsidRPr="00BA1E5F" w:rsidRDefault="00B2787D" w:rsidP="007C37D7">
            <w:pPr>
              <w:spacing w:line="276" w:lineRule="auto"/>
              <w:jc w:val="center"/>
              <w:rPr>
                <w:rFonts w:ascii="Century Gothic" w:hAnsi="Century Gothic"/>
                <w:sz w:val="22"/>
                <w:szCs w:val="22"/>
              </w:rPr>
            </w:pPr>
          </w:p>
          <w:p w14:paraId="7FBDF58B" w14:textId="465F8F1D" w:rsidR="00485837" w:rsidRPr="00DA65AF" w:rsidRDefault="00E01328" w:rsidP="00485837">
            <w:pPr>
              <w:spacing w:line="276" w:lineRule="auto"/>
              <w:jc w:val="both"/>
              <w:rPr>
                <w:rFonts w:ascii="Century Gothic" w:hAnsi="Century Gothic"/>
                <w:sz w:val="22"/>
                <w:szCs w:val="22"/>
              </w:rPr>
            </w:pPr>
            <w:r w:rsidRPr="00DA65AF">
              <w:rPr>
                <w:rFonts w:ascii="Century Gothic" w:hAnsi="Century Gothic"/>
                <w:sz w:val="22"/>
                <w:szCs w:val="22"/>
              </w:rPr>
              <w:t>El señor José Orlando Vargas Rodríguez (</w:t>
            </w:r>
            <w:proofErr w:type="spellStart"/>
            <w:r w:rsidRPr="00DA65AF">
              <w:rPr>
                <w:rFonts w:ascii="Century Gothic" w:hAnsi="Century Gothic"/>
                <w:sz w:val="22"/>
                <w:szCs w:val="22"/>
              </w:rPr>
              <w:t>q.e.p.d</w:t>
            </w:r>
            <w:proofErr w:type="spellEnd"/>
            <w:r w:rsidRPr="00DA65AF">
              <w:rPr>
                <w:rFonts w:ascii="Century Gothic" w:hAnsi="Century Gothic"/>
                <w:sz w:val="22"/>
                <w:szCs w:val="22"/>
              </w:rPr>
              <w:t>) solicitó un crédito con Bancompartir S.A. el día 19 de enero de 2019 por un valor de $30.000.000. Posteriormente, el día 19 de diciembre de 2020 accedió a un “</w:t>
            </w:r>
            <w:proofErr w:type="spellStart"/>
            <w:r w:rsidRPr="00DA65AF">
              <w:rPr>
                <w:rFonts w:ascii="Century Gothic" w:hAnsi="Century Gothic"/>
                <w:sz w:val="22"/>
                <w:szCs w:val="22"/>
              </w:rPr>
              <w:t>retanqueo</w:t>
            </w:r>
            <w:proofErr w:type="spellEnd"/>
            <w:r w:rsidRPr="00DA65AF">
              <w:rPr>
                <w:rFonts w:ascii="Century Gothic" w:hAnsi="Century Gothic"/>
                <w:sz w:val="22"/>
                <w:szCs w:val="22"/>
              </w:rPr>
              <w:t xml:space="preserve">” del crédito por un valor de $45.00.000, por lo que el día 18 de diciembre del mismo año La Equidad Seguros de Vida S.A. </w:t>
            </w:r>
            <w:r w:rsidR="00DA65AF" w:rsidRPr="00DA65AF">
              <w:rPr>
                <w:rFonts w:ascii="Century Gothic" w:hAnsi="Century Gothic"/>
                <w:sz w:val="22"/>
                <w:szCs w:val="22"/>
              </w:rPr>
              <w:t>emitió la Póliza de Vida Grupo Deudores No. A00005</w:t>
            </w:r>
            <w:r w:rsidR="00AE28C2">
              <w:rPr>
                <w:rFonts w:ascii="Century Gothic" w:hAnsi="Century Gothic"/>
                <w:sz w:val="22"/>
                <w:szCs w:val="22"/>
              </w:rPr>
              <w:t>1</w:t>
            </w:r>
            <w:r w:rsidR="00DA65AF" w:rsidRPr="00DA65AF">
              <w:rPr>
                <w:rFonts w:ascii="Century Gothic" w:hAnsi="Century Gothic"/>
                <w:sz w:val="22"/>
                <w:szCs w:val="22"/>
              </w:rPr>
              <w:t>.</w:t>
            </w:r>
          </w:p>
          <w:p w14:paraId="3CEC3653" w14:textId="77777777" w:rsidR="00DA65AF" w:rsidRPr="00DA65AF" w:rsidRDefault="00DA65AF" w:rsidP="00485837">
            <w:pPr>
              <w:spacing w:line="276" w:lineRule="auto"/>
              <w:jc w:val="both"/>
              <w:rPr>
                <w:rFonts w:ascii="Century Gothic" w:hAnsi="Century Gothic"/>
                <w:sz w:val="22"/>
                <w:szCs w:val="22"/>
              </w:rPr>
            </w:pPr>
          </w:p>
          <w:p w14:paraId="38394530" w14:textId="0ED63477" w:rsidR="00DA65AF" w:rsidRDefault="00DA65AF" w:rsidP="00485837">
            <w:pPr>
              <w:spacing w:line="276" w:lineRule="auto"/>
              <w:jc w:val="both"/>
              <w:rPr>
                <w:rFonts w:ascii="Century Gothic" w:hAnsi="Century Gothic"/>
                <w:sz w:val="22"/>
                <w:szCs w:val="22"/>
              </w:rPr>
            </w:pPr>
            <w:r w:rsidRPr="00DA65AF">
              <w:rPr>
                <w:rFonts w:ascii="Century Gothic" w:hAnsi="Century Gothic"/>
                <w:sz w:val="22"/>
                <w:szCs w:val="22"/>
              </w:rPr>
              <w:t>Posteriormente</w:t>
            </w:r>
            <w:r>
              <w:rPr>
                <w:rFonts w:ascii="Century Gothic" w:hAnsi="Century Gothic"/>
                <w:sz w:val="22"/>
                <w:szCs w:val="22"/>
              </w:rPr>
              <w:t>,</w:t>
            </w:r>
            <w:r w:rsidR="00F95BEC">
              <w:rPr>
                <w:rFonts w:ascii="Century Gothic" w:hAnsi="Century Gothic"/>
                <w:sz w:val="22"/>
                <w:szCs w:val="22"/>
              </w:rPr>
              <w:t xml:space="preserve"> el señor José Orlando Vargas Rodríguez</w:t>
            </w:r>
            <w:r w:rsidR="004C6CB0">
              <w:rPr>
                <w:rFonts w:ascii="Century Gothic" w:hAnsi="Century Gothic"/>
                <w:sz w:val="22"/>
                <w:szCs w:val="22"/>
              </w:rPr>
              <w:t xml:space="preserve"> falleció el día 9 de enero de 2021, por lo que la entidad financiera presentó reclamación a la aseguradora en el mismo mes de enero de 2021, siendo objetada el día 5 de abril de 2021.</w:t>
            </w:r>
          </w:p>
          <w:p w14:paraId="13AED12E" w14:textId="77777777" w:rsidR="004C6CB0" w:rsidRDefault="004C6CB0" w:rsidP="00485837">
            <w:pPr>
              <w:spacing w:line="276" w:lineRule="auto"/>
              <w:jc w:val="both"/>
              <w:rPr>
                <w:rFonts w:ascii="Century Gothic" w:hAnsi="Century Gothic"/>
                <w:sz w:val="22"/>
                <w:szCs w:val="22"/>
              </w:rPr>
            </w:pPr>
          </w:p>
          <w:p w14:paraId="67B49D12" w14:textId="5B0227FF" w:rsidR="00B2787D" w:rsidRDefault="004C6CB0" w:rsidP="009A6A9B">
            <w:pPr>
              <w:spacing w:line="276" w:lineRule="auto"/>
              <w:jc w:val="both"/>
              <w:rPr>
                <w:rFonts w:ascii="Century Gothic" w:hAnsi="Century Gothic"/>
                <w:sz w:val="22"/>
                <w:szCs w:val="22"/>
              </w:rPr>
            </w:pPr>
            <w:r>
              <w:rPr>
                <w:rFonts w:ascii="Century Gothic" w:hAnsi="Century Gothic"/>
                <w:sz w:val="22"/>
                <w:szCs w:val="22"/>
              </w:rPr>
              <w:t>Por otra parte, la esposa e hijos del causante presentaron solicitud de reconsideración a la aseguradora el día 20 de septiembre de 2022, la cual fue nuevamente objetada el día 11 de noviembre de 2022</w:t>
            </w:r>
            <w:r w:rsidR="00AE28C2">
              <w:rPr>
                <w:rFonts w:ascii="Century Gothic" w:hAnsi="Century Gothic"/>
                <w:sz w:val="22"/>
                <w:szCs w:val="22"/>
              </w:rPr>
              <w:t>.</w:t>
            </w:r>
          </w:p>
          <w:p w14:paraId="365C3F6C" w14:textId="77777777" w:rsidR="00AE28C2" w:rsidRDefault="00AE28C2" w:rsidP="009A6A9B">
            <w:pPr>
              <w:spacing w:line="276" w:lineRule="auto"/>
              <w:jc w:val="both"/>
              <w:rPr>
                <w:rFonts w:ascii="Century Gothic" w:hAnsi="Century Gothic"/>
                <w:sz w:val="22"/>
                <w:szCs w:val="22"/>
              </w:rPr>
            </w:pPr>
          </w:p>
          <w:p w14:paraId="0E1BE3FE" w14:textId="29161B81" w:rsidR="00AE28C2" w:rsidRDefault="00AE28C2" w:rsidP="009A6A9B">
            <w:pPr>
              <w:spacing w:line="276" w:lineRule="auto"/>
              <w:jc w:val="both"/>
              <w:rPr>
                <w:rFonts w:ascii="Century Gothic" w:hAnsi="Century Gothic"/>
                <w:sz w:val="22"/>
                <w:szCs w:val="22"/>
              </w:rPr>
            </w:pPr>
            <w:r>
              <w:rPr>
                <w:rFonts w:ascii="Century Gothic" w:hAnsi="Century Gothic"/>
                <w:sz w:val="22"/>
                <w:szCs w:val="22"/>
              </w:rPr>
              <w:t>Bancompartir S.A. inició proceso ejecutivo en contra de la señora Olga Lucía Barrios con ocasión del crédito adeudado que a fecha 6 de febrero de 2023 presentaba un saldo de $102.697.159,74. Por lo anterior, la señora Olga Lucía Barrios presentó solicitud de conciliación ante</w:t>
            </w:r>
            <w:r w:rsidR="00A56BDF">
              <w:rPr>
                <w:rFonts w:ascii="Century Gothic" w:hAnsi="Century Gothic"/>
                <w:sz w:val="22"/>
                <w:szCs w:val="22"/>
              </w:rPr>
              <w:t xml:space="preserve"> </w:t>
            </w:r>
            <w:r>
              <w:rPr>
                <w:rFonts w:ascii="Century Gothic" w:hAnsi="Century Gothic"/>
                <w:sz w:val="22"/>
                <w:szCs w:val="22"/>
              </w:rPr>
              <w:t>la Superintendencia Financiera, teniendo lugar la respectiva audiencia el día 27 de junio de 2023, la cual se declaró fracasada.</w:t>
            </w:r>
          </w:p>
          <w:p w14:paraId="41D49E4C" w14:textId="6586DF2E" w:rsidR="00AE28C2" w:rsidRPr="00BA1E5F" w:rsidRDefault="00AE28C2" w:rsidP="009A6A9B">
            <w:pPr>
              <w:spacing w:line="276" w:lineRule="auto"/>
              <w:jc w:val="both"/>
              <w:rPr>
                <w:rFonts w:ascii="Century Gothic" w:hAnsi="Century Gothic"/>
                <w:sz w:val="22"/>
                <w:szCs w:val="22"/>
              </w:rPr>
            </w:pPr>
            <w:r>
              <w:rPr>
                <w:rFonts w:ascii="Century Gothic" w:hAnsi="Century Gothic"/>
                <w:sz w:val="22"/>
                <w:szCs w:val="22"/>
              </w:rPr>
              <w:lastRenderedPageBreak/>
              <w:t>Finalmente, en el marco del proceso ejecutivo, se llegó a un acuerdo por el valor de $34.000.000.</w:t>
            </w:r>
          </w:p>
          <w:p w14:paraId="4FA5CB23" w14:textId="77777777" w:rsidR="00FD53B3" w:rsidRPr="00BA1E5F" w:rsidRDefault="00FD53B3" w:rsidP="007C37D7">
            <w:pPr>
              <w:spacing w:line="276" w:lineRule="auto"/>
              <w:jc w:val="center"/>
              <w:rPr>
                <w:rFonts w:ascii="Century Gothic" w:hAnsi="Century Gothic"/>
                <w:sz w:val="22"/>
                <w:szCs w:val="22"/>
              </w:rPr>
            </w:pPr>
          </w:p>
          <w:p w14:paraId="285181BA" w14:textId="77777777" w:rsidR="00B2787D" w:rsidRPr="00BA1E5F" w:rsidRDefault="00B2787D" w:rsidP="007C37D7">
            <w:pPr>
              <w:spacing w:line="276" w:lineRule="auto"/>
              <w:jc w:val="center"/>
              <w:rPr>
                <w:rFonts w:ascii="Century Gothic" w:hAnsi="Century Gothic"/>
                <w:sz w:val="22"/>
                <w:szCs w:val="22"/>
              </w:rPr>
            </w:pPr>
          </w:p>
        </w:tc>
      </w:tr>
    </w:tbl>
    <w:p w14:paraId="20C76EE3" w14:textId="77777777" w:rsidR="003827E1" w:rsidRDefault="003827E1"/>
    <w:tbl>
      <w:tblPr>
        <w:tblStyle w:val="Tablaconcuadrcula"/>
        <w:tblW w:w="10207" w:type="dxa"/>
        <w:tblInd w:w="-431" w:type="dxa"/>
        <w:tblLook w:val="04A0" w:firstRow="1" w:lastRow="0" w:firstColumn="1" w:lastColumn="0" w:noHBand="0" w:noVBand="1"/>
      </w:tblPr>
      <w:tblGrid>
        <w:gridCol w:w="4537"/>
        <w:gridCol w:w="5670"/>
      </w:tblGrid>
      <w:tr w:rsidR="007C37D7" w:rsidRPr="00BA1E5F" w14:paraId="2BD14B8D" w14:textId="77777777" w:rsidTr="0095378E">
        <w:tc>
          <w:tcPr>
            <w:tcW w:w="10207" w:type="dxa"/>
            <w:gridSpan w:val="2"/>
            <w:shd w:val="clear" w:color="auto" w:fill="C5E0B3" w:themeFill="accent6" w:themeFillTint="66"/>
            <w:vAlign w:val="center"/>
          </w:tcPr>
          <w:p w14:paraId="00111EA5" w14:textId="08575358" w:rsidR="007C37D7" w:rsidRPr="00BA1E5F" w:rsidRDefault="007C37D7" w:rsidP="007C37D7">
            <w:pPr>
              <w:spacing w:line="276" w:lineRule="auto"/>
              <w:jc w:val="center"/>
              <w:rPr>
                <w:rFonts w:ascii="Century Gothic" w:hAnsi="Century Gothic"/>
                <w:sz w:val="22"/>
                <w:szCs w:val="22"/>
              </w:rPr>
            </w:pPr>
            <w:r w:rsidRPr="00BA1E5F">
              <w:rPr>
                <w:rFonts w:ascii="Century Gothic" w:hAnsi="Century Gothic"/>
                <w:b/>
                <w:bCs/>
                <w:sz w:val="22"/>
                <w:szCs w:val="22"/>
              </w:rPr>
              <w:t xml:space="preserve">Pretensiones </w:t>
            </w:r>
            <w:r w:rsidRPr="00BA1E5F">
              <w:rPr>
                <w:rFonts w:ascii="Century Gothic" w:hAnsi="Century Gothic"/>
                <w:sz w:val="22"/>
                <w:szCs w:val="22"/>
              </w:rPr>
              <w:t>(haga un relato o enliste las pretensiones de la demanda/llamamiento en garantía)</w:t>
            </w:r>
          </w:p>
        </w:tc>
      </w:tr>
      <w:tr w:rsidR="007C37D7" w:rsidRPr="00BA1E5F" w14:paraId="2B7256CB" w14:textId="77777777" w:rsidTr="006056E7">
        <w:tc>
          <w:tcPr>
            <w:tcW w:w="10207" w:type="dxa"/>
            <w:gridSpan w:val="2"/>
            <w:vAlign w:val="center"/>
          </w:tcPr>
          <w:p w14:paraId="11B57CBF" w14:textId="77777777" w:rsidR="007C37D7" w:rsidRDefault="007C37D7" w:rsidP="007C37D7">
            <w:pPr>
              <w:spacing w:line="276" w:lineRule="auto"/>
              <w:jc w:val="center"/>
              <w:rPr>
                <w:rFonts w:ascii="Century Gothic" w:hAnsi="Century Gothic"/>
                <w:sz w:val="22"/>
                <w:szCs w:val="22"/>
              </w:rPr>
            </w:pPr>
          </w:p>
          <w:p w14:paraId="0A801CAA" w14:textId="6FD855C9" w:rsidR="00FD53B3" w:rsidRDefault="000C7EB8" w:rsidP="00280492">
            <w:pPr>
              <w:spacing w:line="276" w:lineRule="auto"/>
              <w:jc w:val="both"/>
              <w:rPr>
                <w:rFonts w:ascii="Century Gothic" w:hAnsi="Century Gothic"/>
                <w:sz w:val="22"/>
                <w:szCs w:val="22"/>
              </w:rPr>
            </w:pPr>
            <w:r>
              <w:rPr>
                <w:rFonts w:ascii="Century Gothic" w:hAnsi="Century Gothic"/>
                <w:sz w:val="22"/>
                <w:szCs w:val="22"/>
              </w:rPr>
              <w:t>-</w:t>
            </w:r>
            <w:r w:rsidR="00280492">
              <w:rPr>
                <w:rFonts w:ascii="Century Gothic" w:hAnsi="Century Gothic"/>
                <w:sz w:val="22"/>
                <w:szCs w:val="22"/>
              </w:rPr>
              <w:t>Solicita que se pague a Bancompartir S.A. la suma de $34.000.000 correspondiente al saldo insoluto</w:t>
            </w:r>
            <w:r>
              <w:rPr>
                <w:rFonts w:ascii="Century Gothic" w:hAnsi="Century Gothic"/>
                <w:sz w:val="22"/>
                <w:szCs w:val="22"/>
              </w:rPr>
              <w:t xml:space="preserve"> del crédito.</w:t>
            </w:r>
          </w:p>
          <w:p w14:paraId="77C06868" w14:textId="7F3718CA" w:rsidR="000C7EB8" w:rsidRPr="00BA1E5F" w:rsidRDefault="000C7EB8" w:rsidP="00280492">
            <w:pPr>
              <w:spacing w:line="276" w:lineRule="auto"/>
              <w:jc w:val="both"/>
              <w:rPr>
                <w:rFonts w:ascii="Century Gothic" w:hAnsi="Century Gothic"/>
                <w:sz w:val="22"/>
                <w:szCs w:val="22"/>
              </w:rPr>
            </w:pPr>
            <w:r>
              <w:rPr>
                <w:rFonts w:ascii="Century Gothic" w:hAnsi="Century Gothic"/>
                <w:sz w:val="22"/>
                <w:szCs w:val="22"/>
              </w:rPr>
              <w:t>-Solicita el pago de intereses moratorios desde el día 9 de febrero de 2021.</w:t>
            </w:r>
          </w:p>
        </w:tc>
      </w:tr>
      <w:tr w:rsidR="00992368" w:rsidRPr="00BA1E5F" w14:paraId="50D1C7A7" w14:textId="77777777" w:rsidTr="003827E1">
        <w:trPr>
          <w:trHeight w:val="510"/>
        </w:trPr>
        <w:tc>
          <w:tcPr>
            <w:tcW w:w="4537" w:type="dxa"/>
            <w:vAlign w:val="center"/>
          </w:tcPr>
          <w:p w14:paraId="013247F4" w14:textId="68D4118C" w:rsidR="00992368" w:rsidRPr="00BA1E5F" w:rsidRDefault="001E1616" w:rsidP="003B7F1A">
            <w:pPr>
              <w:spacing w:line="276" w:lineRule="auto"/>
              <w:rPr>
                <w:rFonts w:ascii="Century Gothic" w:hAnsi="Century Gothic"/>
                <w:b/>
                <w:bCs/>
                <w:sz w:val="22"/>
                <w:szCs w:val="22"/>
              </w:rPr>
            </w:pPr>
            <w:r w:rsidRPr="00BA1E5F">
              <w:rPr>
                <w:rFonts w:ascii="Century Gothic" w:hAnsi="Century Gothic"/>
                <w:b/>
                <w:bCs/>
                <w:sz w:val="22"/>
                <w:szCs w:val="22"/>
              </w:rPr>
              <w:t xml:space="preserve">Valor total de las pretensiones </w:t>
            </w:r>
          </w:p>
        </w:tc>
        <w:tc>
          <w:tcPr>
            <w:tcW w:w="5670" w:type="dxa"/>
            <w:vAlign w:val="center"/>
          </w:tcPr>
          <w:p w14:paraId="00FEFA37" w14:textId="59CB2630" w:rsidR="00992368" w:rsidRPr="00BA1E5F" w:rsidRDefault="009A6A9B" w:rsidP="003827E1">
            <w:pPr>
              <w:spacing w:line="276" w:lineRule="auto"/>
              <w:rPr>
                <w:rFonts w:ascii="Century Gothic" w:hAnsi="Century Gothic"/>
                <w:sz w:val="22"/>
                <w:szCs w:val="22"/>
              </w:rPr>
            </w:pPr>
            <w:r w:rsidRPr="002B0CA1">
              <w:rPr>
                <w:rFonts w:ascii="Century Gothic" w:hAnsi="Century Gothic"/>
                <w:sz w:val="22"/>
                <w:szCs w:val="22"/>
              </w:rPr>
              <w:t>$</w:t>
            </w:r>
            <w:r w:rsidR="00DF24A8">
              <w:rPr>
                <w:rFonts w:ascii="Century Gothic" w:hAnsi="Century Gothic"/>
                <w:sz w:val="22"/>
                <w:szCs w:val="22"/>
              </w:rPr>
              <w:t>7</w:t>
            </w:r>
            <w:r w:rsidR="00790F2A">
              <w:rPr>
                <w:rFonts w:ascii="Century Gothic" w:hAnsi="Century Gothic"/>
                <w:sz w:val="22"/>
                <w:szCs w:val="22"/>
              </w:rPr>
              <w:t>4</w:t>
            </w:r>
            <w:r w:rsidR="00DF24A8">
              <w:rPr>
                <w:rFonts w:ascii="Century Gothic" w:hAnsi="Century Gothic"/>
                <w:sz w:val="22"/>
                <w:szCs w:val="22"/>
              </w:rPr>
              <w:t>.</w:t>
            </w:r>
            <w:r w:rsidR="00790F2A">
              <w:rPr>
                <w:rFonts w:ascii="Century Gothic" w:hAnsi="Century Gothic"/>
                <w:sz w:val="22"/>
                <w:szCs w:val="22"/>
              </w:rPr>
              <w:t>972.204</w:t>
            </w:r>
          </w:p>
        </w:tc>
      </w:tr>
      <w:tr w:rsidR="00992368" w:rsidRPr="00BA1E5F" w14:paraId="668F9413" w14:textId="77777777" w:rsidTr="003827E1">
        <w:trPr>
          <w:trHeight w:val="510"/>
        </w:trPr>
        <w:tc>
          <w:tcPr>
            <w:tcW w:w="4537" w:type="dxa"/>
            <w:vAlign w:val="center"/>
          </w:tcPr>
          <w:p w14:paraId="34E17619" w14:textId="7EF66606" w:rsidR="00992368" w:rsidRPr="00BA1E5F" w:rsidRDefault="00FD53B3" w:rsidP="003B7F1A">
            <w:pPr>
              <w:spacing w:line="276" w:lineRule="auto"/>
              <w:rPr>
                <w:rFonts w:ascii="Century Gothic" w:hAnsi="Century Gothic"/>
                <w:b/>
                <w:bCs/>
                <w:sz w:val="22"/>
                <w:szCs w:val="22"/>
              </w:rPr>
            </w:pPr>
            <w:r w:rsidRPr="00BA1E5F">
              <w:rPr>
                <w:rFonts w:ascii="Century Gothic" w:hAnsi="Century Gothic"/>
                <w:b/>
                <w:bCs/>
                <w:sz w:val="22"/>
                <w:szCs w:val="22"/>
              </w:rPr>
              <w:t>Valor total de las pretensiones objetivadas</w:t>
            </w:r>
          </w:p>
        </w:tc>
        <w:tc>
          <w:tcPr>
            <w:tcW w:w="5670" w:type="dxa"/>
            <w:vAlign w:val="center"/>
          </w:tcPr>
          <w:p w14:paraId="487C6084" w14:textId="6184E82F" w:rsidR="00992368" w:rsidRPr="00BA1E5F" w:rsidRDefault="00FD53B3" w:rsidP="003827E1">
            <w:pPr>
              <w:spacing w:line="276" w:lineRule="auto"/>
              <w:rPr>
                <w:rFonts w:ascii="Century Gothic" w:hAnsi="Century Gothic"/>
                <w:sz w:val="22"/>
                <w:szCs w:val="22"/>
              </w:rPr>
            </w:pPr>
            <w:r w:rsidRPr="000A1774">
              <w:rPr>
                <w:rFonts w:ascii="Century Gothic" w:hAnsi="Century Gothic"/>
                <w:sz w:val="22"/>
                <w:szCs w:val="22"/>
              </w:rPr>
              <w:t>$</w:t>
            </w:r>
            <w:r w:rsidR="003A740B">
              <w:rPr>
                <w:rFonts w:ascii="Century Gothic" w:hAnsi="Century Gothic"/>
                <w:sz w:val="22"/>
                <w:szCs w:val="22"/>
              </w:rPr>
              <w:t>60.591</w:t>
            </w:r>
            <w:r w:rsidR="00C931E1">
              <w:rPr>
                <w:rFonts w:ascii="Century Gothic" w:hAnsi="Century Gothic"/>
                <w:sz w:val="22"/>
                <w:szCs w:val="22"/>
              </w:rPr>
              <w:t>.607</w:t>
            </w:r>
          </w:p>
        </w:tc>
      </w:tr>
    </w:tbl>
    <w:p w14:paraId="146E9C6D" w14:textId="77777777" w:rsidR="0095378E" w:rsidRDefault="0095378E"/>
    <w:tbl>
      <w:tblPr>
        <w:tblStyle w:val="Tablaconcuadrcula"/>
        <w:tblW w:w="10191" w:type="dxa"/>
        <w:tblInd w:w="-431" w:type="dxa"/>
        <w:tblLook w:val="04A0" w:firstRow="1" w:lastRow="0" w:firstColumn="1" w:lastColumn="0" w:noHBand="0" w:noVBand="1"/>
      </w:tblPr>
      <w:tblGrid>
        <w:gridCol w:w="10191"/>
      </w:tblGrid>
      <w:tr w:rsidR="00E802BC" w:rsidRPr="00BA1E5F" w14:paraId="77F9F71B" w14:textId="77777777" w:rsidTr="0095378E">
        <w:trPr>
          <w:trHeight w:val="285"/>
        </w:trPr>
        <w:tc>
          <w:tcPr>
            <w:tcW w:w="10191" w:type="dxa"/>
            <w:shd w:val="clear" w:color="auto" w:fill="C5E0B3" w:themeFill="accent6" w:themeFillTint="66"/>
            <w:vAlign w:val="center"/>
          </w:tcPr>
          <w:p w14:paraId="10E33877" w14:textId="0E982702" w:rsidR="00E802BC" w:rsidRPr="00BA1E5F" w:rsidRDefault="00E802BC" w:rsidP="00E802BC">
            <w:pPr>
              <w:spacing w:line="276" w:lineRule="auto"/>
              <w:jc w:val="center"/>
              <w:rPr>
                <w:rFonts w:ascii="Century Gothic" w:hAnsi="Century Gothic"/>
                <w:sz w:val="22"/>
                <w:szCs w:val="22"/>
              </w:rPr>
            </w:pPr>
            <w:r w:rsidRPr="00BA1E5F">
              <w:rPr>
                <w:rFonts w:ascii="Century Gothic" w:hAnsi="Century Gothic"/>
                <w:b/>
                <w:bCs/>
                <w:sz w:val="22"/>
                <w:szCs w:val="22"/>
              </w:rPr>
              <w:t>Liquidación de las pretensiones objetivadas</w:t>
            </w:r>
          </w:p>
        </w:tc>
      </w:tr>
      <w:tr w:rsidR="00E802BC" w:rsidRPr="00BA1E5F" w14:paraId="33786C43" w14:textId="77777777" w:rsidTr="0095378E">
        <w:trPr>
          <w:trHeight w:val="6406"/>
        </w:trPr>
        <w:tc>
          <w:tcPr>
            <w:tcW w:w="10191" w:type="dxa"/>
            <w:vAlign w:val="center"/>
          </w:tcPr>
          <w:p w14:paraId="14A1CEE7" w14:textId="42CC50BB" w:rsidR="009A6A9B" w:rsidRPr="009A6A9B" w:rsidRDefault="009A6A9B" w:rsidP="009A6A9B">
            <w:pPr>
              <w:spacing w:line="276" w:lineRule="auto"/>
              <w:jc w:val="both"/>
              <w:rPr>
                <w:rFonts w:ascii="Century Gothic" w:hAnsi="Century Gothic"/>
                <w:sz w:val="22"/>
                <w:szCs w:val="22"/>
              </w:rPr>
            </w:pPr>
            <w:r>
              <w:rPr>
                <w:rFonts w:ascii="Century Gothic" w:hAnsi="Century Gothic"/>
                <w:sz w:val="22"/>
                <w:szCs w:val="22"/>
              </w:rPr>
              <w:t>La</w:t>
            </w:r>
            <w:r w:rsidRPr="009A6A9B">
              <w:rPr>
                <w:rFonts w:ascii="Century Gothic" w:hAnsi="Century Gothic"/>
                <w:sz w:val="22"/>
                <w:szCs w:val="22"/>
              </w:rPr>
              <w:t xml:space="preserve"> liquidación objetiva de las pretensiones asciende al valor </w:t>
            </w:r>
            <w:r w:rsidRPr="000A1774">
              <w:rPr>
                <w:rFonts w:ascii="Century Gothic" w:hAnsi="Century Gothic"/>
                <w:sz w:val="22"/>
                <w:szCs w:val="22"/>
              </w:rPr>
              <w:t>de $</w:t>
            </w:r>
            <w:r w:rsidR="00142ED0">
              <w:rPr>
                <w:rFonts w:ascii="Century Gothic" w:hAnsi="Century Gothic"/>
                <w:sz w:val="22"/>
                <w:szCs w:val="22"/>
              </w:rPr>
              <w:t>60.591.607</w:t>
            </w:r>
            <w:r w:rsidRPr="009A6A9B">
              <w:rPr>
                <w:rFonts w:ascii="Century Gothic" w:hAnsi="Century Gothic"/>
                <w:sz w:val="22"/>
                <w:szCs w:val="22"/>
              </w:rPr>
              <w:t>, al cual se llegó de la siguiente manera</w:t>
            </w:r>
          </w:p>
          <w:p w14:paraId="1E8B3628" w14:textId="77777777" w:rsidR="009A6A9B" w:rsidRPr="009A6A9B" w:rsidRDefault="009A6A9B" w:rsidP="009A6A9B">
            <w:pPr>
              <w:spacing w:line="276" w:lineRule="auto"/>
              <w:jc w:val="both"/>
              <w:rPr>
                <w:rFonts w:ascii="Century Gothic" w:hAnsi="Century Gothic"/>
                <w:sz w:val="22"/>
                <w:szCs w:val="22"/>
              </w:rPr>
            </w:pPr>
          </w:p>
          <w:p w14:paraId="5DA965E2" w14:textId="0EF69FDD" w:rsidR="009A6A9B" w:rsidRDefault="009A6A9B" w:rsidP="009A6A9B">
            <w:pPr>
              <w:spacing w:line="276" w:lineRule="auto"/>
              <w:jc w:val="both"/>
              <w:rPr>
                <w:rFonts w:ascii="Century Gothic" w:hAnsi="Century Gothic"/>
                <w:sz w:val="22"/>
                <w:szCs w:val="22"/>
              </w:rPr>
            </w:pPr>
            <w:r w:rsidRPr="009A6A9B">
              <w:rPr>
                <w:rFonts w:ascii="Century Gothic" w:hAnsi="Century Gothic"/>
                <w:sz w:val="22"/>
                <w:szCs w:val="22"/>
              </w:rPr>
              <w:t>•</w:t>
            </w:r>
            <w:r w:rsidRPr="009A6A9B">
              <w:rPr>
                <w:rFonts w:ascii="Century Gothic" w:hAnsi="Century Gothic"/>
                <w:sz w:val="22"/>
                <w:szCs w:val="22"/>
              </w:rPr>
              <w:tab/>
            </w:r>
            <w:r w:rsidR="009A4CCD" w:rsidRPr="009A4CCD">
              <w:rPr>
                <w:rFonts w:ascii="Century Gothic" w:hAnsi="Century Gothic"/>
                <w:b/>
                <w:bCs/>
                <w:sz w:val="22"/>
                <w:szCs w:val="22"/>
              </w:rPr>
              <w:t>Capital adeudado</w:t>
            </w:r>
            <w:r w:rsidRPr="009A6A9B">
              <w:rPr>
                <w:rFonts w:ascii="Century Gothic" w:hAnsi="Century Gothic"/>
                <w:b/>
                <w:bCs/>
                <w:sz w:val="22"/>
                <w:szCs w:val="22"/>
              </w:rPr>
              <w:t>:</w:t>
            </w:r>
            <w:r w:rsidRPr="009A6A9B">
              <w:rPr>
                <w:rFonts w:ascii="Century Gothic" w:hAnsi="Century Gothic"/>
                <w:sz w:val="22"/>
                <w:szCs w:val="22"/>
              </w:rPr>
              <w:t xml:space="preserve"> $</w:t>
            </w:r>
            <w:r w:rsidR="009A4CCD">
              <w:rPr>
                <w:rFonts w:ascii="Century Gothic" w:hAnsi="Century Gothic"/>
                <w:sz w:val="22"/>
                <w:szCs w:val="22"/>
              </w:rPr>
              <w:t>34.000.000</w:t>
            </w:r>
          </w:p>
          <w:p w14:paraId="3A95FD20" w14:textId="77777777" w:rsidR="009A4CCD" w:rsidRDefault="009A4CCD" w:rsidP="009A6A9B">
            <w:pPr>
              <w:spacing w:line="276" w:lineRule="auto"/>
              <w:jc w:val="both"/>
              <w:rPr>
                <w:rFonts w:ascii="Century Gothic" w:hAnsi="Century Gothic"/>
                <w:sz w:val="22"/>
                <w:szCs w:val="22"/>
              </w:rPr>
            </w:pPr>
          </w:p>
          <w:p w14:paraId="0E4D1480" w14:textId="43570796" w:rsidR="009A4CCD" w:rsidRDefault="009A4CCD" w:rsidP="009A6A9B">
            <w:pPr>
              <w:spacing w:line="276" w:lineRule="auto"/>
              <w:jc w:val="both"/>
              <w:rPr>
                <w:rFonts w:ascii="Century Gothic" w:hAnsi="Century Gothic"/>
                <w:sz w:val="22"/>
                <w:szCs w:val="22"/>
              </w:rPr>
            </w:pPr>
            <w:r>
              <w:rPr>
                <w:rFonts w:ascii="Century Gothic" w:hAnsi="Century Gothic"/>
                <w:sz w:val="22"/>
                <w:szCs w:val="22"/>
              </w:rPr>
              <w:t>Se reconoce el valor de $34.000.000 a favor de la parte demandante, pues si bien no se constata la prueba trasladada del proceso ejecutivo o el contrato de transacción que dé cuenta del acuerdo celebrado entre la parte actora y la entidad financiera, puede verificarse en los anexos de la demanda el comprobante del pago realizado por el valor mencionado bajo el concepto “pago de negociación”. Además, se aporta la captura de pantalla de un correo electrónico denominado “Propuesta de pago José Orlando Vargas” en el que la funcionaria Katherine Ortiz de Bancompartir S.A. refiere la aprobación del acuerdo por la suma antes referida.</w:t>
            </w:r>
          </w:p>
          <w:p w14:paraId="6F12A5B1" w14:textId="77777777" w:rsidR="009A6A9B" w:rsidRPr="009A6A9B" w:rsidRDefault="009A6A9B" w:rsidP="009A6A9B">
            <w:pPr>
              <w:spacing w:line="276" w:lineRule="auto"/>
              <w:jc w:val="both"/>
              <w:rPr>
                <w:rFonts w:ascii="Century Gothic" w:hAnsi="Century Gothic"/>
                <w:sz w:val="22"/>
                <w:szCs w:val="22"/>
              </w:rPr>
            </w:pPr>
          </w:p>
          <w:p w14:paraId="396B58DC" w14:textId="3341E0DD" w:rsidR="009A6A9B" w:rsidRDefault="009A6A9B" w:rsidP="009A6A9B">
            <w:pPr>
              <w:spacing w:line="276" w:lineRule="auto"/>
              <w:jc w:val="both"/>
              <w:rPr>
                <w:rFonts w:ascii="Century Gothic" w:hAnsi="Century Gothic"/>
                <w:sz w:val="22"/>
                <w:szCs w:val="22"/>
              </w:rPr>
            </w:pPr>
            <w:r w:rsidRPr="009A6A9B">
              <w:rPr>
                <w:rFonts w:ascii="Century Gothic" w:hAnsi="Century Gothic"/>
                <w:sz w:val="22"/>
                <w:szCs w:val="22"/>
              </w:rPr>
              <w:t>•</w:t>
            </w:r>
            <w:r w:rsidRPr="009A6A9B">
              <w:rPr>
                <w:rFonts w:ascii="Century Gothic" w:hAnsi="Century Gothic"/>
                <w:sz w:val="22"/>
                <w:szCs w:val="22"/>
              </w:rPr>
              <w:tab/>
            </w:r>
            <w:r w:rsidR="009A4CCD" w:rsidRPr="009A4CCD">
              <w:rPr>
                <w:rFonts w:ascii="Century Gothic" w:hAnsi="Century Gothic"/>
                <w:b/>
                <w:bCs/>
                <w:sz w:val="22"/>
                <w:szCs w:val="22"/>
              </w:rPr>
              <w:t xml:space="preserve">Intereses </w:t>
            </w:r>
            <w:r w:rsidR="009A4CCD" w:rsidRPr="000A1774">
              <w:rPr>
                <w:rFonts w:ascii="Century Gothic" w:hAnsi="Century Gothic"/>
                <w:b/>
                <w:bCs/>
                <w:sz w:val="22"/>
                <w:szCs w:val="22"/>
              </w:rPr>
              <w:t>de mora</w:t>
            </w:r>
            <w:r w:rsidRPr="000A1774">
              <w:rPr>
                <w:rFonts w:ascii="Century Gothic" w:hAnsi="Century Gothic"/>
                <w:b/>
                <w:bCs/>
                <w:sz w:val="22"/>
                <w:szCs w:val="22"/>
              </w:rPr>
              <w:t>:</w:t>
            </w:r>
            <w:r w:rsidRPr="000A1774">
              <w:rPr>
                <w:rFonts w:ascii="Century Gothic" w:hAnsi="Century Gothic"/>
                <w:sz w:val="22"/>
                <w:szCs w:val="22"/>
              </w:rPr>
              <w:t xml:space="preserve"> $</w:t>
            </w:r>
            <w:r w:rsidR="00964135">
              <w:rPr>
                <w:rFonts w:ascii="Century Gothic" w:hAnsi="Century Gothic"/>
                <w:sz w:val="22"/>
                <w:szCs w:val="22"/>
              </w:rPr>
              <w:t>26.591.607</w:t>
            </w:r>
          </w:p>
          <w:p w14:paraId="17BED2A9" w14:textId="77777777" w:rsidR="009A6A9B" w:rsidRDefault="009A6A9B" w:rsidP="009A6A9B">
            <w:pPr>
              <w:spacing w:line="276" w:lineRule="auto"/>
              <w:jc w:val="both"/>
              <w:rPr>
                <w:rFonts w:ascii="Century Gothic" w:hAnsi="Century Gothic"/>
                <w:sz w:val="22"/>
                <w:szCs w:val="22"/>
              </w:rPr>
            </w:pPr>
          </w:p>
          <w:p w14:paraId="3863FF36" w14:textId="455A5A61" w:rsidR="00974CD2" w:rsidRPr="009A6A9B" w:rsidRDefault="000A1774" w:rsidP="009A6A9B">
            <w:pPr>
              <w:spacing w:line="276" w:lineRule="auto"/>
              <w:jc w:val="both"/>
              <w:rPr>
                <w:rFonts w:ascii="Century Gothic" w:hAnsi="Century Gothic"/>
                <w:sz w:val="22"/>
                <w:szCs w:val="22"/>
              </w:rPr>
            </w:pPr>
            <w:r>
              <w:rPr>
                <w:rFonts w:ascii="Century Gothic" w:hAnsi="Century Gothic"/>
                <w:sz w:val="22"/>
                <w:szCs w:val="22"/>
              </w:rPr>
              <w:t xml:space="preserve">La liquidación de los intereses moratorios se efectúa desde el día </w:t>
            </w:r>
            <w:r w:rsidR="000C7A7E">
              <w:rPr>
                <w:rFonts w:ascii="Century Gothic" w:hAnsi="Century Gothic"/>
                <w:sz w:val="22"/>
                <w:szCs w:val="22"/>
              </w:rPr>
              <w:t>20 de octubre de 2022</w:t>
            </w:r>
            <w:r>
              <w:rPr>
                <w:rFonts w:ascii="Century Gothic" w:hAnsi="Century Gothic"/>
                <w:sz w:val="22"/>
                <w:szCs w:val="22"/>
              </w:rPr>
              <w:t xml:space="preserve">, </w:t>
            </w:r>
            <w:r w:rsidR="003B0B32">
              <w:rPr>
                <w:rFonts w:ascii="Century Gothic" w:hAnsi="Century Gothic"/>
                <w:sz w:val="22"/>
                <w:szCs w:val="22"/>
              </w:rPr>
              <w:t xml:space="preserve">un mes después de haberse presentado la reclamación por parte de la demandante. </w:t>
            </w:r>
            <w:r>
              <w:rPr>
                <w:rFonts w:ascii="Century Gothic" w:hAnsi="Century Gothic"/>
                <w:sz w:val="22"/>
                <w:szCs w:val="22"/>
              </w:rPr>
              <w:t xml:space="preserve"> Dicho cálculo hasta el día de la presente liquidación, </w:t>
            </w:r>
            <w:r w:rsidR="006441AB">
              <w:rPr>
                <w:rFonts w:ascii="Century Gothic" w:hAnsi="Century Gothic"/>
                <w:sz w:val="22"/>
                <w:szCs w:val="22"/>
              </w:rPr>
              <w:t>8</w:t>
            </w:r>
            <w:r>
              <w:rPr>
                <w:rFonts w:ascii="Century Gothic" w:hAnsi="Century Gothic"/>
                <w:sz w:val="22"/>
                <w:szCs w:val="22"/>
              </w:rPr>
              <w:t xml:space="preserve"> de mayo de 2025, da un valor total de $</w:t>
            </w:r>
            <w:r w:rsidR="006441AB">
              <w:rPr>
                <w:rFonts w:ascii="Century Gothic" w:hAnsi="Century Gothic"/>
                <w:sz w:val="22"/>
                <w:szCs w:val="22"/>
              </w:rPr>
              <w:t>26</w:t>
            </w:r>
            <w:r w:rsidR="000A232F">
              <w:rPr>
                <w:rFonts w:ascii="Century Gothic" w:hAnsi="Century Gothic"/>
                <w:sz w:val="22"/>
                <w:szCs w:val="22"/>
              </w:rPr>
              <w:t>.591.607</w:t>
            </w:r>
            <w:r>
              <w:rPr>
                <w:rFonts w:ascii="Century Gothic" w:hAnsi="Century Gothic"/>
                <w:sz w:val="22"/>
                <w:szCs w:val="22"/>
              </w:rPr>
              <w:t>.</w:t>
            </w:r>
          </w:p>
          <w:p w14:paraId="7A4964FA" w14:textId="77777777" w:rsidR="009A6A9B" w:rsidRPr="009A6A9B" w:rsidRDefault="009A6A9B" w:rsidP="009A6A9B">
            <w:pPr>
              <w:spacing w:line="276" w:lineRule="auto"/>
              <w:jc w:val="both"/>
              <w:rPr>
                <w:rFonts w:ascii="Century Gothic" w:hAnsi="Century Gothic"/>
                <w:sz w:val="22"/>
                <w:szCs w:val="22"/>
              </w:rPr>
            </w:pPr>
          </w:p>
          <w:p w14:paraId="6CB3B404" w14:textId="5A1AE93D" w:rsidR="000A1774" w:rsidRPr="00BA1E5F" w:rsidRDefault="000A1774" w:rsidP="000A1774">
            <w:pPr>
              <w:spacing w:line="276" w:lineRule="auto"/>
              <w:jc w:val="both"/>
              <w:rPr>
                <w:rFonts w:ascii="Century Gothic" w:hAnsi="Century Gothic"/>
                <w:sz w:val="22"/>
                <w:szCs w:val="22"/>
              </w:rPr>
            </w:pPr>
          </w:p>
          <w:p w14:paraId="31FF8AB1" w14:textId="0B193FB5" w:rsidR="00E802BC" w:rsidRPr="00BA1E5F" w:rsidRDefault="00E802BC" w:rsidP="009A6A9B">
            <w:pPr>
              <w:spacing w:line="276" w:lineRule="auto"/>
              <w:jc w:val="both"/>
              <w:rPr>
                <w:rFonts w:ascii="Century Gothic" w:hAnsi="Century Gothic"/>
                <w:sz w:val="22"/>
                <w:szCs w:val="22"/>
              </w:rPr>
            </w:pPr>
          </w:p>
        </w:tc>
      </w:tr>
    </w:tbl>
    <w:p w14:paraId="7273C5A1" w14:textId="77777777" w:rsidR="0095378E" w:rsidRDefault="0095378E"/>
    <w:tbl>
      <w:tblPr>
        <w:tblStyle w:val="Tablaconcuadrcula"/>
        <w:tblW w:w="10207" w:type="dxa"/>
        <w:tblInd w:w="-431" w:type="dxa"/>
        <w:tblLook w:val="04A0" w:firstRow="1" w:lastRow="0" w:firstColumn="1" w:lastColumn="0" w:noHBand="0" w:noVBand="1"/>
      </w:tblPr>
      <w:tblGrid>
        <w:gridCol w:w="10207"/>
      </w:tblGrid>
      <w:tr w:rsidR="003B7F1A" w:rsidRPr="00BA1E5F" w14:paraId="05674BEA" w14:textId="77777777" w:rsidTr="0095378E">
        <w:trPr>
          <w:trHeight w:val="321"/>
        </w:trPr>
        <w:tc>
          <w:tcPr>
            <w:tcW w:w="10207" w:type="dxa"/>
            <w:shd w:val="clear" w:color="auto" w:fill="C5E0B3" w:themeFill="accent6" w:themeFillTint="66"/>
            <w:vAlign w:val="center"/>
          </w:tcPr>
          <w:p w14:paraId="2BB97918" w14:textId="52E94393" w:rsidR="003B7F1A" w:rsidRPr="00BA1E5F" w:rsidRDefault="003B7F1A" w:rsidP="003B7F1A">
            <w:pPr>
              <w:spacing w:line="276" w:lineRule="auto"/>
              <w:jc w:val="center"/>
              <w:rPr>
                <w:rFonts w:ascii="Century Gothic" w:hAnsi="Century Gothic"/>
                <w:sz w:val="22"/>
                <w:szCs w:val="22"/>
              </w:rPr>
            </w:pPr>
            <w:r w:rsidRPr="00BA1E5F">
              <w:rPr>
                <w:rFonts w:ascii="Century Gothic" w:hAnsi="Century Gothic"/>
                <w:b/>
                <w:bCs/>
                <w:sz w:val="22"/>
                <w:szCs w:val="22"/>
              </w:rPr>
              <w:t>Excepciones</w:t>
            </w:r>
          </w:p>
        </w:tc>
      </w:tr>
      <w:tr w:rsidR="003B7F1A" w:rsidRPr="00BA1E5F" w14:paraId="4AAD7549" w14:textId="77777777" w:rsidTr="0095378E">
        <w:trPr>
          <w:trHeight w:val="3906"/>
        </w:trPr>
        <w:tc>
          <w:tcPr>
            <w:tcW w:w="10207" w:type="dxa"/>
            <w:vAlign w:val="center"/>
          </w:tcPr>
          <w:p w14:paraId="56309A42" w14:textId="123FFC42" w:rsidR="000A1774" w:rsidRPr="00BA1E5F" w:rsidRDefault="000A1774" w:rsidP="000A1774">
            <w:pPr>
              <w:pStyle w:val="Prrafodelista"/>
              <w:spacing w:line="276" w:lineRule="auto"/>
              <w:ind w:left="1065"/>
              <w:jc w:val="both"/>
              <w:rPr>
                <w:rFonts w:ascii="Century Gothic" w:hAnsi="Century Gothic"/>
                <w:sz w:val="22"/>
                <w:szCs w:val="22"/>
              </w:rPr>
            </w:pPr>
          </w:p>
          <w:p w14:paraId="2C088771" w14:textId="77777777" w:rsidR="000A1774" w:rsidRPr="000A1774" w:rsidRDefault="000A1774" w:rsidP="000A1774">
            <w:pPr>
              <w:pStyle w:val="Prrafodelista"/>
              <w:numPr>
                <w:ilvl w:val="0"/>
                <w:numId w:val="2"/>
              </w:numPr>
              <w:autoSpaceDE w:val="0"/>
              <w:autoSpaceDN w:val="0"/>
              <w:adjustRightInd w:val="0"/>
              <w:spacing w:after="200"/>
              <w:jc w:val="both"/>
              <w:rPr>
                <w:rFonts w:ascii="Century Gothic" w:hAnsi="Century Gothic" w:cs="Calisto MT"/>
                <w:color w:val="000000"/>
                <w:sz w:val="22"/>
                <w:szCs w:val="22"/>
              </w:rPr>
            </w:pPr>
            <w:r w:rsidRPr="000A1774">
              <w:rPr>
                <w:rFonts w:ascii="Century Gothic" w:hAnsi="Century Gothic" w:cs="Calisto MT"/>
                <w:color w:val="000000"/>
                <w:sz w:val="22"/>
                <w:szCs w:val="22"/>
              </w:rPr>
              <w:t>PRESCRIPCIÓN DE LAS ACCIONES DERIVADAS DEL CONTRATO DE SEGURO DE VIDA GRUPO DEUDORES CON CERTIFICADO INDIVIDUAL A NOMBRE DEL SR. JOSE ROLANDO VARGAS RODRIGUEZ (Q.E.P.D) - (SOLICITUD DE SENTENCIA ANTICIPADA)</w:t>
            </w:r>
          </w:p>
          <w:p w14:paraId="7658B728" w14:textId="46A3201F" w:rsidR="000A1774" w:rsidRPr="000A1774" w:rsidRDefault="000A1774" w:rsidP="000A1774">
            <w:pPr>
              <w:pStyle w:val="Prrafodelista"/>
              <w:numPr>
                <w:ilvl w:val="0"/>
                <w:numId w:val="2"/>
              </w:numPr>
              <w:spacing w:after="200"/>
              <w:jc w:val="both"/>
              <w:rPr>
                <w:rFonts w:ascii="Century Gothic" w:hAnsi="Century Gothic"/>
                <w:sz w:val="22"/>
                <w:szCs w:val="22"/>
                <w:lang w:val="es-ES"/>
              </w:rPr>
            </w:pPr>
            <w:r w:rsidRPr="000A1774">
              <w:rPr>
                <w:rFonts w:ascii="Century Gothic" w:hAnsi="Century Gothic"/>
                <w:sz w:val="22"/>
                <w:szCs w:val="22"/>
                <w:lang w:val="es-ES"/>
              </w:rPr>
              <w:t>FALTA DE LEGTIMACIÓN EN LA CAUSA POR ACTIVA Y POR PASIVA</w:t>
            </w:r>
          </w:p>
          <w:p w14:paraId="44775F82" w14:textId="77777777" w:rsidR="000A1774" w:rsidRPr="000A1774" w:rsidRDefault="000A1774" w:rsidP="000A1774">
            <w:pPr>
              <w:pStyle w:val="Prrafodelista"/>
              <w:numPr>
                <w:ilvl w:val="0"/>
                <w:numId w:val="2"/>
              </w:numPr>
              <w:autoSpaceDE w:val="0"/>
              <w:autoSpaceDN w:val="0"/>
              <w:adjustRightInd w:val="0"/>
              <w:spacing w:after="200"/>
              <w:jc w:val="both"/>
              <w:rPr>
                <w:rFonts w:ascii="Century Gothic" w:hAnsi="Century Gothic" w:cs="Calisto MT"/>
                <w:bCs/>
                <w:sz w:val="22"/>
                <w:szCs w:val="22"/>
              </w:rPr>
            </w:pPr>
            <w:r w:rsidRPr="000A1774">
              <w:rPr>
                <w:rFonts w:ascii="Century Gothic" w:hAnsi="Century Gothic" w:cs="Calisto MT"/>
                <w:bCs/>
                <w:color w:val="000000"/>
                <w:sz w:val="22"/>
                <w:szCs w:val="22"/>
              </w:rPr>
              <w:t xml:space="preserve">INEXISTENCIA DE OBLIGACIÓN A CARGO DE SEGUROS DE VIDA LA EQUIDAD SEGUROS DE VIDA O.C. POR INCUMPLIMIENTO DE LA OBLIGACIÓN SUSTANCIAL POR PARTE DEL ASEGURADO DE DECLARAR SU VERDADERO ESTADO DEL RIESGO Y DE PAGAR LA PRIMA ADECUADA PARA EL </w:t>
            </w:r>
            <w:r w:rsidRPr="000A1774">
              <w:rPr>
                <w:rFonts w:ascii="Century Gothic" w:hAnsi="Century Gothic" w:cs="Calisto MT"/>
                <w:bCs/>
                <w:sz w:val="22"/>
                <w:szCs w:val="22"/>
              </w:rPr>
              <w:t xml:space="preserve">VERDADERO ESTADO DEL RIESGO – APLICACIÓN DE LA EXCEPCIÓN DE CONTRATO NO CUMPLIDO (ART. 1609 C.C.) </w:t>
            </w:r>
          </w:p>
          <w:p w14:paraId="3297E04F" w14:textId="77777777" w:rsidR="000A1774" w:rsidRPr="000A1774" w:rsidRDefault="000A1774" w:rsidP="000A1774">
            <w:pPr>
              <w:pStyle w:val="Prrafodelista"/>
              <w:numPr>
                <w:ilvl w:val="0"/>
                <w:numId w:val="2"/>
              </w:numPr>
              <w:spacing w:after="200"/>
              <w:ind w:right="-376"/>
              <w:jc w:val="both"/>
              <w:rPr>
                <w:rFonts w:ascii="Century Gothic" w:hAnsi="Century Gothic"/>
                <w:bCs/>
                <w:sz w:val="22"/>
                <w:szCs w:val="22"/>
              </w:rPr>
            </w:pPr>
            <w:r w:rsidRPr="000A1774">
              <w:rPr>
                <w:rFonts w:ascii="Century Gothic" w:hAnsi="Century Gothic"/>
                <w:bCs/>
                <w:sz w:val="22"/>
                <w:szCs w:val="22"/>
              </w:rPr>
              <w:t>INEXISTENCIA DE RIESGO INCIERTO Y FUTURO QUE PUDIERA SER OBJETO DE ASEGURAMIENTO.</w:t>
            </w:r>
          </w:p>
          <w:p w14:paraId="078507A0" w14:textId="77777777" w:rsidR="000A1774" w:rsidRPr="000A1774" w:rsidRDefault="000A1774" w:rsidP="000A1774">
            <w:pPr>
              <w:pStyle w:val="Prrafodelista"/>
              <w:numPr>
                <w:ilvl w:val="0"/>
                <w:numId w:val="2"/>
              </w:numPr>
              <w:spacing w:after="200"/>
              <w:ind w:right="-376"/>
              <w:jc w:val="both"/>
              <w:rPr>
                <w:rFonts w:ascii="Century Gothic" w:hAnsi="Century Gothic"/>
                <w:bCs/>
                <w:sz w:val="22"/>
                <w:szCs w:val="22"/>
              </w:rPr>
            </w:pPr>
            <w:bookmarkStart w:id="0" w:name="_Hlk38980768"/>
            <w:r w:rsidRPr="000A1774">
              <w:rPr>
                <w:rFonts w:ascii="Century Gothic" w:hAnsi="Century Gothic"/>
                <w:bCs/>
                <w:sz w:val="22"/>
                <w:szCs w:val="22"/>
              </w:rPr>
              <w:t>AUSENCIA DE COBERTURA POR EXCLUSIONES EXPRESAS</w:t>
            </w:r>
            <w:bookmarkStart w:id="1" w:name="_Hlk19095184"/>
            <w:bookmarkEnd w:id="0"/>
          </w:p>
          <w:p w14:paraId="15823F33" w14:textId="77777777" w:rsidR="000A1774" w:rsidRPr="000A1774" w:rsidRDefault="000A1774" w:rsidP="000A1774">
            <w:pPr>
              <w:pStyle w:val="Prrafodelista"/>
              <w:numPr>
                <w:ilvl w:val="0"/>
                <w:numId w:val="2"/>
              </w:numPr>
              <w:spacing w:after="200"/>
              <w:ind w:right="-376"/>
              <w:jc w:val="both"/>
              <w:rPr>
                <w:rFonts w:ascii="Century Gothic" w:hAnsi="Century Gothic"/>
                <w:bCs/>
                <w:sz w:val="22"/>
                <w:szCs w:val="22"/>
              </w:rPr>
            </w:pPr>
            <w:r w:rsidRPr="000A1774">
              <w:rPr>
                <w:rFonts w:ascii="Century Gothic" w:hAnsi="Century Gothic"/>
                <w:bCs/>
                <w:sz w:val="22"/>
                <w:szCs w:val="22"/>
              </w:rPr>
              <w:t xml:space="preserve">BUENA FE CONTRACTUAL DE LA EQUIDAD SEGUROS VIDA O.C. AL MOMENTO DE EXPEDIR EL SEGURO DE VIDA DEUDOR </w:t>
            </w:r>
            <w:bookmarkStart w:id="2" w:name="_Hlk19095192"/>
          </w:p>
          <w:p w14:paraId="40BF323D" w14:textId="77777777" w:rsidR="000A1774" w:rsidRPr="000A1774" w:rsidRDefault="000A1774" w:rsidP="000A1774">
            <w:pPr>
              <w:pStyle w:val="Prrafodelista"/>
              <w:numPr>
                <w:ilvl w:val="0"/>
                <w:numId w:val="2"/>
              </w:numPr>
              <w:spacing w:after="200"/>
              <w:ind w:right="-376"/>
              <w:jc w:val="both"/>
              <w:rPr>
                <w:rFonts w:ascii="Century Gothic" w:hAnsi="Century Gothic"/>
                <w:bCs/>
                <w:sz w:val="22"/>
                <w:szCs w:val="22"/>
              </w:rPr>
            </w:pPr>
            <w:r w:rsidRPr="000A1774">
              <w:rPr>
                <w:rFonts w:ascii="Century Gothic" w:hAnsi="Century Gothic"/>
                <w:bCs/>
                <w:sz w:val="22"/>
                <w:szCs w:val="22"/>
              </w:rPr>
              <w:t xml:space="preserve">NULIDAD RELATIVA DEL CONTRATO DE SEGURO VIDA GRUPO DEUDORES POR DECLRACION RETICENTE O INEXACTA POR EL SEÑOR </w:t>
            </w:r>
            <w:r w:rsidRPr="000A1774">
              <w:rPr>
                <w:rFonts w:ascii="Century Gothic" w:hAnsi="Century Gothic" w:cs="Calisto MT"/>
                <w:bCs/>
                <w:color w:val="000000"/>
                <w:sz w:val="22"/>
                <w:szCs w:val="22"/>
              </w:rPr>
              <w:t xml:space="preserve">JOSE ORLANDO VARGAS RODRIGUEZ </w:t>
            </w:r>
            <w:r w:rsidRPr="000A1774">
              <w:rPr>
                <w:rFonts w:ascii="Century Gothic" w:hAnsi="Century Gothic"/>
                <w:bCs/>
                <w:sz w:val="22"/>
                <w:szCs w:val="22"/>
              </w:rPr>
              <w:t>(Q.E.P.D) QUIEN CONTABA CON DIAGSNOTICOS Y/O ENFERMEDADES ANTES DE LA SUSCRIPCION DEL CONTRATO DE SEGURO, CIRCUNSTANCIAS QUE NO FUERON DECLARADAS SINCERAMENTE A LA EQUIDAD SEGUROS DE VIDA O.C.</w:t>
            </w:r>
          </w:p>
          <w:p w14:paraId="01F7162C" w14:textId="77777777" w:rsidR="000A1774" w:rsidRPr="000A1774" w:rsidRDefault="000A1774" w:rsidP="000A1774">
            <w:pPr>
              <w:pStyle w:val="Prrafodelista"/>
              <w:numPr>
                <w:ilvl w:val="0"/>
                <w:numId w:val="2"/>
              </w:numPr>
              <w:spacing w:after="200"/>
              <w:ind w:right="-376"/>
              <w:jc w:val="both"/>
              <w:rPr>
                <w:rFonts w:ascii="Century Gothic" w:hAnsi="Century Gothic"/>
                <w:bCs/>
                <w:sz w:val="22"/>
                <w:szCs w:val="22"/>
              </w:rPr>
            </w:pPr>
            <w:r w:rsidRPr="000A1774">
              <w:rPr>
                <w:rFonts w:ascii="Century Gothic" w:hAnsi="Century Gothic" w:cs="Calisto MT"/>
                <w:bCs/>
                <w:color w:val="000000"/>
                <w:sz w:val="22"/>
                <w:szCs w:val="22"/>
              </w:rPr>
              <w:t xml:space="preserve">INEXISTENCIA DE OBLIGACIÓN A CARGO DE LA EQUIDAD SEGUROS DE VIDA O.C. POR INCUMPLIMIENTO DE LA OBLIGACIÓN SUSTANCIAL POR PARTE DEL ASEGURADO DE DECLARAR SU VERDADERO ESTADO DEL RIESGO Y DE PAGAR LA PRIMA ADECUADA PARA EL VERDADERO ESTADO DEL RIESGO – APLICACIÓN DE LA EXCEPCIÓN DE CONTRATO NO CUMPLIDO (ART. 1609 C.C.) </w:t>
            </w:r>
          </w:p>
          <w:p w14:paraId="7F1A3873" w14:textId="77777777" w:rsidR="000A1774" w:rsidRPr="000A1774" w:rsidRDefault="000A1774" w:rsidP="000A1774">
            <w:pPr>
              <w:pStyle w:val="Prrafodelista"/>
              <w:numPr>
                <w:ilvl w:val="0"/>
                <w:numId w:val="2"/>
              </w:numPr>
              <w:spacing w:after="200"/>
              <w:ind w:right="-376"/>
              <w:jc w:val="both"/>
              <w:rPr>
                <w:rFonts w:ascii="Century Gothic" w:hAnsi="Century Gothic"/>
                <w:bCs/>
                <w:sz w:val="22"/>
                <w:szCs w:val="22"/>
              </w:rPr>
            </w:pPr>
            <w:r w:rsidRPr="000A1774">
              <w:rPr>
                <w:rFonts w:ascii="Century Gothic" w:hAnsi="Century Gothic"/>
                <w:bCs/>
                <w:sz w:val="22"/>
                <w:szCs w:val="22"/>
              </w:rPr>
              <w:t>INEXISTENCIA DE LA OBLIGACIÓN DE AFECTACIÓN DEL CONTRATO DE SEGURO.</w:t>
            </w:r>
            <w:bookmarkStart w:id="3" w:name="_Hlk38980842"/>
          </w:p>
          <w:p w14:paraId="2BF482E6" w14:textId="77777777" w:rsidR="000A1774" w:rsidRPr="000A1774" w:rsidRDefault="000A1774" w:rsidP="000A1774">
            <w:pPr>
              <w:pStyle w:val="Prrafodelista"/>
              <w:numPr>
                <w:ilvl w:val="0"/>
                <w:numId w:val="2"/>
              </w:numPr>
              <w:spacing w:after="200"/>
              <w:ind w:right="-376"/>
              <w:jc w:val="both"/>
              <w:rPr>
                <w:rFonts w:ascii="Century Gothic" w:hAnsi="Century Gothic"/>
                <w:bCs/>
                <w:sz w:val="22"/>
                <w:szCs w:val="22"/>
              </w:rPr>
            </w:pPr>
            <w:r w:rsidRPr="000A1774">
              <w:rPr>
                <w:rFonts w:ascii="Century Gothic" w:hAnsi="Century Gothic"/>
                <w:bCs/>
                <w:sz w:val="22"/>
                <w:szCs w:val="22"/>
              </w:rPr>
              <w:t>SUJECIÓN AL CONTRATO DE SEGURO CELEBRADO</w:t>
            </w:r>
            <w:bookmarkStart w:id="4" w:name="_Hlk38980853"/>
            <w:bookmarkEnd w:id="3"/>
          </w:p>
          <w:p w14:paraId="5E4E8A58" w14:textId="77777777" w:rsidR="000A1774" w:rsidRPr="000A1774" w:rsidRDefault="000A1774" w:rsidP="000A1774">
            <w:pPr>
              <w:pStyle w:val="Prrafodelista"/>
              <w:numPr>
                <w:ilvl w:val="0"/>
                <w:numId w:val="2"/>
              </w:numPr>
              <w:spacing w:after="200"/>
              <w:ind w:right="-376"/>
              <w:jc w:val="both"/>
              <w:rPr>
                <w:rFonts w:ascii="Century Gothic" w:hAnsi="Century Gothic"/>
                <w:bCs/>
                <w:sz w:val="22"/>
                <w:szCs w:val="22"/>
              </w:rPr>
            </w:pPr>
            <w:r w:rsidRPr="000A1774">
              <w:rPr>
                <w:rFonts w:ascii="Century Gothic" w:hAnsi="Century Gothic" w:cs="Arial"/>
                <w:bCs/>
                <w:sz w:val="22"/>
                <w:szCs w:val="22"/>
              </w:rPr>
              <w:t>LÍMITE DEL VALOR ASEGURADO PARA AMPARO POR MUERTE.</w:t>
            </w:r>
            <w:bookmarkStart w:id="5" w:name="_Hlk38980873"/>
            <w:bookmarkEnd w:id="4"/>
          </w:p>
          <w:p w14:paraId="061E352D" w14:textId="77777777" w:rsidR="000A1774" w:rsidRPr="000A1774" w:rsidRDefault="000A1774" w:rsidP="000A1774">
            <w:pPr>
              <w:pStyle w:val="Prrafodelista"/>
              <w:numPr>
                <w:ilvl w:val="0"/>
                <w:numId w:val="2"/>
              </w:numPr>
              <w:spacing w:after="200"/>
              <w:ind w:right="-376"/>
              <w:jc w:val="both"/>
              <w:rPr>
                <w:rFonts w:ascii="Century Gothic" w:hAnsi="Century Gothic"/>
                <w:bCs/>
                <w:sz w:val="22"/>
                <w:szCs w:val="22"/>
              </w:rPr>
            </w:pPr>
            <w:r w:rsidRPr="000A1774">
              <w:rPr>
                <w:rFonts w:ascii="Century Gothic" w:hAnsi="Century Gothic" w:cs="Tahoma"/>
                <w:bCs/>
                <w:sz w:val="22"/>
                <w:szCs w:val="22"/>
              </w:rPr>
              <w:t>EXCEPCION GENÉRICA O INNOMINADA.</w:t>
            </w:r>
            <w:bookmarkEnd w:id="1"/>
            <w:bookmarkEnd w:id="2"/>
            <w:bookmarkEnd w:id="5"/>
          </w:p>
          <w:p w14:paraId="52CE2D52" w14:textId="00263589" w:rsidR="003B7F1A" w:rsidRPr="00BA1E5F" w:rsidRDefault="003B7F1A" w:rsidP="000A1774">
            <w:pPr>
              <w:pStyle w:val="Prrafodelista"/>
              <w:spacing w:line="276" w:lineRule="auto"/>
              <w:ind w:left="1065"/>
              <w:jc w:val="both"/>
              <w:rPr>
                <w:rFonts w:ascii="Century Gothic" w:hAnsi="Century Gothic"/>
                <w:sz w:val="22"/>
                <w:szCs w:val="22"/>
              </w:rPr>
            </w:pPr>
          </w:p>
        </w:tc>
      </w:tr>
    </w:tbl>
    <w:p w14:paraId="0AA122B4" w14:textId="77777777" w:rsidR="00F67EF8" w:rsidRPr="00BA1E5F" w:rsidRDefault="00F67EF8" w:rsidP="00F67EF8">
      <w:pPr>
        <w:spacing w:line="276" w:lineRule="auto"/>
        <w:jc w:val="both"/>
        <w:rPr>
          <w:rFonts w:ascii="Century Gothic" w:hAnsi="Century Gothic"/>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BA1E5F" w14:paraId="4B531C7D" w14:textId="77777777" w:rsidTr="0095378E">
        <w:trPr>
          <w:trHeight w:val="454"/>
        </w:trPr>
        <w:tc>
          <w:tcPr>
            <w:tcW w:w="3266" w:type="dxa"/>
            <w:vAlign w:val="center"/>
            <w:hideMark/>
          </w:tcPr>
          <w:p w14:paraId="3F99B56F" w14:textId="1315CCDB" w:rsidR="00EE687D" w:rsidRPr="00BA1E5F" w:rsidRDefault="006F0CAA"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Siniestro</w:t>
            </w:r>
          </w:p>
        </w:tc>
        <w:tc>
          <w:tcPr>
            <w:tcW w:w="6941" w:type="dxa"/>
            <w:vAlign w:val="center"/>
            <w:hideMark/>
          </w:tcPr>
          <w:p w14:paraId="06D242A3" w14:textId="75E8C7AC" w:rsidR="00EE687D" w:rsidRPr="0058192D" w:rsidRDefault="000A1774" w:rsidP="00EB6AB4">
            <w:pPr>
              <w:jc w:val="both"/>
              <w:rPr>
                <w:rFonts w:ascii="Century Gothic" w:hAnsi="Century Gothic" w:cs="Segoe UI"/>
                <w:sz w:val="22"/>
                <w:szCs w:val="22"/>
                <w:lang w:eastAsia="es-CO"/>
              </w:rPr>
            </w:pPr>
            <w:r w:rsidRPr="0058192D">
              <w:rPr>
                <w:rFonts w:ascii="Century Gothic" w:hAnsi="Century Gothic"/>
                <w:sz w:val="22"/>
                <w:szCs w:val="22"/>
              </w:rPr>
              <w:t>10220377</w:t>
            </w:r>
          </w:p>
        </w:tc>
      </w:tr>
      <w:tr w:rsidR="006F0CAA" w:rsidRPr="00BA1E5F" w14:paraId="7A21B905" w14:textId="77777777" w:rsidTr="0095378E">
        <w:trPr>
          <w:trHeight w:val="454"/>
        </w:trPr>
        <w:tc>
          <w:tcPr>
            <w:tcW w:w="3266" w:type="dxa"/>
            <w:vAlign w:val="center"/>
          </w:tcPr>
          <w:p w14:paraId="533380A9" w14:textId="7103E52D" w:rsidR="006F0CAA" w:rsidRPr="00BA1E5F" w:rsidRDefault="006F0CAA"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 xml:space="preserve">Caso </w:t>
            </w:r>
            <w:proofErr w:type="spellStart"/>
            <w:r w:rsidRPr="00BA1E5F">
              <w:rPr>
                <w:rFonts w:ascii="Century Gothic" w:hAnsi="Century Gothic"/>
                <w:b/>
                <w:bCs/>
                <w:color w:val="000000"/>
                <w:sz w:val="22"/>
                <w:szCs w:val="22"/>
                <w:shd w:val="clear" w:color="auto" w:fill="FFFFFF"/>
                <w:lang w:eastAsia="es-CO"/>
              </w:rPr>
              <w:t>Onbase</w:t>
            </w:r>
            <w:proofErr w:type="spellEnd"/>
          </w:p>
        </w:tc>
        <w:tc>
          <w:tcPr>
            <w:tcW w:w="6941" w:type="dxa"/>
            <w:vAlign w:val="center"/>
          </w:tcPr>
          <w:p w14:paraId="79DBA3A4" w14:textId="11206163" w:rsidR="006F0CAA" w:rsidRPr="00CB5101" w:rsidRDefault="00024FC1" w:rsidP="00EB6AB4">
            <w:pPr>
              <w:jc w:val="both"/>
              <w:rPr>
                <w:rFonts w:ascii="Century Gothic" w:hAnsi="Century Gothic" w:cs="Segoe UI"/>
                <w:sz w:val="22"/>
                <w:szCs w:val="22"/>
                <w:lang w:eastAsia="es-CO"/>
              </w:rPr>
            </w:pPr>
            <w:r>
              <w:rPr>
                <w:rFonts w:ascii="Century Gothic" w:hAnsi="Century Gothic" w:cs="Segoe UI"/>
                <w:sz w:val="22"/>
                <w:szCs w:val="22"/>
                <w:lang w:eastAsia="es-CO"/>
              </w:rPr>
              <w:t>89212</w:t>
            </w:r>
          </w:p>
        </w:tc>
      </w:tr>
      <w:tr w:rsidR="00EE687D" w:rsidRPr="00BA1E5F" w14:paraId="00877764" w14:textId="77777777" w:rsidTr="0095378E">
        <w:trPr>
          <w:trHeight w:val="454"/>
        </w:trPr>
        <w:tc>
          <w:tcPr>
            <w:tcW w:w="3266" w:type="dxa"/>
            <w:vAlign w:val="center"/>
            <w:hideMark/>
          </w:tcPr>
          <w:p w14:paraId="749E810E"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Póliza</w:t>
            </w:r>
          </w:p>
        </w:tc>
        <w:tc>
          <w:tcPr>
            <w:tcW w:w="6941" w:type="dxa"/>
            <w:vAlign w:val="center"/>
          </w:tcPr>
          <w:p w14:paraId="7FC9EC9E" w14:textId="2B3079B7" w:rsidR="00EE687D" w:rsidRPr="005F378B" w:rsidRDefault="0058192D" w:rsidP="00EB6AB4">
            <w:pPr>
              <w:jc w:val="both"/>
              <w:rPr>
                <w:rFonts w:ascii="Century Gothic" w:hAnsi="Century Gothic" w:cs="Segoe UI"/>
                <w:sz w:val="22"/>
                <w:szCs w:val="22"/>
                <w:lang w:eastAsia="es-CO"/>
              </w:rPr>
            </w:pPr>
            <w:r>
              <w:rPr>
                <w:rFonts w:ascii="Century Gothic" w:hAnsi="Century Gothic" w:cs="Segoe UI"/>
                <w:sz w:val="22"/>
                <w:szCs w:val="22"/>
                <w:lang w:eastAsia="es-CO"/>
              </w:rPr>
              <w:t>AA000051</w:t>
            </w:r>
          </w:p>
        </w:tc>
      </w:tr>
      <w:tr w:rsidR="00EE687D" w:rsidRPr="00BA1E5F" w14:paraId="3260B646" w14:textId="77777777" w:rsidTr="0095378E">
        <w:trPr>
          <w:trHeight w:val="454"/>
        </w:trPr>
        <w:tc>
          <w:tcPr>
            <w:tcW w:w="3266" w:type="dxa"/>
            <w:vAlign w:val="center"/>
            <w:hideMark/>
          </w:tcPr>
          <w:p w14:paraId="67FBF2E5"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Certificado</w:t>
            </w:r>
          </w:p>
        </w:tc>
        <w:tc>
          <w:tcPr>
            <w:tcW w:w="6941" w:type="dxa"/>
            <w:vAlign w:val="center"/>
          </w:tcPr>
          <w:p w14:paraId="47A2248B" w14:textId="35EB15C4" w:rsidR="00EE687D" w:rsidRPr="00024FC1" w:rsidRDefault="00C24F23" w:rsidP="00EB6AB4">
            <w:pPr>
              <w:jc w:val="both"/>
              <w:rPr>
                <w:rFonts w:ascii="Century Gothic" w:hAnsi="Century Gothic" w:cs="Segoe UI"/>
                <w:sz w:val="22"/>
                <w:szCs w:val="22"/>
                <w:lang w:eastAsia="es-CO"/>
              </w:rPr>
            </w:pPr>
            <w:r w:rsidRPr="00024FC1">
              <w:rPr>
                <w:rFonts w:ascii="Century Gothic" w:hAnsi="Century Gothic" w:cs="Segoe UI"/>
                <w:sz w:val="22"/>
                <w:szCs w:val="22"/>
                <w:lang w:eastAsia="es-CO"/>
              </w:rPr>
              <w:t>A</w:t>
            </w:r>
            <w:r w:rsidR="00024FC1">
              <w:rPr>
                <w:rFonts w:ascii="Century Gothic" w:hAnsi="Century Gothic" w:cs="Segoe UI"/>
                <w:sz w:val="22"/>
                <w:szCs w:val="22"/>
                <w:lang w:eastAsia="es-CO"/>
              </w:rPr>
              <w:t>A0000931</w:t>
            </w:r>
          </w:p>
        </w:tc>
      </w:tr>
      <w:tr w:rsidR="00EE687D" w:rsidRPr="00BA1E5F" w14:paraId="0BC7C6A3" w14:textId="77777777" w:rsidTr="0095378E">
        <w:trPr>
          <w:trHeight w:val="454"/>
        </w:trPr>
        <w:tc>
          <w:tcPr>
            <w:tcW w:w="3266" w:type="dxa"/>
            <w:vAlign w:val="center"/>
            <w:hideMark/>
          </w:tcPr>
          <w:p w14:paraId="433D63BC" w14:textId="77777777" w:rsidR="00EE687D" w:rsidRPr="00BA1E5F" w:rsidRDefault="00EE687D"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Orden</w:t>
            </w:r>
          </w:p>
        </w:tc>
        <w:tc>
          <w:tcPr>
            <w:tcW w:w="6941" w:type="dxa"/>
            <w:vAlign w:val="center"/>
          </w:tcPr>
          <w:p w14:paraId="25280801" w14:textId="6A1E2B1F" w:rsidR="00EE687D" w:rsidRPr="005F378B" w:rsidRDefault="00024FC1"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B90E05" w:rsidRPr="00BA1E5F" w14:paraId="3ACEF28A" w14:textId="77777777" w:rsidTr="0095378E">
        <w:trPr>
          <w:trHeight w:val="454"/>
        </w:trPr>
        <w:tc>
          <w:tcPr>
            <w:tcW w:w="3266" w:type="dxa"/>
            <w:vAlign w:val="center"/>
          </w:tcPr>
          <w:p w14:paraId="0881BFDC" w14:textId="40C44F4A" w:rsidR="00B90E05" w:rsidRPr="00BA1E5F" w:rsidRDefault="00B90E05" w:rsidP="00EB6A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Sucursal</w:t>
            </w:r>
          </w:p>
        </w:tc>
        <w:tc>
          <w:tcPr>
            <w:tcW w:w="6941" w:type="dxa"/>
            <w:vAlign w:val="center"/>
          </w:tcPr>
          <w:p w14:paraId="74AA0D59" w14:textId="1CA219B1" w:rsidR="00B90E05" w:rsidRPr="00BA1E5F" w:rsidRDefault="008937A9" w:rsidP="00EB6AB4">
            <w:pPr>
              <w:jc w:val="both"/>
              <w:rPr>
                <w:rFonts w:ascii="Century Gothic" w:hAnsi="Century Gothic" w:cs="Segoe UI"/>
                <w:sz w:val="22"/>
                <w:szCs w:val="22"/>
                <w:lang w:eastAsia="es-CO"/>
              </w:rPr>
            </w:pPr>
            <w:r>
              <w:rPr>
                <w:rFonts w:ascii="Century Gothic" w:hAnsi="Century Gothic" w:cs="Segoe UI"/>
                <w:sz w:val="22"/>
                <w:szCs w:val="22"/>
                <w:lang w:eastAsia="es-CO"/>
              </w:rPr>
              <w:t xml:space="preserve">100066 </w:t>
            </w:r>
            <w:proofErr w:type="gramStart"/>
            <w:r>
              <w:rPr>
                <w:rFonts w:ascii="Century Gothic" w:hAnsi="Century Gothic" w:cs="Segoe UI"/>
                <w:sz w:val="22"/>
                <w:szCs w:val="22"/>
                <w:lang w:eastAsia="es-CO"/>
              </w:rPr>
              <w:t>Franquicia</w:t>
            </w:r>
            <w:proofErr w:type="gramEnd"/>
            <w:r>
              <w:rPr>
                <w:rFonts w:ascii="Century Gothic" w:hAnsi="Century Gothic" w:cs="Segoe UI"/>
                <w:sz w:val="22"/>
                <w:szCs w:val="22"/>
                <w:lang w:eastAsia="es-CO"/>
              </w:rPr>
              <w:t xml:space="preserve"> CRG Virtual</w:t>
            </w:r>
          </w:p>
        </w:tc>
      </w:tr>
      <w:tr w:rsidR="00EE687D" w:rsidRPr="00BA1E5F" w14:paraId="4BCD09C7" w14:textId="77777777" w:rsidTr="0095378E">
        <w:trPr>
          <w:trHeight w:val="454"/>
        </w:trPr>
        <w:tc>
          <w:tcPr>
            <w:tcW w:w="3266" w:type="dxa"/>
            <w:vAlign w:val="center"/>
            <w:hideMark/>
          </w:tcPr>
          <w:p w14:paraId="0A1C1E81" w14:textId="17519C67" w:rsidR="00EE687D" w:rsidRPr="00BA1E5F" w:rsidRDefault="001C44B4" w:rsidP="00EB6A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Placa del vehículo</w:t>
            </w:r>
          </w:p>
        </w:tc>
        <w:tc>
          <w:tcPr>
            <w:tcW w:w="6941" w:type="dxa"/>
            <w:vAlign w:val="center"/>
          </w:tcPr>
          <w:p w14:paraId="73CAF2AF" w14:textId="2854C547" w:rsidR="00EE687D" w:rsidRPr="00BA1E5F" w:rsidRDefault="0058192D" w:rsidP="00EB6AB4">
            <w:pPr>
              <w:jc w:val="both"/>
              <w:rPr>
                <w:rFonts w:ascii="Century Gothic" w:hAnsi="Century Gothic" w:cs="Segoe UI"/>
                <w:sz w:val="22"/>
                <w:szCs w:val="22"/>
                <w:lang w:eastAsia="es-CO"/>
              </w:rPr>
            </w:pPr>
            <w:r>
              <w:rPr>
                <w:rFonts w:ascii="Century Gothic" w:hAnsi="Century Gothic" w:cs="Segoe UI"/>
                <w:sz w:val="22"/>
                <w:szCs w:val="22"/>
                <w:lang w:eastAsia="es-CO"/>
              </w:rPr>
              <w:t>NA</w:t>
            </w:r>
          </w:p>
        </w:tc>
      </w:tr>
      <w:tr w:rsidR="001C44B4" w:rsidRPr="00BA1E5F" w14:paraId="0BA9ECEE" w14:textId="77777777" w:rsidTr="0095378E">
        <w:trPr>
          <w:trHeight w:val="454"/>
        </w:trPr>
        <w:tc>
          <w:tcPr>
            <w:tcW w:w="3266" w:type="dxa"/>
            <w:vAlign w:val="center"/>
          </w:tcPr>
          <w:p w14:paraId="7B70AF59" w14:textId="749D67B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siniestro</w:t>
            </w:r>
          </w:p>
        </w:tc>
        <w:tc>
          <w:tcPr>
            <w:tcW w:w="6941" w:type="dxa"/>
            <w:vAlign w:val="center"/>
          </w:tcPr>
          <w:p w14:paraId="2D03F3BA" w14:textId="1E18C63D" w:rsidR="001C44B4" w:rsidRPr="00BA1E5F" w:rsidRDefault="0058192D" w:rsidP="001C44B4">
            <w:pPr>
              <w:jc w:val="both"/>
              <w:rPr>
                <w:rFonts w:ascii="Century Gothic" w:hAnsi="Century Gothic" w:cs="Segoe UI"/>
                <w:sz w:val="22"/>
                <w:szCs w:val="22"/>
                <w:lang w:eastAsia="es-CO"/>
              </w:rPr>
            </w:pPr>
            <w:r>
              <w:rPr>
                <w:rFonts w:ascii="Century Gothic" w:hAnsi="Century Gothic" w:cs="Segoe UI"/>
                <w:sz w:val="22"/>
                <w:szCs w:val="22"/>
                <w:lang w:eastAsia="es-CO"/>
              </w:rPr>
              <w:t>9 de enero de 202</w:t>
            </w:r>
            <w:r w:rsidR="008937A9">
              <w:rPr>
                <w:rFonts w:ascii="Century Gothic" w:hAnsi="Century Gothic" w:cs="Segoe UI"/>
                <w:sz w:val="22"/>
                <w:szCs w:val="22"/>
                <w:lang w:eastAsia="es-CO"/>
              </w:rPr>
              <w:t>1</w:t>
            </w:r>
          </w:p>
        </w:tc>
      </w:tr>
      <w:tr w:rsidR="001C44B4" w:rsidRPr="00BA1E5F" w14:paraId="05412033" w14:textId="77777777" w:rsidTr="0095378E">
        <w:trPr>
          <w:trHeight w:val="454"/>
        </w:trPr>
        <w:tc>
          <w:tcPr>
            <w:tcW w:w="3266" w:type="dxa"/>
            <w:vAlign w:val="center"/>
          </w:tcPr>
          <w:p w14:paraId="43E688BB" w14:textId="54B02C3E"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Fecha del aviso</w:t>
            </w:r>
          </w:p>
        </w:tc>
        <w:tc>
          <w:tcPr>
            <w:tcW w:w="6941" w:type="dxa"/>
            <w:vAlign w:val="center"/>
          </w:tcPr>
          <w:p w14:paraId="7E184CA4" w14:textId="40B62183" w:rsidR="001C44B4" w:rsidRPr="00BA1E5F" w:rsidRDefault="00E1346B" w:rsidP="001C44B4">
            <w:pPr>
              <w:jc w:val="both"/>
              <w:rPr>
                <w:rFonts w:ascii="Century Gothic" w:hAnsi="Century Gothic" w:cs="Segoe UI"/>
                <w:sz w:val="22"/>
                <w:szCs w:val="22"/>
                <w:lang w:eastAsia="es-CO"/>
              </w:rPr>
            </w:pPr>
            <w:r>
              <w:rPr>
                <w:rFonts w:ascii="Century Gothic" w:hAnsi="Century Gothic" w:cs="Segoe UI"/>
                <w:sz w:val="22"/>
                <w:szCs w:val="22"/>
                <w:lang w:eastAsia="es-CO"/>
              </w:rPr>
              <w:t>18</w:t>
            </w:r>
            <w:r w:rsidR="00024FC1">
              <w:rPr>
                <w:rFonts w:ascii="Century Gothic" w:hAnsi="Century Gothic" w:cs="Segoe UI"/>
                <w:sz w:val="22"/>
                <w:szCs w:val="22"/>
                <w:lang w:eastAsia="es-CO"/>
              </w:rPr>
              <w:t xml:space="preserve"> de febrero de 2021</w:t>
            </w:r>
          </w:p>
        </w:tc>
      </w:tr>
      <w:tr w:rsidR="001C44B4" w:rsidRPr="00BA1E5F" w14:paraId="6DB6B020" w14:textId="77777777" w:rsidTr="0095378E">
        <w:trPr>
          <w:trHeight w:val="454"/>
        </w:trPr>
        <w:tc>
          <w:tcPr>
            <w:tcW w:w="3266" w:type="dxa"/>
            <w:vAlign w:val="center"/>
          </w:tcPr>
          <w:p w14:paraId="13FCE7D8" w14:textId="6EA7D194" w:rsidR="001C44B4" w:rsidRPr="00BA1E5F" w:rsidRDefault="001C44B4"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Colocación de reaseguro</w:t>
            </w:r>
          </w:p>
        </w:tc>
        <w:tc>
          <w:tcPr>
            <w:tcW w:w="6941" w:type="dxa"/>
            <w:vAlign w:val="center"/>
          </w:tcPr>
          <w:p w14:paraId="6857070F" w14:textId="3B3837B0" w:rsidR="001C44B4" w:rsidRPr="00BA1E5F" w:rsidRDefault="001C44B4" w:rsidP="001C44B4">
            <w:pPr>
              <w:jc w:val="both"/>
              <w:rPr>
                <w:rFonts w:ascii="Century Gothic" w:hAnsi="Century Gothic" w:cs="Segoe UI"/>
                <w:sz w:val="22"/>
                <w:szCs w:val="22"/>
                <w:lang w:eastAsia="es-CO"/>
              </w:rPr>
            </w:pPr>
          </w:p>
        </w:tc>
      </w:tr>
      <w:tr w:rsidR="001C44B4" w:rsidRPr="00BA1E5F" w14:paraId="2F1DA9E6" w14:textId="77777777" w:rsidTr="0095378E">
        <w:trPr>
          <w:trHeight w:val="454"/>
        </w:trPr>
        <w:tc>
          <w:tcPr>
            <w:tcW w:w="3266" w:type="dxa"/>
            <w:vAlign w:val="center"/>
          </w:tcPr>
          <w:p w14:paraId="3ECF2237" w14:textId="5FB6285C" w:rsidR="001C44B4" w:rsidRPr="00BA1E5F" w:rsidRDefault="008B685D"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lastRenderedPageBreak/>
              <w:t>Tomador</w:t>
            </w:r>
          </w:p>
        </w:tc>
        <w:tc>
          <w:tcPr>
            <w:tcW w:w="6941" w:type="dxa"/>
            <w:vAlign w:val="center"/>
          </w:tcPr>
          <w:p w14:paraId="2B607964" w14:textId="26BDFF80" w:rsidR="001C44B4" w:rsidRPr="00E1346B" w:rsidRDefault="00024FC1" w:rsidP="001C44B4">
            <w:pPr>
              <w:jc w:val="both"/>
              <w:rPr>
                <w:rFonts w:ascii="Century Gothic" w:hAnsi="Century Gothic" w:cs="Segoe UI"/>
                <w:sz w:val="22"/>
                <w:szCs w:val="22"/>
                <w:lang w:eastAsia="es-CO"/>
              </w:rPr>
            </w:pPr>
            <w:r w:rsidRPr="00E1346B">
              <w:rPr>
                <w:rFonts w:ascii="Century Gothic" w:hAnsi="Century Gothic" w:cs="Segoe UI"/>
                <w:sz w:val="22"/>
                <w:szCs w:val="22"/>
                <w:lang w:eastAsia="es-CO"/>
              </w:rPr>
              <w:t>Bancompartir S.A.</w:t>
            </w:r>
          </w:p>
        </w:tc>
      </w:tr>
      <w:tr w:rsidR="001C44B4" w:rsidRPr="00BA1E5F" w14:paraId="1165CBE1" w14:textId="77777777" w:rsidTr="0095378E">
        <w:trPr>
          <w:trHeight w:val="454"/>
        </w:trPr>
        <w:tc>
          <w:tcPr>
            <w:tcW w:w="3266" w:type="dxa"/>
            <w:vAlign w:val="center"/>
          </w:tcPr>
          <w:p w14:paraId="640F2169" w14:textId="4903327C"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Asegurado</w:t>
            </w:r>
          </w:p>
        </w:tc>
        <w:tc>
          <w:tcPr>
            <w:tcW w:w="6941" w:type="dxa"/>
            <w:vAlign w:val="center"/>
          </w:tcPr>
          <w:p w14:paraId="3381B0BB" w14:textId="37C68FA2" w:rsidR="001C44B4" w:rsidRPr="00BA1E5F" w:rsidRDefault="00024FC1" w:rsidP="001C44B4">
            <w:pPr>
              <w:jc w:val="both"/>
              <w:rPr>
                <w:rFonts w:ascii="Century Gothic" w:hAnsi="Century Gothic" w:cs="Segoe UI"/>
                <w:sz w:val="22"/>
                <w:szCs w:val="22"/>
                <w:lang w:eastAsia="es-CO"/>
              </w:rPr>
            </w:pPr>
            <w:r>
              <w:rPr>
                <w:rFonts w:ascii="Century Gothic" w:hAnsi="Century Gothic" w:cs="Segoe UI"/>
                <w:sz w:val="22"/>
                <w:szCs w:val="22"/>
                <w:lang w:eastAsia="es-CO"/>
              </w:rPr>
              <w:t>José Orlando Vargas Rodríguez</w:t>
            </w:r>
          </w:p>
        </w:tc>
      </w:tr>
      <w:tr w:rsidR="001C44B4" w:rsidRPr="00BA1E5F" w14:paraId="513C2A8D" w14:textId="77777777" w:rsidTr="0095378E">
        <w:trPr>
          <w:trHeight w:val="454"/>
        </w:trPr>
        <w:tc>
          <w:tcPr>
            <w:tcW w:w="3266" w:type="dxa"/>
            <w:vAlign w:val="center"/>
            <w:hideMark/>
          </w:tcPr>
          <w:p w14:paraId="5E1FDA28" w14:textId="16DB1B8E"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Ramo</w:t>
            </w:r>
          </w:p>
        </w:tc>
        <w:tc>
          <w:tcPr>
            <w:tcW w:w="6941" w:type="dxa"/>
            <w:vAlign w:val="center"/>
          </w:tcPr>
          <w:p w14:paraId="0701202E" w14:textId="726FA413" w:rsidR="001C44B4" w:rsidRPr="00BA1E5F" w:rsidRDefault="00024FC1" w:rsidP="001C44B4">
            <w:pPr>
              <w:jc w:val="both"/>
              <w:rPr>
                <w:rFonts w:ascii="Century Gothic" w:hAnsi="Century Gothic" w:cs="Segoe UI"/>
                <w:sz w:val="22"/>
                <w:szCs w:val="22"/>
                <w:lang w:eastAsia="es-CO"/>
              </w:rPr>
            </w:pPr>
            <w:r>
              <w:rPr>
                <w:rFonts w:ascii="Century Gothic" w:hAnsi="Century Gothic" w:cs="Segoe UI"/>
                <w:sz w:val="22"/>
                <w:szCs w:val="22"/>
                <w:lang w:eastAsia="es-CO"/>
              </w:rPr>
              <w:t>Vida deudores</w:t>
            </w:r>
          </w:p>
        </w:tc>
      </w:tr>
      <w:tr w:rsidR="001C44B4" w:rsidRPr="00BA1E5F" w14:paraId="2F8ECFA3" w14:textId="77777777" w:rsidTr="0095378E">
        <w:trPr>
          <w:trHeight w:val="454"/>
        </w:trPr>
        <w:tc>
          <w:tcPr>
            <w:tcW w:w="3266" w:type="dxa"/>
            <w:vAlign w:val="center"/>
            <w:hideMark/>
          </w:tcPr>
          <w:p w14:paraId="0C3932A6" w14:textId="2792643B" w:rsidR="001C44B4" w:rsidRPr="00BA1E5F" w:rsidRDefault="008B685D"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Cobertura</w:t>
            </w:r>
          </w:p>
        </w:tc>
        <w:tc>
          <w:tcPr>
            <w:tcW w:w="6941" w:type="dxa"/>
            <w:vAlign w:val="center"/>
          </w:tcPr>
          <w:p w14:paraId="0958D277" w14:textId="6C08336D" w:rsidR="001C44B4" w:rsidRPr="00BA1E5F" w:rsidRDefault="001F69C7" w:rsidP="001C44B4">
            <w:pPr>
              <w:jc w:val="both"/>
              <w:rPr>
                <w:rFonts w:ascii="Century Gothic" w:hAnsi="Century Gothic" w:cs="Segoe UI"/>
                <w:sz w:val="22"/>
                <w:szCs w:val="22"/>
                <w:lang w:eastAsia="es-CO"/>
              </w:rPr>
            </w:pPr>
            <w:r>
              <w:rPr>
                <w:rFonts w:ascii="Century Gothic" w:hAnsi="Century Gothic" w:cs="Segoe UI"/>
                <w:sz w:val="22"/>
                <w:szCs w:val="22"/>
                <w:lang w:eastAsia="es-CO"/>
              </w:rPr>
              <w:t>Muerte por cualquier causa</w:t>
            </w:r>
          </w:p>
        </w:tc>
      </w:tr>
      <w:tr w:rsidR="001C44B4" w:rsidRPr="00BA1E5F" w14:paraId="59B4A554" w14:textId="77777777" w:rsidTr="0095378E">
        <w:trPr>
          <w:trHeight w:val="454"/>
        </w:trPr>
        <w:tc>
          <w:tcPr>
            <w:tcW w:w="3266" w:type="dxa"/>
            <w:vAlign w:val="center"/>
            <w:hideMark/>
          </w:tcPr>
          <w:p w14:paraId="0412A958" w14:textId="77777777" w:rsidR="001C44B4" w:rsidRPr="00BA1E5F" w:rsidRDefault="001C44B4"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Valor asegurado</w:t>
            </w:r>
          </w:p>
        </w:tc>
        <w:tc>
          <w:tcPr>
            <w:tcW w:w="6941" w:type="dxa"/>
            <w:vAlign w:val="center"/>
          </w:tcPr>
          <w:p w14:paraId="5AF73B8E" w14:textId="2A419357" w:rsidR="001C44B4" w:rsidRPr="00BA1E5F" w:rsidRDefault="00C24F23" w:rsidP="001C44B4">
            <w:pPr>
              <w:jc w:val="both"/>
              <w:rPr>
                <w:rFonts w:ascii="Century Gothic" w:hAnsi="Century Gothic" w:cs="Segoe UI"/>
                <w:sz w:val="22"/>
                <w:szCs w:val="22"/>
                <w:lang w:eastAsia="es-CO"/>
              </w:rPr>
            </w:pPr>
            <w:r>
              <w:rPr>
                <w:rFonts w:ascii="Century Gothic" w:hAnsi="Century Gothic" w:cs="Segoe UI"/>
                <w:sz w:val="22"/>
                <w:szCs w:val="22"/>
                <w:lang w:eastAsia="es-CO"/>
              </w:rPr>
              <w:t>$</w:t>
            </w:r>
            <w:r w:rsidR="001F69C7">
              <w:rPr>
                <w:rFonts w:ascii="Century Gothic" w:hAnsi="Century Gothic" w:cs="Segoe UI"/>
                <w:sz w:val="22"/>
                <w:szCs w:val="22"/>
                <w:lang w:eastAsia="es-CO"/>
              </w:rPr>
              <w:t>46.060.030</w:t>
            </w:r>
          </w:p>
        </w:tc>
      </w:tr>
      <w:tr w:rsidR="001129B6" w:rsidRPr="00BA1E5F" w14:paraId="2F24D88E" w14:textId="77777777" w:rsidTr="0095378E">
        <w:trPr>
          <w:trHeight w:val="454"/>
        </w:trPr>
        <w:tc>
          <w:tcPr>
            <w:tcW w:w="3266" w:type="dxa"/>
            <w:vAlign w:val="center"/>
          </w:tcPr>
          <w:p w14:paraId="0E72F2CD" w14:textId="1A6BE851" w:rsidR="001129B6" w:rsidRPr="00BA1E5F" w:rsidRDefault="001129B6" w:rsidP="001C44B4">
            <w:pPr>
              <w:jc w:val="both"/>
              <w:textAlignment w:val="baseline"/>
              <w:rPr>
                <w:rFonts w:ascii="Century Gothic" w:hAnsi="Century Gothic"/>
                <w:b/>
                <w:bCs/>
                <w:color w:val="000000"/>
                <w:sz w:val="22"/>
                <w:szCs w:val="22"/>
                <w:shd w:val="clear" w:color="auto" w:fill="FFFFFF"/>
                <w:lang w:eastAsia="es-CO"/>
              </w:rPr>
            </w:pPr>
            <w:r w:rsidRPr="00BA1E5F">
              <w:rPr>
                <w:rFonts w:ascii="Century Gothic" w:hAnsi="Century Gothic"/>
                <w:b/>
                <w:bCs/>
                <w:color w:val="000000"/>
                <w:sz w:val="22"/>
                <w:szCs w:val="22"/>
                <w:shd w:val="clear" w:color="auto" w:fill="FFFFFF"/>
                <w:lang w:eastAsia="es-CO"/>
              </w:rPr>
              <w:t>Audiencia prejudicial</w:t>
            </w:r>
          </w:p>
        </w:tc>
        <w:tc>
          <w:tcPr>
            <w:tcW w:w="6941" w:type="dxa"/>
            <w:vAlign w:val="center"/>
          </w:tcPr>
          <w:p w14:paraId="6AD9587E" w14:textId="2B8FD938" w:rsidR="001129B6" w:rsidRPr="00BA1E5F" w:rsidRDefault="001F69C7" w:rsidP="001C44B4">
            <w:pPr>
              <w:jc w:val="both"/>
              <w:rPr>
                <w:rFonts w:ascii="Century Gothic" w:hAnsi="Century Gothic" w:cs="Segoe UI"/>
                <w:sz w:val="22"/>
                <w:szCs w:val="22"/>
                <w:lang w:eastAsia="es-CO"/>
              </w:rPr>
            </w:pPr>
            <w:r>
              <w:rPr>
                <w:rFonts w:ascii="Century Gothic" w:hAnsi="Century Gothic" w:cs="Segoe UI"/>
                <w:sz w:val="22"/>
                <w:szCs w:val="22"/>
                <w:lang w:eastAsia="es-CO"/>
              </w:rPr>
              <w:t>27</w:t>
            </w:r>
            <w:r w:rsidR="009A3950">
              <w:rPr>
                <w:rFonts w:ascii="Century Gothic" w:hAnsi="Century Gothic" w:cs="Segoe UI"/>
                <w:sz w:val="22"/>
                <w:szCs w:val="22"/>
                <w:lang w:eastAsia="es-CO"/>
              </w:rPr>
              <w:t xml:space="preserve"> de ju</w:t>
            </w:r>
            <w:r>
              <w:rPr>
                <w:rFonts w:ascii="Century Gothic" w:hAnsi="Century Gothic" w:cs="Segoe UI"/>
                <w:sz w:val="22"/>
                <w:szCs w:val="22"/>
                <w:lang w:eastAsia="es-CO"/>
              </w:rPr>
              <w:t>n</w:t>
            </w:r>
            <w:r w:rsidR="009A3950">
              <w:rPr>
                <w:rFonts w:ascii="Century Gothic" w:hAnsi="Century Gothic" w:cs="Segoe UI"/>
                <w:sz w:val="22"/>
                <w:szCs w:val="22"/>
                <w:lang w:eastAsia="es-CO"/>
              </w:rPr>
              <w:t>io de 202</w:t>
            </w:r>
            <w:r>
              <w:rPr>
                <w:rFonts w:ascii="Century Gothic" w:hAnsi="Century Gothic" w:cs="Segoe UI"/>
                <w:sz w:val="22"/>
                <w:szCs w:val="22"/>
                <w:lang w:eastAsia="es-CO"/>
              </w:rPr>
              <w:t>3</w:t>
            </w:r>
          </w:p>
        </w:tc>
      </w:tr>
      <w:tr w:rsidR="001C44B4" w:rsidRPr="00BA1E5F" w14:paraId="658B9E4D" w14:textId="77777777" w:rsidTr="0095378E">
        <w:trPr>
          <w:trHeight w:val="454"/>
        </w:trPr>
        <w:tc>
          <w:tcPr>
            <w:tcW w:w="3266" w:type="dxa"/>
            <w:vAlign w:val="center"/>
            <w:hideMark/>
          </w:tcPr>
          <w:p w14:paraId="02377331" w14:textId="79A3F98F" w:rsidR="001C44B4" w:rsidRPr="00BA1E5F" w:rsidRDefault="002633C0" w:rsidP="001C44B4">
            <w:pPr>
              <w:jc w:val="both"/>
              <w:textAlignment w:val="baseline"/>
              <w:rPr>
                <w:rFonts w:ascii="Century Gothic" w:hAnsi="Century Gothic" w:cs="Segoe UI"/>
                <w:sz w:val="22"/>
                <w:szCs w:val="22"/>
                <w:lang w:eastAsia="es-CO"/>
              </w:rPr>
            </w:pPr>
            <w:r w:rsidRPr="00BA1E5F">
              <w:rPr>
                <w:rFonts w:ascii="Century Gothic" w:hAnsi="Century Gothic"/>
                <w:b/>
                <w:bCs/>
                <w:color w:val="000000"/>
                <w:sz w:val="22"/>
                <w:szCs w:val="22"/>
                <w:shd w:val="clear" w:color="auto" w:fill="FFFFFF"/>
                <w:lang w:eastAsia="es-CO"/>
              </w:rPr>
              <w:t>Ofrecimiento previo</w:t>
            </w:r>
          </w:p>
        </w:tc>
        <w:tc>
          <w:tcPr>
            <w:tcW w:w="6941" w:type="dxa"/>
            <w:vAlign w:val="center"/>
          </w:tcPr>
          <w:p w14:paraId="244AD2F4" w14:textId="488D0C97" w:rsidR="001C44B4" w:rsidRPr="00BA1E5F" w:rsidRDefault="002633C0" w:rsidP="001C44B4">
            <w:pPr>
              <w:jc w:val="both"/>
              <w:rPr>
                <w:rFonts w:ascii="Century Gothic" w:hAnsi="Century Gothic" w:cs="Segoe UI"/>
                <w:sz w:val="22"/>
                <w:szCs w:val="22"/>
                <w:lang w:eastAsia="es-CO"/>
              </w:rPr>
            </w:pPr>
            <w:r w:rsidRPr="00BA1E5F">
              <w:rPr>
                <w:rFonts w:ascii="Century Gothic" w:hAnsi="Century Gothic" w:cs="Segoe UI"/>
                <w:sz w:val="22"/>
                <w:szCs w:val="22"/>
                <w:lang w:eastAsia="es-CO"/>
              </w:rPr>
              <w:t xml:space="preserve"> $ </w:t>
            </w:r>
            <w:r w:rsidR="001F69C7">
              <w:rPr>
                <w:rFonts w:ascii="Century Gothic" w:hAnsi="Century Gothic" w:cs="Segoe UI"/>
                <w:sz w:val="22"/>
                <w:szCs w:val="22"/>
                <w:lang w:eastAsia="es-CO"/>
              </w:rPr>
              <w:t>0</w:t>
            </w:r>
          </w:p>
        </w:tc>
      </w:tr>
    </w:tbl>
    <w:p w14:paraId="397A1D68" w14:textId="77777777" w:rsidR="003B44CB" w:rsidRPr="00BA1E5F" w:rsidRDefault="003B44CB" w:rsidP="003314A2">
      <w:pPr>
        <w:spacing w:line="360" w:lineRule="auto"/>
        <w:rPr>
          <w:rFonts w:ascii="Century Gothic" w:hAnsi="Century Gothic"/>
          <w:sz w:val="22"/>
          <w:szCs w:val="22"/>
        </w:rPr>
      </w:pPr>
    </w:p>
    <w:p w14:paraId="61F56879" w14:textId="77777777" w:rsidR="0095378E" w:rsidRDefault="0095378E"/>
    <w:tbl>
      <w:tblPr>
        <w:tblStyle w:val="Tablaconcuadrcula"/>
        <w:tblW w:w="10207" w:type="dxa"/>
        <w:tblInd w:w="-431" w:type="dxa"/>
        <w:tblLook w:val="04A0" w:firstRow="1" w:lastRow="0" w:firstColumn="1" w:lastColumn="0" w:noHBand="0" w:noVBand="1"/>
      </w:tblPr>
      <w:tblGrid>
        <w:gridCol w:w="3687"/>
        <w:gridCol w:w="6520"/>
      </w:tblGrid>
      <w:tr w:rsidR="002633C0" w:rsidRPr="00BA1E5F" w14:paraId="49B1F103" w14:textId="77777777" w:rsidTr="00BA1E5F">
        <w:tc>
          <w:tcPr>
            <w:tcW w:w="3687" w:type="dxa"/>
          </w:tcPr>
          <w:p w14:paraId="673B76C6" w14:textId="23992614" w:rsidR="002633C0" w:rsidRPr="00BA1E5F" w:rsidRDefault="00BA1E5F" w:rsidP="003314A2">
            <w:pPr>
              <w:spacing w:line="360" w:lineRule="auto"/>
              <w:rPr>
                <w:rFonts w:ascii="Century Gothic" w:hAnsi="Century Gothic"/>
                <w:sz w:val="22"/>
                <w:szCs w:val="22"/>
              </w:rPr>
            </w:pPr>
            <w:r w:rsidRPr="00BA1E5F">
              <w:rPr>
                <w:rFonts w:ascii="Century Gothic" w:hAnsi="Century Gothic"/>
                <w:b/>
                <w:bCs/>
                <w:sz w:val="22"/>
                <w:szCs w:val="22"/>
              </w:rPr>
              <w:t>Calificación de la contingencia</w:t>
            </w:r>
          </w:p>
        </w:tc>
        <w:tc>
          <w:tcPr>
            <w:tcW w:w="6520" w:type="dxa"/>
          </w:tcPr>
          <w:p w14:paraId="6F4874B3" w14:textId="364A2124" w:rsidR="002633C0" w:rsidRPr="00BA1E5F" w:rsidRDefault="001B54EA" w:rsidP="003314A2">
            <w:pPr>
              <w:spacing w:line="360" w:lineRule="auto"/>
              <w:rPr>
                <w:rFonts w:ascii="Century Gothic" w:hAnsi="Century Gothic"/>
                <w:sz w:val="22"/>
                <w:szCs w:val="22"/>
              </w:rPr>
            </w:pPr>
            <w:r>
              <w:rPr>
                <w:rFonts w:ascii="Century Gothic" w:hAnsi="Century Gothic"/>
                <w:sz w:val="22"/>
                <w:szCs w:val="22"/>
              </w:rPr>
              <w:t>PROBABLE</w:t>
            </w:r>
          </w:p>
        </w:tc>
      </w:tr>
      <w:tr w:rsidR="002633C0" w:rsidRPr="00BA1E5F" w14:paraId="47B026EC" w14:textId="77777777" w:rsidTr="00BA1E5F">
        <w:tc>
          <w:tcPr>
            <w:tcW w:w="3687" w:type="dxa"/>
          </w:tcPr>
          <w:p w14:paraId="4A77CED7" w14:textId="00C97735" w:rsidR="002633C0" w:rsidRPr="00BA1E5F" w:rsidRDefault="00BA1E5F" w:rsidP="003314A2">
            <w:pPr>
              <w:spacing w:line="360" w:lineRule="auto"/>
              <w:rPr>
                <w:rFonts w:ascii="Century Gothic" w:hAnsi="Century Gothic"/>
                <w:b/>
                <w:bCs/>
                <w:sz w:val="22"/>
                <w:szCs w:val="22"/>
              </w:rPr>
            </w:pPr>
            <w:r w:rsidRPr="00BA1E5F">
              <w:rPr>
                <w:rFonts w:ascii="Century Gothic" w:hAnsi="Century Gothic"/>
                <w:b/>
                <w:bCs/>
                <w:sz w:val="22"/>
                <w:szCs w:val="22"/>
              </w:rPr>
              <w:t xml:space="preserve">Reserva sugerida: </w:t>
            </w:r>
          </w:p>
        </w:tc>
        <w:tc>
          <w:tcPr>
            <w:tcW w:w="6520" w:type="dxa"/>
          </w:tcPr>
          <w:p w14:paraId="7146E445" w14:textId="1FC375FA" w:rsidR="002633C0" w:rsidRPr="00BA1E5F" w:rsidRDefault="008C532D" w:rsidP="003314A2">
            <w:pPr>
              <w:spacing w:line="360" w:lineRule="auto"/>
              <w:rPr>
                <w:rFonts w:ascii="Century Gothic" w:hAnsi="Century Gothic"/>
                <w:sz w:val="22"/>
                <w:szCs w:val="22"/>
              </w:rPr>
            </w:pPr>
            <w:r>
              <w:rPr>
                <w:rFonts w:ascii="Century Gothic" w:hAnsi="Century Gothic"/>
                <w:sz w:val="22"/>
                <w:szCs w:val="22"/>
              </w:rPr>
              <w:t xml:space="preserve">Se sugiere como reserva el </w:t>
            </w:r>
            <w:r w:rsidR="005F6D3D">
              <w:rPr>
                <w:rFonts w:ascii="Century Gothic" w:hAnsi="Century Gothic"/>
                <w:sz w:val="22"/>
                <w:szCs w:val="22"/>
              </w:rPr>
              <w:t>8</w:t>
            </w:r>
            <w:r>
              <w:rPr>
                <w:rFonts w:ascii="Century Gothic" w:hAnsi="Century Gothic"/>
                <w:sz w:val="22"/>
                <w:szCs w:val="22"/>
              </w:rPr>
              <w:t>0% de la liquidación objetiva que asciende a $</w:t>
            </w:r>
            <w:r w:rsidR="005F6D3D">
              <w:rPr>
                <w:rFonts w:ascii="Century Gothic" w:hAnsi="Century Gothic"/>
                <w:sz w:val="22"/>
                <w:szCs w:val="22"/>
              </w:rPr>
              <w:t>48.473.285</w:t>
            </w:r>
          </w:p>
        </w:tc>
      </w:tr>
      <w:tr w:rsidR="00BA1E5F" w:rsidRPr="00BA1E5F" w14:paraId="22F780E0" w14:textId="77777777" w:rsidTr="008B59F4">
        <w:tc>
          <w:tcPr>
            <w:tcW w:w="10207" w:type="dxa"/>
            <w:gridSpan w:val="2"/>
            <w:shd w:val="clear" w:color="auto" w:fill="C5E0B3" w:themeFill="accent6" w:themeFillTint="66"/>
            <w:vAlign w:val="center"/>
          </w:tcPr>
          <w:p w14:paraId="2E984764" w14:textId="51214522" w:rsidR="00BA1E5F" w:rsidRPr="00BA1E5F" w:rsidRDefault="00BA1E5F" w:rsidP="00BA1E5F">
            <w:pPr>
              <w:spacing w:line="360" w:lineRule="auto"/>
              <w:jc w:val="center"/>
              <w:rPr>
                <w:rFonts w:ascii="Century Gothic" w:hAnsi="Century Gothic"/>
                <w:sz w:val="22"/>
                <w:szCs w:val="22"/>
              </w:rPr>
            </w:pPr>
            <w:r w:rsidRPr="00BA1E5F">
              <w:rPr>
                <w:rFonts w:ascii="Century Gothic" w:hAnsi="Century Gothic"/>
                <w:b/>
                <w:bCs/>
                <w:sz w:val="22"/>
                <w:szCs w:val="22"/>
              </w:rPr>
              <w:t>Concepto del apoderado</w:t>
            </w:r>
          </w:p>
        </w:tc>
      </w:tr>
      <w:tr w:rsidR="00BA1E5F" w:rsidRPr="00BA1E5F" w14:paraId="4C51FAC2" w14:textId="77777777" w:rsidTr="00BA1E5F">
        <w:trPr>
          <w:trHeight w:val="3401"/>
        </w:trPr>
        <w:tc>
          <w:tcPr>
            <w:tcW w:w="10207" w:type="dxa"/>
            <w:gridSpan w:val="2"/>
            <w:vAlign w:val="center"/>
          </w:tcPr>
          <w:p w14:paraId="6FE74018" w14:textId="2891B5A3" w:rsidR="00C73197" w:rsidRDefault="009A6A9B" w:rsidP="00C73197">
            <w:pPr>
              <w:spacing w:line="300" w:lineRule="auto"/>
              <w:jc w:val="both"/>
              <w:rPr>
                <w:rFonts w:ascii="Arial" w:hAnsi="Arial" w:cs="Arial"/>
              </w:rPr>
            </w:pPr>
            <w:r>
              <w:rPr>
                <w:rFonts w:ascii="Century Gothic" w:eastAsia="Times New Roman" w:hAnsi="Century Gothic" w:cs="Tahoma"/>
                <w:sz w:val="22"/>
                <w:szCs w:val="22"/>
                <w:lang w:val="es-ES" w:eastAsia="es-ES"/>
              </w:rPr>
              <w:t xml:space="preserve">La contingencia se califica como </w:t>
            </w:r>
            <w:r w:rsidR="00C73197">
              <w:rPr>
                <w:rFonts w:ascii="Century Gothic" w:eastAsia="Times New Roman" w:hAnsi="Century Gothic" w:cs="Tahoma"/>
                <w:b/>
                <w:bCs/>
                <w:sz w:val="22"/>
                <w:szCs w:val="22"/>
                <w:lang w:val="es-ES" w:eastAsia="es-ES"/>
              </w:rPr>
              <w:t>PROBABLE</w:t>
            </w:r>
            <w:r>
              <w:rPr>
                <w:rFonts w:ascii="Century Gothic" w:eastAsia="Times New Roman" w:hAnsi="Century Gothic" w:cs="Tahoma"/>
                <w:sz w:val="22"/>
                <w:szCs w:val="22"/>
                <w:lang w:val="es-ES" w:eastAsia="es-ES"/>
              </w:rPr>
              <w:t xml:space="preserve">, ya que </w:t>
            </w:r>
            <w:r w:rsidR="00C73197" w:rsidRPr="003D29A6">
              <w:rPr>
                <w:rFonts w:ascii="Century Gothic" w:eastAsia="Times New Roman" w:hAnsi="Century Gothic" w:cs="Tahoma"/>
                <w:sz w:val="22"/>
                <w:szCs w:val="22"/>
                <w:lang w:val="es-ES" w:eastAsia="es-ES"/>
              </w:rPr>
              <w:t xml:space="preserve">además de que el contrato de seguro presta cobertura material y temporal, las excepciones de </w:t>
            </w:r>
            <w:r w:rsidR="00302EB5">
              <w:rPr>
                <w:rFonts w:ascii="Century Gothic" w:eastAsia="Times New Roman" w:hAnsi="Century Gothic" w:cs="Tahoma"/>
                <w:sz w:val="22"/>
                <w:szCs w:val="22"/>
                <w:lang w:val="es-ES" w:eastAsia="es-ES"/>
              </w:rPr>
              <w:t xml:space="preserve">prescripción, </w:t>
            </w:r>
            <w:r w:rsidR="00C73197" w:rsidRPr="003D29A6">
              <w:rPr>
                <w:rFonts w:ascii="Century Gothic" w:eastAsia="Times New Roman" w:hAnsi="Century Gothic" w:cs="Tahoma"/>
                <w:sz w:val="22"/>
                <w:szCs w:val="22"/>
                <w:lang w:val="es-ES" w:eastAsia="es-ES"/>
              </w:rPr>
              <w:t xml:space="preserve">falta de legitimación en la causa por activa, </w:t>
            </w:r>
            <w:r w:rsidR="00302EB5">
              <w:rPr>
                <w:rFonts w:ascii="Century Gothic" w:eastAsia="Times New Roman" w:hAnsi="Century Gothic" w:cs="Tahoma"/>
                <w:sz w:val="22"/>
                <w:szCs w:val="22"/>
                <w:lang w:val="es-ES" w:eastAsia="es-ES"/>
              </w:rPr>
              <w:t xml:space="preserve">inexistencia de obligación </w:t>
            </w:r>
            <w:r w:rsidR="00611AF2">
              <w:rPr>
                <w:rFonts w:ascii="Century Gothic" w:eastAsia="Times New Roman" w:hAnsi="Century Gothic" w:cs="Tahoma"/>
                <w:sz w:val="22"/>
                <w:szCs w:val="22"/>
                <w:lang w:val="es-ES" w:eastAsia="es-ES"/>
              </w:rPr>
              <w:t xml:space="preserve">por la no declaración del verdadero estado del riesgo, </w:t>
            </w:r>
            <w:r w:rsidR="00C73197" w:rsidRPr="003D29A6">
              <w:rPr>
                <w:rFonts w:ascii="Century Gothic" w:eastAsia="Times New Roman" w:hAnsi="Century Gothic" w:cs="Tahoma"/>
                <w:sz w:val="22"/>
                <w:szCs w:val="22"/>
                <w:lang w:val="es-ES" w:eastAsia="es-ES"/>
              </w:rPr>
              <w:t xml:space="preserve">nulidad relativa como consecuencia de reticencia y riesgos excluidos no tienen vocación de prosperidad. </w:t>
            </w:r>
          </w:p>
          <w:p w14:paraId="26E7E246" w14:textId="77777777" w:rsidR="009A6A9B" w:rsidRDefault="009A6A9B" w:rsidP="009A6A9B">
            <w:pPr>
              <w:spacing w:line="360" w:lineRule="auto"/>
              <w:jc w:val="both"/>
              <w:rPr>
                <w:rFonts w:ascii="Century Gothic" w:eastAsia="Times New Roman" w:hAnsi="Century Gothic" w:cs="Tahoma"/>
                <w:sz w:val="22"/>
                <w:szCs w:val="22"/>
                <w:lang w:val="es-ES" w:eastAsia="es-ES"/>
              </w:rPr>
            </w:pPr>
          </w:p>
          <w:p w14:paraId="28E068E1" w14:textId="3CA6668E" w:rsidR="009A6A9B" w:rsidRDefault="009A6A9B" w:rsidP="009A6A9B">
            <w:pPr>
              <w:spacing w:line="360" w:lineRule="auto"/>
              <w:jc w:val="both"/>
              <w:rPr>
                <w:rFonts w:ascii="Century Gothic" w:eastAsia="Times New Roman" w:hAnsi="Century Gothic" w:cs="Tahoma"/>
                <w:sz w:val="22"/>
                <w:szCs w:val="22"/>
                <w:lang w:val="es-ES" w:eastAsia="es-ES"/>
              </w:rPr>
            </w:pPr>
            <w:r>
              <w:rPr>
                <w:rFonts w:ascii="Century Gothic" w:eastAsia="Times New Roman" w:hAnsi="Century Gothic" w:cs="Tahoma"/>
                <w:sz w:val="22"/>
                <w:szCs w:val="22"/>
                <w:lang w:val="es-ES" w:eastAsia="es-ES"/>
              </w:rPr>
              <w:t xml:space="preserve">La póliza No. </w:t>
            </w:r>
            <w:r w:rsidR="006E4DC5">
              <w:rPr>
                <w:rFonts w:ascii="Century Gothic" w:eastAsia="Times New Roman" w:hAnsi="Century Gothic" w:cs="Tahoma"/>
                <w:sz w:val="22"/>
                <w:szCs w:val="22"/>
                <w:lang w:val="es-ES" w:eastAsia="es-ES"/>
              </w:rPr>
              <w:t>AA000051</w:t>
            </w:r>
            <w:r>
              <w:rPr>
                <w:rFonts w:ascii="Century Gothic" w:eastAsia="Times New Roman" w:hAnsi="Century Gothic" w:cs="Tahoma"/>
                <w:sz w:val="22"/>
                <w:szCs w:val="22"/>
                <w:lang w:val="es-ES" w:eastAsia="es-ES"/>
              </w:rPr>
              <w:t xml:space="preserve"> presta cobertura temporal, ya que </w:t>
            </w:r>
            <w:r w:rsidR="006E4DC5">
              <w:rPr>
                <w:rFonts w:ascii="Century Gothic" w:eastAsia="Times New Roman" w:hAnsi="Century Gothic" w:cs="Tahoma"/>
                <w:sz w:val="22"/>
                <w:szCs w:val="22"/>
                <w:lang w:val="es-ES" w:eastAsia="es-ES"/>
              </w:rPr>
              <w:t>el señor José Orlando Vargas Rodríguez falleció el día 9 de enero de 2021</w:t>
            </w:r>
            <w:r>
              <w:rPr>
                <w:rFonts w:ascii="Century Gothic" w:eastAsia="Times New Roman" w:hAnsi="Century Gothic" w:cs="Tahoma"/>
                <w:sz w:val="22"/>
                <w:szCs w:val="22"/>
                <w:lang w:val="es-ES" w:eastAsia="es-ES"/>
              </w:rPr>
              <w:t>,</w:t>
            </w:r>
            <w:r w:rsidR="006E4DC5">
              <w:rPr>
                <w:rFonts w:ascii="Century Gothic" w:eastAsia="Times New Roman" w:hAnsi="Century Gothic" w:cs="Tahoma"/>
                <w:sz w:val="22"/>
                <w:szCs w:val="22"/>
                <w:lang w:val="es-ES" w:eastAsia="es-ES"/>
              </w:rPr>
              <w:t xml:space="preserve"> es decir, dentro de la vigencia de la póliza comprendida entre</w:t>
            </w:r>
            <w:r>
              <w:rPr>
                <w:rFonts w:ascii="Century Gothic" w:eastAsia="Times New Roman" w:hAnsi="Century Gothic" w:cs="Tahoma"/>
                <w:sz w:val="22"/>
                <w:szCs w:val="22"/>
                <w:lang w:val="es-ES" w:eastAsia="es-ES"/>
              </w:rPr>
              <w:t xml:space="preserve"> </w:t>
            </w:r>
            <w:r w:rsidR="006E4DC5">
              <w:rPr>
                <w:rFonts w:ascii="Century Gothic" w:eastAsia="Times New Roman" w:hAnsi="Century Gothic" w:cs="Tahoma"/>
                <w:sz w:val="22"/>
                <w:szCs w:val="22"/>
                <w:lang w:val="es-ES" w:eastAsia="es-ES"/>
              </w:rPr>
              <w:t>el día 18 de diciembre de 2020 y el día 15 de junio de 2023</w:t>
            </w:r>
            <w:r>
              <w:rPr>
                <w:rFonts w:ascii="Century Gothic" w:eastAsia="Times New Roman" w:hAnsi="Century Gothic" w:cs="Tahoma"/>
                <w:sz w:val="22"/>
                <w:szCs w:val="22"/>
                <w:lang w:val="es-ES" w:eastAsia="es-ES"/>
              </w:rPr>
              <w:t xml:space="preserve">. Por otra parte, Presta cobertura material ya que ampara la </w:t>
            </w:r>
            <w:r w:rsidR="001E1B9F">
              <w:rPr>
                <w:rFonts w:ascii="Century Gothic" w:eastAsia="Times New Roman" w:hAnsi="Century Gothic" w:cs="Tahoma"/>
                <w:sz w:val="22"/>
                <w:szCs w:val="22"/>
                <w:lang w:val="es-ES" w:eastAsia="es-ES"/>
              </w:rPr>
              <w:t>muerte del asegurado por cualquier causa, supuesto con fundamento en el cual se busca la afectación de la póliza.</w:t>
            </w:r>
          </w:p>
          <w:p w14:paraId="44244439" w14:textId="77777777" w:rsidR="009A6A9B" w:rsidRDefault="009A6A9B" w:rsidP="009A6A9B">
            <w:pPr>
              <w:spacing w:line="360" w:lineRule="auto"/>
              <w:jc w:val="both"/>
              <w:rPr>
                <w:rFonts w:ascii="Century Gothic" w:eastAsia="Times New Roman" w:hAnsi="Century Gothic" w:cs="Tahoma"/>
                <w:sz w:val="22"/>
                <w:szCs w:val="22"/>
                <w:lang w:val="es-ES" w:eastAsia="es-ES"/>
              </w:rPr>
            </w:pPr>
          </w:p>
          <w:p w14:paraId="51F41BCD" w14:textId="1777BD0F" w:rsidR="00AE4023" w:rsidRDefault="009A6A9B" w:rsidP="009A6A9B">
            <w:pPr>
              <w:spacing w:line="360" w:lineRule="auto"/>
              <w:jc w:val="both"/>
              <w:rPr>
                <w:rFonts w:ascii="Century Gothic" w:eastAsia="Times New Roman" w:hAnsi="Century Gothic" w:cs="Tahoma"/>
                <w:sz w:val="22"/>
                <w:szCs w:val="22"/>
                <w:lang w:val="es-ES" w:eastAsia="es-ES"/>
              </w:rPr>
            </w:pPr>
            <w:r>
              <w:rPr>
                <w:rFonts w:ascii="Century Gothic" w:eastAsia="Times New Roman" w:hAnsi="Century Gothic" w:cs="Tahoma"/>
                <w:sz w:val="22"/>
                <w:szCs w:val="22"/>
                <w:lang w:val="es-ES" w:eastAsia="es-ES"/>
              </w:rPr>
              <w:t>Ahora bien, lo anterior debe analizarse de forma conjunta</w:t>
            </w:r>
            <w:r w:rsidR="001E1B9F">
              <w:rPr>
                <w:rFonts w:ascii="Century Gothic" w:eastAsia="Times New Roman" w:hAnsi="Century Gothic" w:cs="Tahoma"/>
                <w:sz w:val="22"/>
                <w:szCs w:val="22"/>
                <w:lang w:val="es-ES" w:eastAsia="es-ES"/>
              </w:rPr>
              <w:t xml:space="preserve"> con la obligación indemnizatoria de la aseguradora frente a la cual se presentan las siguientes consideraciones:</w:t>
            </w:r>
          </w:p>
          <w:p w14:paraId="26483636" w14:textId="77777777" w:rsidR="00AE4023" w:rsidRDefault="00AE4023" w:rsidP="009A6A9B">
            <w:pPr>
              <w:spacing w:line="360" w:lineRule="auto"/>
              <w:jc w:val="both"/>
              <w:rPr>
                <w:rFonts w:ascii="Century Gothic" w:eastAsia="Times New Roman" w:hAnsi="Century Gothic" w:cs="Tahoma"/>
                <w:sz w:val="22"/>
                <w:szCs w:val="22"/>
                <w:lang w:val="es-ES" w:eastAsia="es-ES"/>
              </w:rPr>
            </w:pPr>
          </w:p>
          <w:p w14:paraId="1AC20293" w14:textId="33E535AA" w:rsidR="00AE4023" w:rsidRPr="003D29A6" w:rsidRDefault="007E6AC2" w:rsidP="003D29A6">
            <w:pPr>
              <w:pStyle w:val="Textocomentario"/>
              <w:spacing w:line="360" w:lineRule="auto"/>
              <w:jc w:val="both"/>
              <w:rPr>
                <w:rFonts w:ascii="Century Gothic" w:eastAsia="Times New Roman" w:hAnsi="Century Gothic" w:cs="Tahoma"/>
                <w:sz w:val="22"/>
                <w:szCs w:val="22"/>
                <w:lang w:val="es-ES" w:eastAsia="es-ES"/>
              </w:rPr>
            </w:pPr>
            <w:r>
              <w:rPr>
                <w:rFonts w:ascii="Century Gothic" w:eastAsia="Times New Roman" w:hAnsi="Century Gothic" w:cs="Tahoma"/>
                <w:sz w:val="22"/>
                <w:szCs w:val="22"/>
                <w:lang w:val="es-ES" w:eastAsia="es-ES"/>
              </w:rPr>
              <w:t>En primer lugar,</w:t>
            </w:r>
            <w:r w:rsidR="00AE4023" w:rsidRPr="003D29A6">
              <w:rPr>
                <w:rFonts w:ascii="Century Gothic" w:eastAsia="Times New Roman" w:hAnsi="Century Gothic" w:cs="Tahoma"/>
                <w:sz w:val="22"/>
                <w:szCs w:val="22"/>
                <w:lang w:val="es-ES" w:eastAsia="es-ES"/>
              </w:rPr>
              <w:t xml:space="preserve"> la excepción de prescripción no tiene vocación de prosperidad toda vez que dicho fenómeno no se configuró, puesto que </w:t>
            </w:r>
            <w:r w:rsidR="00DA568E">
              <w:rPr>
                <w:rFonts w:ascii="Century Gothic" w:eastAsia="Times New Roman" w:hAnsi="Century Gothic" w:cs="Tahoma"/>
                <w:sz w:val="22"/>
                <w:szCs w:val="22"/>
                <w:lang w:val="es-ES" w:eastAsia="es-ES"/>
              </w:rPr>
              <w:t>la demandante interrumpió el</w:t>
            </w:r>
            <w:r w:rsidR="00AE4023" w:rsidRPr="003D29A6">
              <w:rPr>
                <w:rFonts w:ascii="Century Gothic" w:eastAsia="Times New Roman" w:hAnsi="Century Gothic" w:cs="Tahoma"/>
                <w:sz w:val="22"/>
                <w:szCs w:val="22"/>
                <w:lang w:val="es-ES" w:eastAsia="es-ES"/>
              </w:rPr>
              <w:t xml:space="preserve"> término el día 20 de septiembre de 2022 (fecha en la que presentó la reclamación), por lo que se reinicia el </w:t>
            </w:r>
            <w:r w:rsidR="00DA568E">
              <w:rPr>
                <w:rFonts w:ascii="Century Gothic" w:eastAsia="Times New Roman" w:hAnsi="Century Gothic" w:cs="Tahoma"/>
                <w:sz w:val="22"/>
                <w:szCs w:val="22"/>
                <w:lang w:val="es-ES" w:eastAsia="es-ES"/>
              </w:rPr>
              <w:t>mismo</w:t>
            </w:r>
            <w:r w:rsidR="00AE4023" w:rsidRPr="003D29A6">
              <w:rPr>
                <w:rFonts w:ascii="Century Gothic" w:eastAsia="Times New Roman" w:hAnsi="Century Gothic" w:cs="Tahoma"/>
                <w:sz w:val="22"/>
                <w:szCs w:val="22"/>
                <w:lang w:val="es-ES" w:eastAsia="es-ES"/>
              </w:rPr>
              <w:t xml:space="preserve"> y en tal sentido tendría hasta el 20 de septiembre de 2024</w:t>
            </w:r>
            <w:r w:rsidR="00DA568E">
              <w:rPr>
                <w:rFonts w:ascii="Century Gothic" w:eastAsia="Times New Roman" w:hAnsi="Century Gothic" w:cs="Tahoma"/>
                <w:sz w:val="22"/>
                <w:szCs w:val="22"/>
                <w:lang w:val="es-ES" w:eastAsia="es-ES"/>
              </w:rPr>
              <w:t xml:space="preserve"> para la presentación de la </w:t>
            </w:r>
            <w:r w:rsidR="00DA568E">
              <w:rPr>
                <w:rFonts w:ascii="Century Gothic" w:eastAsia="Times New Roman" w:hAnsi="Century Gothic" w:cs="Tahoma"/>
                <w:sz w:val="22"/>
                <w:szCs w:val="22"/>
                <w:lang w:val="es-ES" w:eastAsia="es-ES"/>
              </w:rPr>
              <w:lastRenderedPageBreak/>
              <w:t>demanda</w:t>
            </w:r>
            <w:r w:rsidR="00AE4023" w:rsidRPr="003D29A6">
              <w:rPr>
                <w:rFonts w:ascii="Century Gothic" w:eastAsia="Times New Roman" w:hAnsi="Century Gothic" w:cs="Tahoma"/>
                <w:sz w:val="22"/>
                <w:szCs w:val="22"/>
                <w:lang w:val="es-ES" w:eastAsia="es-ES"/>
              </w:rPr>
              <w:t xml:space="preserve">, </w:t>
            </w:r>
            <w:r w:rsidR="00DA568E">
              <w:rPr>
                <w:rFonts w:ascii="Century Gothic" w:eastAsia="Times New Roman" w:hAnsi="Century Gothic" w:cs="Tahoma"/>
                <w:sz w:val="22"/>
                <w:szCs w:val="22"/>
                <w:lang w:val="es-ES" w:eastAsia="es-ES"/>
              </w:rPr>
              <w:t>lo anterior sin perjuicio de la suspensión del término que se dio por la</w:t>
            </w:r>
            <w:r w:rsidR="00AE4023" w:rsidRPr="003D29A6">
              <w:rPr>
                <w:rFonts w:ascii="Century Gothic" w:eastAsia="Times New Roman" w:hAnsi="Century Gothic" w:cs="Tahoma"/>
                <w:sz w:val="22"/>
                <w:szCs w:val="22"/>
                <w:lang w:val="es-ES" w:eastAsia="es-ES"/>
              </w:rPr>
              <w:t xml:space="preserve"> solicitud de conciliación</w:t>
            </w:r>
            <w:r w:rsidR="00DA568E">
              <w:rPr>
                <w:rFonts w:ascii="Century Gothic" w:eastAsia="Times New Roman" w:hAnsi="Century Gothic" w:cs="Tahoma"/>
                <w:sz w:val="22"/>
                <w:szCs w:val="22"/>
                <w:lang w:val="es-ES" w:eastAsia="es-ES"/>
              </w:rPr>
              <w:t xml:space="preserve">. </w:t>
            </w:r>
            <w:r w:rsidR="00AE4023" w:rsidRPr="003D29A6">
              <w:rPr>
                <w:rFonts w:ascii="Century Gothic" w:eastAsia="Times New Roman" w:hAnsi="Century Gothic" w:cs="Tahoma"/>
                <w:sz w:val="22"/>
                <w:szCs w:val="22"/>
                <w:lang w:val="es-ES" w:eastAsia="es-ES"/>
              </w:rPr>
              <w:t xml:space="preserve">En tal virtud la </w:t>
            </w:r>
            <w:r w:rsidR="00FE01A5">
              <w:rPr>
                <w:rFonts w:ascii="Century Gothic" w:eastAsia="Times New Roman" w:hAnsi="Century Gothic" w:cs="Tahoma"/>
                <w:sz w:val="22"/>
                <w:szCs w:val="22"/>
                <w:lang w:val="es-ES" w:eastAsia="es-ES"/>
              </w:rPr>
              <w:t>prescripción de</w:t>
            </w:r>
            <w:r w:rsidR="00DA568E">
              <w:rPr>
                <w:rFonts w:ascii="Century Gothic" w:eastAsia="Times New Roman" w:hAnsi="Century Gothic" w:cs="Tahoma"/>
                <w:sz w:val="22"/>
                <w:szCs w:val="22"/>
                <w:lang w:val="es-ES" w:eastAsia="es-ES"/>
              </w:rPr>
              <w:t xml:space="preserve"> las acciones derivadas del contrato de seguro hubiese ocurrido </w:t>
            </w:r>
            <w:r w:rsidR="00AE4023" w:rsidRPr="003D29A6">
              <w:rPr>
                <w:rFonts w:ascii="Century Gothic" w:eastAsia="Times New Roman" w:hAnsi="Century Gothic" w:cs="Tahoma"/>
                <w:sz w:val="22"/>
                <w:szCs w:val="22"/>
                <w:lang w:val="es-ES" w:eastAsia="es-ES"/>
              </w:rPr>
              <w:t xml:space="preserve">el </w:t>
            </w:r>
            <w:r w:rsidR="00DA568E">
              <w:rPr>
                <w:rFonts w:ascii="Century Gothic" w:eastAsia="Times New Roman" w:hAnsi="Century Gothic" w:cs="Tahoma"/>
                <w:sz w:val="22"/>
                <w:szCs w:val="22"/>
                <w:lang w:val="es-ES" w:eastAsia="es-ES"/>
              </w:rPr>
              <w:t xml:space="preserve">día </w:t>
            </w:r>
            <w:r w:rsidR="00AE4023" w:rsidRPr="003D29A6">
              <w:rPr>
                <w:rFonts w:ascii="Century Gothic" w:eastAsia="Times New Roman" w:hAnsi="Century Gothic" w:cs="Tahoma"/>
                <w:sz w:val="22"/>
                <w:szCs w:val="22"/>
                <w:lang w:val="es-ES" w:eastAsia="es-ES"/>
              </w:rPr>
              <w:t>22 de octubre de 2024. No obstante</w:t>
            </w:r>
            <w:r w:rsidR="00DA568E">
              <w:rPr>
                <w:rFonts w:ascii="Century Gothic" w:eastAsia="Times New Roman" w:hAnsi="Century Gothic" w:cs="Tahoma"/>
                <w:sz w:val="22"/>
                <w:szCs w:val="22"/>
                <w:lang w:val="es-ES" w:eastAsia="es-ES"/>
              </w:rPr>
              <w:t>,</w:t>
            </w:r>
            <w:r w:rsidR="00AE4023" w:rsidRPr="003D29A6">
              <w:rPr>
                <w:rFonts w:ascii="Century Gothic" w:eastAsia="Times New Roman" w:hAnsi="Century Gothic" w:cs="Tahoma"/>
                <w:sz w:val="22"/>
                <w:szCs w:val="22"/>
                <w:lang w:val="es-ES" w:eastAsia="es-ES"/>
              </w:rPr>
              <w:t xml:space="preserve"> la demanda se radicó </w:t>
            </w:r>
            <w:r w:rsidR="00DA568E">
              <w:rPr>
                <w:rFonts w:ascii="Century Gothic" w:eastAsia="Times New Roman" w:hAnsi="Century Gothic" w:cs="Tahoma"/>
                <w:sz w:val="22"/>
                <w:szCs w:val="22"/>
                <w:lang w:val="es-ES" w:eastAsia="es-ES"/>
              </w:rPr>
              <w:t>en fecha previa</w:t>
            </w:r>
            <w:r w:rsidR="002E2BBA">
              <w:rPr>
                <w:rFonts w:ascii="Century Gothic" w:eastAsia="Times New Roman" w:hAnsi="Century Gothic" w:cs="Tahoma"/>
                <w:sz w:val="22"/>
                <w:szCs w:val="22"/>
                <w:lang w:val="es-ES" w:eastAsia="es-ES"/>
              </w:rPr>
              <w:t xml:space="preserve">, esto es, el 13 de octubre </w:t>
            </w:r>
            <w:r w:rsidR="00AE4023" w:rsidRPr="003D29A6">
              <w:rPr>
                <w:rFonts w:ascii="Century Gothic" w:eastAsia="Times New Roman" w:hAnsi="Century Gothic" w:cs="Tahoma"/>
                <w:sz w:val="22"/>
                <w:szCs w:val="22"/>
                <w:lang w:val="es-ES" w:eastAsia="es-ES"/>
              </w:rPr>
              <w:t xml:space="preserve">de 2023, por lo que </w:t>
            </w:r>
            <w:r w:rsidR="00906BE1">
              <w:rPr>
                <w:rFonts w:ascii="Century Gothic" w:eastAsia="Times New Roman" w:hAnsi="Century Gothic" w:cs="Tahoma"/>
                <w:sz w:val="22"/>
                <w:szCs w:val="22"/>
                <w:lang w:val="es-ES" w:eastAsia="es-ES"/>
              </w:rPr>
              <w:t xml:space="preserve">el fenómeno no se configuró. Aunado a ello, el juzgado mediante auto del 13 </w:t>
            </w:r>
            <w:r>
              <w:rPr>
                <w:rFonts w:ascii="Century Gothic" w:eastAsia="Times New Roman" w:hAnsi="Century Gothic" w:cs="Tahoma"/>
                <w:sz w:val="22"/>
                <w:szCs w:val="22"/>
                <w:lang w:val="es-ES" w:eastAsia="es-ES"/>
              </w:rPr>
              <w:t>de febrero de 2024 decidió negar la solicitud de sentencia anticipada por la configuración de la prescripción.</w:t>
            </w:r>
          </w:p>
          <w:p w14:paraId="31A4F112" w14:textId="77777777" w:rsidR="00AE4023" w:rsidRDefault="00AE4023" w:rsidP="00AE4023">
            <w:pPr>
              <w:spacing w:line="300" w:lineRule="auto"/>
              <w:jc w:val="both"/>
              <w:rPr>
                <w:rFonts w:ascii="Arial" w:hAnsi="Arial" w:cs="Arial"/>
              </w:rPr>
            </w:pPr>
          </w:p>
          <w:p w14:paraId="248AF778" w14:textId="705E72C4" w:rsidR="00AE4023" w:rsidRPr="003D29A6" w:rsidRDefault="007E6AC2" w:rsidP="00AE4023">
            <w:pPr>
              <w:spacing w:line="300" w:lineRule="auto"/>
              <w:jc w:val="both"/>
              <w:rPr>
                <w:rFonts w:ascii="Century Gothic" w:eastAsia="Times New Roman" w:hAnsi="Century Gothic" w:cs="Tahoma"/>
                <w:sz w:val="22"/>
                <w:szCs w:val="22"/>
                <w:lang w:val="es-ES" w:eastAsia="es-ES"/>
              </w:rPr>
            </w:pPr>
            <w:r w:rsidRPr="003D29A6">
              <w:rPr>
                <w:rFonts w:ascii="Century Gothic" w:eastAsia="Times New Roman" w:hAnsi="Century Gothic" w:cs="Tahoma"/>
                <w:sz w:val="22"/>
                <w:szCs w:val="22"/>
                <w:lang w:val="es-ES" w:eastAsia="es-ES"/>
              </w:rPr>
              <w:t xml:space="preserve">En segundo lugar, la </w:t>
            </w:r>
            <w:r w:rsidR="00AE4023" w:rsidRPr="003D29A6">
              <w:rPr>
                <w:rFonts w:ascii="Century Gothic" w:eastAsia="Times New Roman" w:hAnsi="Century Gothic" w:cs="Tahoma"/>
                <w:sz w:val="22"/>
                <w:szCs w:val="22"/>
                <w:lang w:val="es-ES" w:eastAsia="es-ES"/>
              </w:rPr>
              <w:t xml:space="preserve">falta de legitimación en la causa por activa no tiene vocación de prosperidad en virtud de que la demandante es </w:t>
            </w:r>
            <w:r w:rsidR="006039BA">
              <w:rPr>
                <w:rFonts w:ascii="Century Gothic" w:eastAsia="Times New Roman" w:hAnsi="Century Gothic" w:cs="Tahoma"/>
                <w:sz w:val="22"/>
                <w:szCs w:val="22"/>
                <w:lang w:val="es-ES" w:eastAsia="es-ES"/>
              </w:rPr>
              <w:t>la cónyuge</w:t>
            </w:r>
            <w:r w:rsidR="00AE4023" w:rsidRPr="003D29A6">
              <w:rPr>
                <w:rFonts w:ascii="Century Gothic" w:eastAsia="Times New Roman" w:hAnsi="Century Gothic" w:cs="Tahoma"/>
                <w:sz w:val="22"/>
                <w:szCs w:val="22"/>
                <w:lang w:val="es-ES" w:eastAsia="es-ES"/>
              </w:rPr>
              <w:t xml:space="preserve"> de</w:t>
            </w:r>
            <w:r w:rsidR="006039BA">
              <w:rPr>
                <w:rFonts w:ascii="Century Gothic" w:eastAsia="Times New Roman" w:hAnsi="Century Gothic" w:cs="Tahoma"/>
                <w:sz w:val="22"/>
                <w:szCs w:val="22"/>
                <w:lang w:val="es-ES" w:eastAsia="es-ES"/>
              </w:rPr>
              <w:t>l</w:t>
            </w:r>
            <w:r w:rsidR="00AE4023" w:rsidRPr="003D29A6">
              <w:rPr>
                <w:rFonts w:ascii="Century Gothic" w:eastAsia="Times New Roman" w:hAnsi="Century Gothic" w:cs="Tahoma"/>
                <w:sz w:val="22"/>
                <w:szCs w:val="22"/>
                <w:lang w:val="es-ES" w:eastAsia="es-ES"/>
              </w:rPr>
              <w:t xml:space="preserve"> asegurad</w:t>
            </w:r>
            <w:r w:rsidR="00E87DC2">
              <w:rPr>
                <w:rFonts w:ascii="Century Gothic" w:eastAsia="Times New Roman" w:hAnsi="Century Gothic" w:cs="Tahoma"/>
                <w:sz w:val="22"/>
                <w:szCs w:val="22"/>
                <w:lang w:val="es-ES" w:eastAsia="es-ES"/>
              </w:rPr>
              <w:t>o</w:t>
            </w:r>
            <w:r w:rsidR="00AE4023" w:rsidRPr="003D29A6">
              <w:rPr>
                <w:rFonts w:ascii="Century Gothic" w:eastAsia="Times New Roman" w:hAnsi="Century Gothic" w:cs="Tahoma"/>
                <w:sz w:val="22"/>
                <w:szCs w:val="22"/>
                <w:lang w:val="es-ES" w:eastAsia="es-ES"/>
              </w:rPr>
              <w:t xml:space="preserve"> fallecid</w:t>
            </w:r>
            <w:r w:rsidR="006039BA">
              <w:rPr>
                <w:rFonts w:ascii="Century Gothic" w:eastAsia="Times New Roman" w:hAnsi="Century Gothic" w:cs="Tahoma"/>
                <w:sz w:val="22"/>
                <w:szCs w:val="22"/>
                <w:lang w:val="es-ES" w:eastAsia="es-ES"/>
              </w:rPr>
              <w:t>o</w:t>
            </w:r>
            <w:r w:rsidR="00AE4023" w:rsidRPr="003D29A6">
              <w:rPr>
                <w:rFonts w:ascii="Century Gothic" w:eastAsia="Times New Roman" w:hAnsi="Century Gothic" w:cs="Tahoma"/>
                <w:sz w:val="22"/>
                <w:szCs w:val="22"/>
                <w:lang w:val="es-ES" w:eastAsia="es-ES"/>
              </w:rPr>
              <w:t xml:space="preserve">. Esto quiere decir, que tiene interés asegurable en el contrato de seguro pues las deudas son transmisibles por causa de muerte y en esa medida, su patrimonio podría verse afectado como consecuencia de la realización de un riesgo amparado (art 1083 del </w:t>
            </w:r>
            <w:proofErr w:type="gramStart"/>
            <w:r w:rsidR="00AE4023" w:rsidRPr="003D29A6">
              <w:rPr>
                <w:rFonts w:ascii="Century Gothic" w:eastAsia="Times New Roman" w:hAnsi="Century Gothic" w:cs="Tahoma"/>
                <w:sz w:val="22"/>
                <w:szCs w:val="22"/>
                <w:lang w:val="es-ES" w:eastAsia="es-ES"/>
              </w:rPr>
              <w:t>C.Co</w:t>
            </w:r>
            <w:proofErr w:type="gramEnd"/>
            <w:r w:rsidR="00AE4023" w:rsidRPr="003D29A6">
              <w:rPr>
                <w:rFonts w:ascii="Century Gothic" w:eastAsia="Times New Roman" w:hAnsi="Century Gothic" w:cs="Tahoma"/>
                <w:sz w:val="22"/>
                <w:szCs w:val="22"/>
                <w:lang w:val="es-ES" w:eastAsia="es-ES"/>
              </w:rPr>
              <w:t xml:space="preserve">). </w:t>
            </w:r>
          </w:p>
          <w:p w14:paraId="02447B3B" w14:textId="77777777" w:rsidR="00AE4023" w:rsidRDefault="00AE4023" w:rsidP="00AE4023">
            <w:pPr>
              <w:spacing w:line="300" w:lineRule="auto"/>
              <w:jc w:val="both"/>
              <w:rPr>
                <w:rFonts w:ascii="Arial" w:hAnsi="Arial" w:cs="Arial"/>
              </w:rPr>
            </w:pPr>
          </w:p>
          <w:p w14:paraId="51E3539D" w14:textId="77777777" w:rsidR="00E87DC2" w:rsidRDefault="00AE4023" w:rsidP="00AE4023">
            <w:pPr>
              <w:spacing w:line="300" w:lineRule="auto"/>
              <w:jc w:val="both"/>
              <w:rPr>
                <w:rFonts w:ascii="Century Gothic" w:eastAsia="Times New Roman" w:hAnsi="Century Gothic" w:cs="Tahoma"/>
                <w:sz w:val="22"/>
                <w:szCs w:val="22"/>
                <w:lang w:val="es-ES" w:eastAsia="es-ES"/>
              </w:rPr>
            </w:pPr>
            <w:r w:rsidRPr="003D29A6">
              <w:rPr>
                <w:rFonts w:ascii="Century Gothic" w:eastAsia="Times New Roman" w:hAnsi="Century Gothic" w:cs="Tahoma"/>
                <w:sz w:val="22"/>
                <w:szCs w:val="22"/>
                <w:lang w:val="es-ES" w:eastAsia="es-ES"/>
              </w:rPr>
              <w:t xml:space="preserve">Esta postura efectivamente fue acogida y desarrollada en varias providencias proferidas por la Sala de Casación Civil de la Corte Suprema de Justicia, como lo son las sentencias 1999-00019 y SC4904-2021, en donde se destaca la legitimación del deudor o de sus causahabientes o herederos para iniciar una acción judicial en donde se pretenda hacer efectiva una póliza de vida para deudores.  </w:t>
            </w:r>
          </w:p>
          <w:p w14:paraId="3995934A" w14:textId="77777777" w:rsidR="00E87DC2" w:rsidRDefault="00E87DC2" w:rsidP="00AE4023">
            <w:pPr>
              <w:spacing w:line="300" w:lineRule="auto"/>
              <w:jc w:val="both"/>
              <w:rPr>
                <w:rFonts w:ascii="Century Gothic" w:eastAsia="Times New Roman" w:hAnsi="Century Gothic" w:cs="Tahoma"/>
                <w:sz w:val="22"/>
                <w:szCs w:val="22"/>
                <w:lang w:val="es-ES" w:eastAsia="es-ES"/>
              </w:rPr>
            </w:pPr>
          </w:p>
          <w:p w14:paraId="18384899" w14:textId="52AFB3E7" w:rsidR="00AE4023" w:rsidRPr="003D29A6" w:rsidRDefault="00AE4023" w:rsidP="00AE4023">
            <w:pPr>
              <w:spacing w:line="300" w:lineRule="auto"/>
              <w:jc w:val="both"/>
              <w:rPr>
                <w:rFonts w:ascii="Century Gothic" w:eastAsia="Times New Roman" w:hAnsi="Century Gothic" w:cs="Tahoma"/>
                <w:sz w:val="22"/>
                <w:szCs w:val="22"/>
                <w:lang w:val="es-ES" w:eastAsia="es-ES"/>
              </w:rPr>
            </w:pPr>
            <w:r w:rsidRPr="003D29A6">
              <w:rPr>
                <w:rFonts w:ascii="Century Gothic" w:eastAsia="Times New Roman" w:hAnsi="Century Gothic" w:cs="Tahoma"/>
                <w:sz w:val="22"/>
                <w:szCs w:val="22"/>
                <w:lang w:val="es-ES" w:eastAsia="es-ES"/>
              </w:rPr>
              <w:t xml:space="preserve">En tercer lugar, se debe tomar en consideración que la excepción de nulidad relativa como consecuencia de la reticencia del asegurado no tiene vocación de prosperidad. Lo anterior, toda vez que dentro del plenario no se aportaron ni solicitaron pruebas para acreditar cuál habría sido la consecuencia negocial diferencial de haber conocido el verdadero estado del riesgo. </w:t>
            </w:r>
          </w:p>
          <w:p w14:paraId="4245D7F9" w14:textId="77777777" w:rsidR="00AE4023" w:rsidRDefault="00AE4023" w:rsidP="00AE4023">
            <w:pPr>
              <w:spacing w:line="300" w:lineRule="auto"/>
              <w:jc w:val="both"/>
              <w:rPr>
                <w:rFonts w:ascii="Arial" w:hAnsi="Arial" w:cs="Arial"/>
              </w:rPr>
            </w:pPr>
          </w:p>
          <w:p w14:paraId="0C7B3364" w14:textId="47A50F9C" w:rsidR="00AE4023" w:rsidRPr="003D29A6" w:rsidRDefault="00AE4023" w:rsidP="00AE4023">
            <w:pPr>
              <w:spacing w:line="300" w:lineRule="auto"/>
              <w:jc w:val="both"/>
              <w:rPr>
                <w:rFonts w:ascii="Century Gothic" w:eastAsia="Times New Roman" w:hAnsi="Century Gothic" w:cs="Tahoma"/>
                <w:sz w:val="22"/>
                <w:szCs w:val="22"/>
                <w:lang w:val="es-ES" w:eastAsia="es-ES"/>
              </w:rPr>
            </w:pPr>
            <w:r w:rsidRPr="003D29A6">
              <w:rPr>
                <w:rFonts w:ascii="Century Gothic" w:eastAsia="Times New Roman" w:hAnsi="Century Gothic" w:cs="Tahoma"/>
                <w:sz w:val="22"/>
                <w:szCs w:val="22"/>
                <w:lang w:val="es-ES" w:eastAsia="es-ES"/>
              </w:rPr>
              <w:t xml:space="preserve">En otras palabras, no existen elementos de convicción en el expediente a partir de los cuales </w:t>
            </w:r>
            <w:r w:rsidR="00E87DC2" w:rsidRPr="003D29A6">
              <w:rPr>
                <w:rFonts w:ascii="Century Gothic" w:eastAsia="Times New Roman" w:hAnsi="Century Gothic" w:cs="Tahoma"/>
                <w:sz w:val="22"/>
                <w:szCs w:val="22"/>
                <w:lang w:val="es-ES" w:eastAsia="es-ES"/>
              </w:rPr>
              <w:t xml:space="preserve">el despacho </w:t>
            </w:r>
            <w:r w:rsidRPr="003D29A6">
              <w:rPr>
                <w:rFonts w:ascii="Century Gothic" w:eastAsia="Times New Roman" w:hAnsi="Century Gothic" w:cs="Tahoma"/>
                <w:sz w:val="22"/>
                <w:szCs w:val="22"/>
                <w:lang w:val="es-ES" w:eastAsia="es-ES"/>
              </w:rPr>
              <w:t>pueda constatar que, de haber conocido la existencia de</w:t>
            </w:r>
            <w:r w:rsidR="00E87DC2" w:rsidRPr="003D29A6">
              <w:rPr>
                <w:rFonts w:ascii="Century Gothic" w:eastAsia="Times New Roman" w:hAnsi="Century Gothic" w:cs="Tahoma"/>
                <w:sz w:val="22"/>
                <w:szCs w:val="22"/>
                <w:lang w:val="es-ES" w:eastAsia="es-ES"/>
              </w:rPr>
              <w:t xml:space="preserve"> la</w:t>
            </w:r>
            <w:r w:rsidRPr="003D29A6">
              <w:rPr>
                <w:rFonts w:ascii="Century Gothic" w:eastAsia="Times New Roman" w:hAnsi="Century Gothic" w:cs="Tahoma"/>
                <w:sz w:val="22"/>
                <w:szCs w:val="22"/>
                <w:lang w:val="es-ES" w:eastAsia="es-ES"/>
              </w:rPr>
              <w:t xml:space="preserve"> </w:t>
            </w:r>
            <w:r w:rsidR="00E87DC2" w:rsidRPr="003D29A6">
              <w:rPr>
                <w:rFonts w:ascii="Century Gothic" w:eastAsia="Times New Roman" w:hAnsi="Century Gothic" w:cs="Tahoma"/>
                <w:sz w:val="22"/>
                <w:szCs w:val="22"/>
                <w:lang w:val="es-ES" w:eastAsia="es-ES"/>
              </w:rPr>
              <w:t>Mieoloma Multiple</w:t>
            </w:r>
            <w:r w:rsidR="00547AD7" w:rsidRPr="003D29A6">
              <w:rPr>
                <w:rFonts w:ascii="Century Gothic" w:eastAsia="Times New Roman" w:hAnsi="Century Gothic" w:cs="Tahoma"/>
                <w:sz w:val="22"/>
                <w:szCs w:val="22"/>
                <w:lang w:val="es-ES" w:eastAsia="es-ES"/>
              </w:rPr>
              <w:t>, Derrame pleural izquierdo</w:t>
            </w:r>
            <w:r w:rsidR="002D39ED" w:rsidRPr="003D29A6">
              <w:rPr>
                <w:rFonts w:ascii="Century Gothic" w:eastAsia="Times New Roman" w:hAnsi="Century Gothic" w:cs="Tahoma"/>
                <w:sz w:val="22"/>
                <w:szCs w:val="22"/>
                <w:lang w:val="es-ES" w:eastAsia="es-ES"/>
              </w:rPr>
              <w:t xml:space="preserve"> y Hemotorax coagulado multiloculado</w:t>
            </w:r>
            <w:r w:rsidRPr="003D29A6">
              <w:rPr>
                <w:rFonts w:ascii="Century Gothic" w:eastAsia="Times New Roman" w:hAnsi="Century Gothic" w:cs="Tahoma"/>
                <w:sz w:val="22"/>
                <w:szCs w:val="22"/>
                <w:lang w:val="es-ES" w:eastAsia="es-ES"/>
              </w:rPr>
              <w:t xml:space="preserve">, la Compañía Aseguradora hubiera extraprimado o en su defecto, se hubiera abstenido de contratar. Efectivamente, ante la ausencia de factores demostrativos no se cumplen los parámetros consagrados en el artículo 1058 del C.Co., para lograr la nulidad judicial de la póliza de seguro. </w:t>
            </w:r>
          </w:p>
          <w:p w14:paraId="6D6F4530" w14:textId="77777777" w:rsidR="00AE4023" w:rsidRDefault="00AE4023" w:rsidP="00AE4023">
            <w:pPr>
              <w:spacing w:line="300" w:lineRule="auto"/>
              <w:jc w:val="both"/>
              <w:rPr>
                <w:rFonts w:ascii="Arial" w:hAnsi="Arial" w:cs="Arial"/>
              </w:rPr>
            </w:pPr>
          </w:p>
          <w:p w14:paraId="073997FD" w14:textId="08580ED7" w:rsidR="002D39ED" w:rsidRPr="003D29A6" w:rsidRDefault="00AE4023" w:rsidP="003D29A6">
            <w:pPr>
              <w:spacing w:line="300" w:lineRule="auto"/>
              <w:jc w:val="both"/>
              <w:rPr>
                <w:rFonts w:ascii="Arial" w:hAnsi="Arial" w:cs="Arial"/>
              </w:rPr>
            </w:pPr>
            <w:r w:rsidRPr="003D29A6">
              <w:rPr>
                <w:rFonts w:ascii="Century Gothic" w:eastAsia="Times New Roman" w:hAnsi="Century Gothic" w:cs="Tahoma"/>
                <w:sz w:val="22"/>
                <w:szCs w:val="22"/>
                <w:lang w:val="es-ES" w:eastAsia="es-ES"/>
              </w:rPr>
              <w:t xml:space="preserve">En cuarto lugar, es importante tener en cuenta que la excepción de exclusiones de cobertura tampoco tiene vocación de prosperidad. Lo mencionado, toda vez que en el expediente no se observa la prueba de la entrega anticipada del condicionado general tal y como lo exige el artículo 37 de la Ley 1480 de 2011. Esto quiere decir, que las exclusiones de cobertura </w:t>
            </w:r>
            <w:r w:rsidRPr="003D29A6">
              <w:rPr>
                <w:rFonts w:ascii="Century Gothic" w:eastAsia="Times New Roman" w:hAnsi="Century Gothic" w:cs="Tahoma"/>
                <w:sz w:val="22"/>
                <w:szCs w:val="22"/>
                <w:lang w:val="es-ES" w:eastAsia="es-ES"/>
              </w:rPr>
              <w:lastRenderedPageBreak/>
              <w:t>pierden sus efectos al tornarse ineficaces de pleno derecho. Lo anterior, sin perjuicio del carácter contingente del proceso.</w:t>
            </w:r>
          </w:p>
          <w:p w14:paraId="3086C731" w14:textId="77777777" w:rsidR="00200945" w:rsidRDefault="00200945" w:rsidP="009A6A9B">
            <w:pPr>
              <w:spacing w:line="360" w:lineRule="auto"/>
              <w:jc w:val="both"/>
              <w:rPr>
                <w:rFonts w:ascii="Century Gothic" w:eastAsia="Times New Roman" w:hAnsi="Century Gothic" w:cs="Tahoma"/>
                <w:sz w:val="22"/>
                <w:szCs w:val="22"/>
                <w:lang w:val="es-ES" w:eastAsia="es-ES"/>
              </w:rPr>
            </w:pPr>
          </w:p>
          <w:p w14:paraId="3E5A194C" w14:textId="1F532071" w:rsidR="009A6A9B" w:rsidRDefault="00200945" w:rsidP="009A6A9B">
            <w:pPr>
              <w:spacing w:line="360" w:lineRule="auto"/>
              <w:jc w:val="both"/>
              <w:rPr>
                <w:rFonts w:ascii="Century Gothic" w:eastAsia="Times New Roman" w:hAnsi="Century Gothic" w:cs="Tahoma"/>
                <w:sz w:val="22"/>
                <w:szCs w:val="22"/>
                <w:lang w:val="es-ES" w:eastAsia="es-ES"/>
              </w:rPr>
            </w:pPr>
            <w:r>
              <w:rPr>
                <w:rFonts w:ascii="Century Gothic" w:eastAsia="Times New Roman" w:hAnsi="Century Gothic" w:cs="Tahoma"/>
                <w:sz w:val="22"/>
                <w:szCs w:val="22"/>
                <w:lang w:val="es-ES" w:eastAsia="es-ES"/>
              </w:rPr>
              <w:t>Lo anterior sin perjuicio del carácter contingente del proceso.</w:t>
            </w:r>
          </w:p>
          <w:p w14:paraId="58FF1192" w14:textId="77777777" w:rsidR="00BA1E5F" w:rsidRPr="009A6A9B" w:rsidRDefault="00BA1E5F" w:rsidP="00BA1E5F">
            <w:pPr>
              <w:spacing w:line="360" w:lineRule="auto"/>
              <w:jc w:val="center"/>
              <w:rPr>
                <w:rFonts w:ascii="Century Gothic" w:hAnsi="Century Gothic"/>
                <w:sz w:val="22"/>
                <w:szCs w:val="22"/>
                <w:lang w:val="es-ES"/>
              </w:rPr>
            </w:pPr>
          </w:p>
        </w:tc>
      </w:tr>
      <w:tr w:rsidR="00BA1E5F" w:rsidRPr="00BA1E5F" w14:paraId="6A3F4D91" w14:textId="77777777" w:rsidTr="008B59F4">
        <w:trPr>
          <w:trHeight w:val="1361"/>
        </w:trPr>
        <w:tc>
          <w:tcPr>
            <w:tcW w:w="10207" w:type="dxa"/>
            <w:gridSpan w:val="2"/>
            <w:vAlign w:val="center"/>
          </w:tcPr>
          <w:p w14:paraId="3A806213" w14:textId="70CCC005" w:rsidR="00BA1E5F" w:rsidRPr="00BA1E5F" w:rsidRDefault="00B94F51" w:rsidP="00BA1E5F">
            <w:pPr>
              <w:spacing w:line="360" w:lineRule="auto"/>
              <w:jc w:val="center"/>
              <w:rPr>
                <w:rFonts w:ascii="Century Gothic" w:hAnsi="Century Gothic"/>
                <w:b/>
                <w:bCs/>
                <w:sz w:val="22"/>
                <w:szCs w:val="22"/>
              </w:rPr>
            </w:pPr>
            <w:r>
              <w:rPr>
                <w:rFonts w:ascii="Century Gothic" w:hAnsi="Century Gothic"/>
                <w:b/>
                <w:bCs/>
                <w:sz w:val="22"/>
                <w:szCs w:val="22"/>
              </w:rPr>
              <w:lastRenderedPageBreak/>
              <w:t>Gustavo Alberto Herrera Ávila</w:t>
            </w:r>
          </w:p>
        </w:tc>
      </w:tr>
    </w:tbl>
    <w:p w14:paraId="66CA6B89" w14:textId="77777777" w:rsidR="002633C0" w:rsidRPr="003B44CB" w:rsidRDefault="002633C0" w:rsidP="003314A2">
      <w:pPr>
        <w:spacing w:line="360" w:lineRule="auto"/>
        <w:rPr>
          <w:rFonts w:ascii="Century Gothic" w:hAnsi="Century Gothic"/>
          <w:sz w:val="22"/>
          <w:szCs w:val="22"/>
        </w:rPr>
      </w:pPr>
    </w:p>
    <w:sectPr w:rsidR="002633C0" w:rsidRPr="003B44CB" w:rsidSect="00D33414">
      <w:headerReference w:type="even" r:id="rId11"/>
      <w:head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9CD14" w14:textId="77777777" w:rsidR="00825D0E" w:rsidRDefault="00825D0E" w:rsidP="00E7033F">
      <w:r>
        <w:separator/>
      </w:r>
    </w:p>
  </w:endnote>
  <w:endnote w:type="continuationSeparator" w:id="0">
    <w:p w14:paraId="505040D4" w14:textId="77777777" w:rsidR="00825D0E" w:rsidRDefault="00825D0E"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sto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3C1DD" w14:textId="77777777" w:rsidR="00825D0E" w:rsidRDefault="00825D0E" w:rsidP="00E7033F">
      <w:r>
        <w:separator/>
      </w:r>
    </w:p>
  </w:footnote>
  <w:footnote w:type="continuationSeparator" w:id="0">
    <w:p w14:paraId="1A21A0A5" w14:textId="77777777" w:rsidR="00825D0E" w:rsidRDefault="00825D0E"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84D66"/>
    <w:multiLevelType w:val="hybridMultilevel"/>
    <w:tmpl w:val="904E8FE0"/>
    <w:lvl w:ilvl="0" w:tplc="FE4EA0DC">
      <w:start w:val="1"/>
      <w:numFmt w:val="decimal"/>
      <w:lvlText w:val="%1."/>
      <w:lvlJc w:val="left"/>
      <w:pPr>
        <w:ind w:left="644" w:hanging="360"/>
      </w:pPr>
      <w:rPr>
        <w:rFonts w:ascii="Helvetica" w:eastAsia="Times New Roman" w:hAnsi="Helvetica" w:cs="Times New Roman"/>
      </w:r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start w:val="1"/>
      <w:numFmt w:val="decimal"/>
      <w:lvlText w:val="%4."/>
      <w:lvlJc w:val="left"/>
      <w:pPr>
        <w:ind w:left="2804" w:hanging="360"/>
      </w:pPr>
    </w:lvl>
    <w:lvl w:ilvl="4" w:tplc="240A0019">
      <w:start w:val="1"/>
      <w:numFmt w:val="lowerLetter"/>
      <w:lvlText w:val="%5."/>
      <w:lvlJc w:val="left"/>
      <w:pPr>
        <w:ind w:left="3524" w:hanging="360"/>
      </w:pPr>
    </w:lvl>
    <w:lvl w:ilvl="5" w:tplc="240A001B">
      <w:start w:val="1"/>
      <w:numFmt w:val="lowerRoman"/>
      <w:lvlText w:val="%6."/>
      <w:lvlJc w:val="right"/>
      <w:pPr>
        <w:ind w:left="4244" w:hanging="180"/>
      </w:pPr>
    </w:lvl>
    <w:lvl w:ilvl="6" w:tplc="240A000F">
      <w:start w:val="1"/>
      <w:numFmt w:val="decimal"/>
      <w:lvlText w:val="%7."/>
      <w:lvlJc w:val="left"/>
      <w:pPr>
        <w:ind w:left="4964" w:hanging="360"/>
      </w:pPr>
    </w:lvl>
    <w:lvl w:ilvl="7" w:tplc="240A0019">
      <w:start w:val="1"/>
      <w:numFmt w:val="lowerLetter"/>
      <w:lvlText w:val="%8."/>
      <w:lvlJc w:val="left"/>
      <w:pPr>
        <w:ind w:left="5684" w:hanging="360"/>
      </w:pPr>
    </w:lvl>
    <w:lvl w:ilvl="8" w:tplc="240A001B">
      <w:start w:val="1"/>
      <w:numFmt w:val="lowerRoman"/>
      <w:lvlText w:val="%9."/>
      <w:lvlJc w:val="right"/>
      <w:pPr>
        <w:ind w:left="6404" w:hanging="180"/>
      </w:pPr>
    </w:lvl>
  </w:abstractNum>
  <w:abstractNum w:abstractNumId="1" w15:restartNumberingAfterBreak="0">
    <w:nsid w:val="49870422"/>
    <w:multiLevelType w:val="hybridMultilevel"/>
    <w:tmpl w:val="31C48AA6"/>
    <w:lvl w:ilvl="0" w:tplc="FD8814CC">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ADF0B81"/>
    <w:multiLevelType w:val="hybridMultilevel"/>
    <w:tmpl w:val="E2EE738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65887842">
    <w:abstractNumId w:val="1"/>
  </w:num>
  <w:num w:numId="2" w16cid:durableId="1615478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842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15115"/>
    <w:rsid w:val="00024FC1"/>
    <w:rsid w:val="000554F9"/>
    <w:rsid w:val="00060489"/>
    <w:rsid w:val="00072BFC"/>
    <w:rsid w:val="00082BB1"/>
    <w:rsid w:val="000A1774"/>
    <w:rsid w:val="000A232F"/>
    <w:rsid w:val="000C7A7E"/>
    <w:rsid w:val="000C7EB8"/>
    <w:rsid w:val="000D0CFA"/>
    <w:rsid w:val="000D23FC"/>
    <w:rsid w:val="001129B6"/>
    <w:rsid w:val="0012124F"/>
    <w:rsid w:val="00142ED0"/>
    <w:rsid w:val="00155B73"/>
    <w:rsid w:val="00167FB1"/>
    <w:rsid w:val="00172F2A"/>
    <w:rsid w:val="00181E11"/>
    <w:rsid w:val="001B54EA"/>
    <w:rsid w:val="001C44B4"/>
    <w:rsid w:val="001D2832"/>
    <w:rsid w:val="001D7728"/>
    <w:rsid w:val="001E096B"/>
    <w:rsid w:val="001E1616"/>
    <w:rsid w:val="001E1B9F"/>
    <w:rsid w:val="001E5C79"/>
    <w:rsid w:val="001F261D"/>
    <w:rsid w:val="001F69C7"/>
    <w:rsid w:val="00200945"/>
    <w:rsid w:val="00211125"/>
    <w:rsid w:val="00263011"/>
    <w:rsid w:val="002633C0"/>
    <w:rsid w:val="00280492"/>
    <w:rsid w:val="00293F12"/>
    <w:rsid w:val="002A0E98"/>
    <w:rsid w:val="002D39ED"/>
    <w:rsid w:val="002E2BBA"/>
    <w:rsid w:val="00302EB5"/>
    <w:rsid w:val="00311097"/>
    <w:rsid w:val="00314CAF"/>
    <w:rsid w:val="00324E27"/>
    <w:rsid w:val="003314A2"/>
    <w:rsid w:val="00344ADC"/>
    <w:rsid w:val="00353486"/>
    <w:rsid w:val="003630B3"/>
    <w:rsid w:val="003827E1"/>
    <w:rsid w:val="003A3B58"/>
    <w:rsid w:val="003A740B"/>
    <w:rsid w:val="003B0B32"/>
    <w:rsid w:val="003B2FDE"/>
    <w:rsid w:val="003B3309"/>
    <w:rsid w:val="003B44CB"/>
    <w:rsid w:val="003B7F1A"/>
    <w:rsid w:val="003D29A6"/>
    <w:rsid w:val="003E097E"/>
    <w:rsid w:val="003E0D60"/>
    <w:rsid w:val="00403BFC"/>
    <w:rsid w:val="00412045"/>
    <w:rsid w:val="00427503"/>
    <w:rsid w:val="00437455"/>
    <w:rsid w:val="00467B26"/>
    <w:rsid w:val="00485837"/>
    <w:rsid w:val="00493936"/>
    <w:rsid w:val="004C6A21"/>
    <w:rsid w:val="004C6CB0"/>
    <w:rsid w:val="004C7D4E"/>
    <w:rsid w:val="004D711F"/>
    <w:rsid w:val="004F628F"/>
    <w:rsid w:val="00504FFB"/>
    <w:rsid w:val="00547AD7"/>
    <w:rsid w:val="005533BC"/>
    <w:rsid w:val="0058192D"/>
    <w:rsid w:val="005E4B28"/>
    <w:rsid w:val="005F378B"/>
    <w:rsid w:val="005F3B37"/>
    <w:rsid w:val="005F61D3"/>
    <w:rsid w:val="005F6D3D"/>
    <w:rsid w:val="006039BA"/>
    <w:rsid w:val="006050C1"/>
    <w:rsid w:val="006056E7"/>
    <w:rsid w:val="00611AF2"/>
    <w:rsid w:val="00616656"/>
    <w:rsid w:val="006441AB"/>
    <w:rsid w:val="0064423C"/>
    <w:rsid w:val="0067455F"/>
    <w:rsid w:val="00694306"/>
    <w:rsid w:val="00695E05"/>
    <w:rsid w:val="006A1563"/>
    <w:rsid w:val="006E06CC"/>
    <w:rsid w:val="006E4DC5"/>
    <w:rsid w:val="006F0CAA"/>
    <w:rsid w:val="00713BDD"/>
    <w:rsid w:val="007445DB"/>
    <w:rsid w:val="00761B63"/>
    <w:rsid w:val="00786A14"/>
    <w:rsid w:val="007903EF"/>
    <w:rsid w:val="00790F2A"/>
    <w:rsid w:val="007B2E17"/>
    <w:rsid w:val="007C37D7"/>
    <w:rsid w:val="007D1BF9"/>
    <w:rsid w:val="007D7139"/>
    <w:rsid w:val="007E6AC2"/>
    <w:rsid w:val="00816723"/>
    <w:rsid w:val="00825D0E"/>
    <w:rsid w:val="008937A9"/>
    <w:rsid w:val="00894756"/>
    <w:rsid w:val="008B59F4"/>
    <w:rsid w:val="008B61E5"/>
    <w:rsid w:val="008B685D"/>
    <w:rsid w:val="008C532D"/>
    <w:rsid w:val="008E249B"/>
    <w:rsid w:val="008F6B57"/>
    <w:rsid w:val="00906BE1"/>
    <w:rsid w:val="0095378E"/>
    <w:rsid w:val="009577DD"/>
    <w:rsid w:val="00964135"/>
    <w:rsid w:val="00974CD2"/>
    <w:rsid w:val="009820E4"/>
    <w:rsid w:val="00987619"/>
    <w:rsid w:val="00992368"/>
    <w:rsid w:val="00996B7A"/>
    <w:rsid w:val="009A06ED"/>
    <w:rsid w:val="009A3950"/>
    <w:rsid w:val="009A4CCD"/>
    <w:rsid w:val="009A6A9B"/>
    <w:rsid w:val="009C6766"/>
    <w:rsid w:val="009C73BC"/>
    <w:rsid w:val="009D1EC5"/>
    <w:rsid w:val="00A1669F"/>
    <w:rsid w:val="00A2047A"/>
    <w:rsid w:val="00A216AF"/>
    <w:rsid w:val="00A56BDF"/>
    <w:rsid w:val="00A7638F"/>
    <w:rsid w:val="00AC0846"/>
    <w:rsid w:val="00AE28C2"/>
    <w:rsid w:val="00AE4023"/>
    <w:rsid w:val="00B078BC"/>
    <w:rsid w:val="00B2787D"/>
    <w:rsid w:val="00B90E05"/>
    <w:rsid w:val="00B94F51"/>
    <w:rsid w:val="00BA0472"/>
    <w:rsid w:val="00BA1E5F"/>
    <w:rsid w:val="00C24F23"/>
    <w:rsid w:val="00C33C75"/>
    <w:rsid w:val="00C4785F"/>
    <w:rsid w:val="00C73197"/>
    <w:rsid w:val="00C931E1"/>
    <w:rsid w:val="00CB00F6"/>
    <w:rsid w:val="00CB5101"/>
    <w:rsid w:val="00CD564D"/>
    <w:rsid w:val="00CE4700"/>
    <w:rsid w:val="00D33414"/>
    <w:rsid w:val="00D35F0D"/>
    <w:rsid w:val="00D86C40"/>
    <w:rsid w:val="00D94F12"/>
    <w:rsid w:val="00DA568E"/>
    <w:rsid w:val="00DA65AF"/>
    <w:rsid w:val="00DB7F03"/>
    <w:rsid w:val="00DD6A64"/>
    <w:rsid w:val="00DE5BEB"/>
    <w:rsid w:val="00DF24A8"/>
    <w:rsid w:val="00E01328"/>
    <w:rsid w:val="00E1346B"/>
    <w:rsid w:val="00E65A08"/>
    <w:rsid w:val="00E65F23"/>
    <w:rsid w:val="00E7033F"/>
    <w:rsid w:val="00E802BC"/>
    <w:rsid w:val="00E87DC2"/>
    <w:rsid w:val="00EB5FFB"/>
    <w:rsid w:val="00EE687D"/>
    <w:rsid w:val="00F62D63"/>
    <w:rsid w:val="00F67EF8"/>
    <w:rsid w:val="00F856C2"/>
    <w:rsid w:val="00F90650"/>
    <w:rsid w:val="00F95BEC"/>
    <w:rsid w:val="00FC01A7"/>
    <w:rsid w:val="00FC71AE"/>
    <w:rsid w:val="00FD0FD5"/>
    <w:rsid w:val="00FD53B3"/>
    <w:rsid w:val="00FE01A5"/>
    <w:rsid w:val="00FE767C"/>
    <w:rsid w:val="3DE698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A6A9B"/>
    <w:rPr>
      <w:sz w:val="16"/>
      <w:szCs w:val="16"/>
    </w:rPr>
  </w:style>
  <w:style w:type="paragraph" w:styleId="Textocomentario">
    <w:name w:val="annotation text"/>
    <w:basedOn w:val="Normal"/>
    <w:link w:val="TextocomentarioCar"/>
    <w:uiPriority w:val="99"/>
    <w:unhideWhenUsed/>
    <w:rsid w:val="009A6A9B"/>
    <w:rPr>
      <w:sz w:val="20"/>
      <w:szCs w:val="20"/>
    </w:rPr>
  </w:style>
  <w:style w:type="character" w:customStyle="1" w:styleId="TextocomentarioCar">
    <w:name w:val="Texto comentario Car"/>
    <w:basedOn w:val="Fuentedeprrafopredeter"/>
    <w:link w:val="Textocomentario"/>
    <w:uiPriority w:val="99"/>
    <w:rsid w:val="009A6A9B"/>
    <w:rPr>
      <w:sz w:val="20"/>
      <w:szCs w:val="20"/>
    </w:rPr>
  </w:style>
  <w:style w:type="paragraph" w:styleId="Asuntodelcomentario">
    <w:name w:val="annotation subject"/>
    <w:basedOn w:val="Textocomentario"/>
    <w:next w:val="Textocomentario"/>
    <w:link w:val="AsuntodelcomentarioCar"/>
    <w:uiPriority w:val="99"/>
    <w:semiHidden/>
    <w:unhideWhenUsed/>
    <w:rsid w:val="009A6A9B"/>
    <w:rPr>
      <w:b/>
      <w:bCs/>
    </w:rPr>
  </w:style>
  <w:style w:type="character" w:customStyle="1" w:styleId="AsuntodelcomentarioCar">
    <w:name w:val="Asunto del comentario Car"/>
    <w:basedOn w:val="TextocomentarioCar"/>
    <w:link w:val="Asuntodelcomentario"/>
    <w:uiPriority w:val="99"/>
    <w:semiHidden/>
    <w:rsid w:val="009A6A9B"/>
    <w:rPr>
      <w:b/>
      <w:bCs/>
      <w:sz w:val="20"/>
      <w:szCs w:val="20"/>
    </w:rPr>
  </w:style>
  <w:style w:type="paragraph" w:styleId="Prrafodelista">
    <w:name w:val="List Paragraph"/>
    <w:basedOn w:val="Normal"/>
    <w:uiPriority w:val="34"/>
    <w:qFormat/>
    <w:rsid w:val="009A6A9B"/>
    <w:pPr>
      <w:ind w:left="720"/>
      <w:contextualSpacing/>
    </w:pPr>
  </w:style>
  <w:style w:type="paragraph" w:styleId="Revisin">
    <w:name w:val="Revision"/>
    <w:hidden/>
    <w:uiPriority w:val="99"/>
    <w:semiHidden/>
    <w:rsid w:val="009C6766"/>
  </w:style>
  <w:style w:type="character" w:styleId="Hipervnculo">
    <w:name w:val="Hyperlink"/>
    <w:basedOn w:val="Fuentedeprrafopredeter"/>
    <w:uiPriority w:val="99"/>
    <w:unhideWhenUsed/>
    <w:rsid w:val="00D94F12"/>
    <w:rPr>
      <w:color w:val="0563C1" w:themeColor="hyperlink"/>
      <w:u w:val="single"/>
    </w:rPr>
  </w:style>
  <w:style w:type="character" w:styleId="Mencinsinresolver">
    <w:name w:val="Unresolved Mention"/>
    <w:basedOn w:val="Fuentedeprrafopredeter"/>
    <w:uiPriority w:val="99"/>
    <w:rsid w:val="00D94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800135">
      <w:bodyDiv w:val="1"/>
      <w:marLeft w:val="0"/>
      <w:marRight w:val="0"/>
      <w:marTop w:val="0"/>
      <w:marBottom w:val="0"/>
      <w:divBdr>
        <w:top w:val="none" w:sz="0" w:space="0" w:color="auto"/>
        <w:left w:val="none" w:sz="0" w:space="0" w:color="auto"/>
        <w:bottom w:val="none" w:sz="0" w:space="0" w:color="auto"/>
        <w:right w:val="none" w:sz="0" w:space="0" w:color="auto"/>
      </w:divBdr>
    </w:div>
    <w:div w:id="17697668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E2F35B77C56BD41B46EF63C2ACA85C4" ma:contentTypeVersion="13" ma:contentTypeDescription="Crear nuevo documento." ma:contentTypeScope="" ma:versionID="99df5f753ef26f8b26562e020bbf8b46">
  <xsd:schema xmlns:xsd="http://www.w3.org/2001/XMLSchema" xmlns:xs="http://www.w3.org/2001/XMLSchema" xmlns:p="http://schemas.microsoft.com/office/2006/metadata/properties" xmlns:ns3="4d45b286-f5bc-4eef-9e33-f3b640096833" xmlns:ns4="91377260-f4f4-4c17-92b0-12507ea83392" targetNamespace="http://schemas.microsoft.com/office/2006/metadata/properties" ma:root="true" ma:fieldsID="fba6a52ba6ad29029d7b0f73f7e17152" ns3:_="" ns4:_="">
    <xsd:import namespace="4d45b286-f5bc-4eef-9e33-f3b640096833"/>
    <xsd:import namespace="91377260-f4f4-4c17-92b0-12507ea833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b286-f5bc-4eef-9e33-f3b64009683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377260-f4f4-4c17-92b0-12507ea83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E70839-FDD9-5948-A17C-9360BF004840}">
  <ds:schemaRefs>
    <ds:schemaRef ds:uri="http://schemas.openxmlformats.org/officeDocument/2006/bibliography"/>
  </ds:schemaRefs>
</ds:datastoreItem>
</file>

<file path=customXml/itemProps2.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94C345-DAAD-433D-B557-DD0A4FC94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b286-f5bc-4eef-9e33-f3b640096833"/>
    <ds:schemaRef ds:uri="91377260-f4f4-4c17-92b0-12507ea83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856D86-0E5E-49C1-A8DC-D077CA3EE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6</Pages>
  <Words>1539</Words>
  <Characters>8467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Daniel Lozano Villota</cp:lastModifiedBy>
  <cp:revision>74</cp:revision>
  <cp:lastPrinted>2025-01-20T16:39:00Z</cp:lastPrinted>
  <dcterms:created xsi:type="dcterms:W3CDTF">2025-01-20T16:39:00Z</dcterms:created>
  <dcterms:modified xsi:type="dcterms:W3CDTF">2025-05-08T19:12:00Z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0x0101002E2F35B77C56BD41B46EF63C2ACA85C4</vt:lpwstr>
  </property>
</Properties>
</file>