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ECD83" w14:textId="77777777" w:rsidR="003314A2" w:rsidRPr="0021789C" w:rsidRDefault="003314A2" w:rsidP="003314A2">
      <w:pPr>
        <w:spacing w:line="360" w:lineRule="auto"/>
        <w:rPr>
          <w:rFonts w:ascii="Century Gothic" w:hAnsi="Century Gothic"/>
          <w:sz w:val="22"/>
          <w:szCs w:val="22"/>
        </w:rPr>
      </w:pPr>
      <w:r w:rsidRPr="0021789C">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&#13;&#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21789C"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21789C" w14:paraId="077F9E4D" w14:textId="77777777" w:rsidTr="003827E1">
        <w:trPr>
          <w:trHeight w:val="454"/>
        </w:trPr>
        <w:tc>
          <w:tcPr>
            <w:tcW w:w="4537" w:type="dxa"/>
            <w:vAlign w:val="center"/>
          </w:tcPr>
          <w:p w14:paraId="239BC5A7" w14:textId="7E10D35F" w:rsidR="00F67EF8" w:rsidRPr="0021789C" w:rsidRDefault="00F67EF8" w:rsidP="003B7F1A">
            <w:pPr>
              <w:spacing w:line="360" w:lineRule="auto"/>
              <w:rPr>
                <w:rFonts w:ascii="Century Gothic" w:hAnsi="Century Gothic"/>
                <w:b/>
                <w:bCs/>
                <w:sz w:val="22"/>
                <w:szCs w:val="22"/>
              </w:rPr>
            </w:pPr>
            <w:r w:rsidRPr="0021789C">
              <w:rPr>
                <w:rFonts w:ascii="Century Gothic" w:hAnsi="Century Gothic"/>
                <w:b/>
                <w:bCs/>
                <w:sz w:val="22"/>
                <w:szCs w:val="22"/>
              </w:rPr>
              <w:t>Fecha de presentación</w:t>
            </w:r>
          </w:p>
        </w:tc>
        <w:tc>
          <w:tcPr>
            <w:tcW w:w="5670" w:type="dxa"/>
          </w:tcPr>
          <w:p w14:paraId="29FA6EF6" w14:textId="7273D560" w:rsidR="00F67EF8" w:rsidRPr="0021789C" w:rsidRDefault="0064137B" w:rsidP="00F67EF8">
            <w:pPr>
              <w:spacing w:line="276" w:lineRule="auto"/>
              <w:jc w:val="both"/>
              <w:rPr>
                <w:rFonts w:ascii="Century Gothic" w:hAnsi="Century Gothic"/>
                <w:sz w:val="22"/>
                <w:szCs w:val="22"/>
              </w:rPr>
            </w:pPr>
            <w:r w:rsidRPr="0021789C">
              <w:rPr>
                <w:rFonts w:ascii="Century Gothic" w:hAnsi="Century Gothic"/>
                <w:sz w:val="22"/>
                <w:szCs w:val="22"/>
              </w:rPr>
              <w:t>2</w:t>
            </w:r>
            <w:r w:rsidR="00723A66">
              <w:rPr>
                <w:rFonts w:ascii="Century Gothic" w:hAnsi="Century Gothic"/>
                <w:sz w:val="22"/>
                <w:szCs w:val="22"/>
              </w:rPr>
              <w:t>5</w:t>
            </w:r>
            <w:r w:rsidR="00E46DE1" w:rsidRPr="0021789C">
              <w:rPr>
                <w:rFonts w:ascii="Century Gothic" w:hAnsi="Century Gothic"/>
                <w:sz w:val="22"/>
                <w:szCs w:val="22"/>
              </w:rPr>
              <w:t>/0</w:t>
            </w:r>
            <w:r w:rsidRPr="0021789C">
              <w:rPr>
                <w:rFonts w:ascii="Century Gothic" w:hAnsi="Century Gothic"/>
                <w:sz w:val="22"/>
                <w:szCs w:val="22"/>
              </w:rPr>
              <w:t>6</w:t>
            </w:r>
            <w:r w:rsidR="00E46DE1" w:rsidRPr="0021789C">
              <w:rPr>
                <w:rFonts w:ascii="Century Gothic" w:hAnsi="Century Gothic"/>
                <w:sz w:val="22"/>
                <w:szCs w:val="22"/>
              </w:rPr>
              <w:t>/2025</w:t>
            </w:r>
          </w:p>
        </w:tc>
      </w:tr>
      <w:tr w:rsidR="00F67EF8" w:rsidRPr="0021789C" w14:paraId="6959AD48" w14:textId="77777777" w:rsidTr="003827E1">
        <w:trPr>
          <w:trHeight w:val="454"/>
        </w:trPr>
        <w:tc>
          <w:tcPr>
            <w:tcW w:w="4537" w:type="dxa"/>
            <w:vAlign w:val="center"/>
          </w:tcPr>
          <w:p w14:paraId="45E895A9" w14:textId="1E20E681" w:rsidR="00F67EF8" w:rsidRPr="0021789C" w:rsidRDefault="00F67EF8" w:rsidP="003B7F1A">
            <w:pPr>
              <w:spacing w:line="360" w:lineRule="auto"/>
              <w:rPr>
                <w:rFonts w:ascii="Century Gothic" w:hAnsi="Century Gothic"/>
                <w:b/>
                <w:bCs/>
                <w:sz w:val="22"/>
                <w:szCs w:val="22"/>
              </w:rPr>
            </w:pPr>
            <w:r w:rsidRPr="0021789C">
              <w:rPr>
                <w:rFonts w:ascii="Century Gothic" w:hAnsi="Century Gothic"/>
                <w:b/>
                <w:bCs/>
                <w:sz w:val="22"/>
                <w:szCs w:val="22"/>
              </w:rPr>
              <w:t>Tipo de abogado</w:t>
            </w:r>
          </w:p>
        </w:tc>
        <w:tc>
          <w:tcPr>
            <w:tcW w:w="5670" w:type="dxa"/>
          </w:tcPr>
          <w:p w14:paraId="06C25C40" w14:textId="118E4281" w:rsidR="00F67EF8" w:rsidRPr="0021789C" w:rsidRDefault="00E46DE1" w:rsidP="00F67EF8">
            <w:pPr>
              <w:spacing w:line="276" w:lineRule="auto"/>
              <w:jc w:val="both"/>
              <w:rPr>
                <w:rFonts w:ascii="Century Gothic" w:hAnsi="Century Gothic"/>
                <w:sz w:val="22"/>
                <w:szCs w:val="22"/>
              </w:rPr>
            </w:pPr>
            <w:r w:rsidRPr="0021789C">
              <w:rPr>
                <w:rFonts w:ascii="Century Gothic" w:hAnsi="Century Gothic"/>
                <w:sz w:val="22"/>
                <w:szCs w:val="22"/>
              </w:rPr>
              <w:t>externo</w:t>
            </w:r>
          </w:p>
        </w:tc>
      </w:tr>
      <w:tr w:rsidR="00F67EF8" w:rsidRPr="0021789C" w14:paraId="2F6DA3B0" w14:textId="77777777" w:rsidTr="003827E1">
        <w:trPr>
          <w:trHeight w:val="454"/>
        </w:trPr>
        <w:tc>
          <w:tcPr>
            <w:tcW w:w="4537" w:type="dxa"/>
            <w:vAlign w:val="center"/>
          </w:tcPr>
          <w:p w14:paraId="30599F8A" w14:textId="674A8832" w:rsidR="00F67EF8" w:rsidRPr="0021789C" w:rsidRDefault="00F67EF8" w:rsidP="003B7F1A">
            <w:pPr>
              <w:spacing w:line="360" w:lineRule="auto"/>
              <w:rPr>
                <w:rFonts w:ascii="Century Gothic" w:hAnsi="Century Gothic"/>
                <w:sz w:val="22"/>
                <w:szCs w:val="22"/>
              </w:rPr>
            </w:pPr>
            <w:r w:rsidRPr="0021789C">
              <w:rPr>
                <w:rFonts w:ascii="Century Gothic" w:hAnsi="Century Gothic"/>
                <w:b/>
                <w:bCs/>
                <w:sz w:val="22"/>
                <w:szCs w:val="22"/>
              </w:rPr>
              <w:t>Aseguradora vinculada al proceso</w:t>
            </w:r>
          </w:p>
        </w:tc>
        <w:tc>
          <w:tcPr>
            <w:tcW w:w="5670" w:type="dxa"/>
          </w:tcPr>
          <w:p w14:paraId="794A38B0" w14:textId="1311B76B" w:rsidR="00F67EF8" w:rsidRPr="0021789C" w:rsidRDefault="00E46DE1" w:rsidP="00F67EF8">
            <w:pPr>
              <w:spacing w:line="276" w:lineRule="auto"/>
              <w:jc w:val="both"/>
              <w:rPr>
                <w:rFonts w:ascii="Century Gothic" w:hAnsi="Century Gothic"/>
                <w:sz w:val="22"/>
                <w:szCs w:val="22"/>
              </w:rPr>
            </w:pPr>
            <w:r w:rsidRPr="0021789C">
              <w:rPr>
                <w:rFonts w:ascii="Century Gothic" w:hAnsi="Century Gothic"/>
                <w:sz w:val="22"/>
                <w:szCs w:val="22"/>
              </w:rPr>
              <w:t>La Equidad Seguros Generales O.C.</w:t>
            </w:r>
          </w:p>
        </w:tc>
      </w:tr>
      <w:tr w:rsidR="00F67EF8" w:rsidRPr="0021789C" w14:paraId="490540BB" w14:textId="77777777" w:rsidTr="003827E1">
        <w:trPr>
          <w:trHeight w:val="454"/>
        </w:trPr>
        <w:tc>
          <w:tcPr>
            <w:tcW w:w="4537" w:type="dxa"/>
            <w:vAlign w:val="center"/>
          </w:tcPr>
          <w:p w14:paraId="1C2D5235" w14:textId="2B4007F3" w:rsidR="00F67EF8" w:rsidRPr="0021789C" w:rsidRDefault="00992368" w:rsidP="003B7F1A">
            <w:pPr>
              <w:spacing w:line="276" w:lineRule="auto"/>
              <w:rPr>
                <w:rFonts w:ascii="Century Gothic" w:hAnsi="Century Gothic"/>
                <w:b/>
                <w:bCs/>
                <w:sz w:val="22"/>
                <w:szCs w:val="22"/>
              </w:rPr>
            </w:pPr>
            <w:r w:rsidRPr="0021789C">
              <w:rPr>
                <w:rFonts w:ascii="Century Gothic" w:hAnsi="Century Gothic"/>
                <w:b/>
                <w:bCs/>
                <w:sz w:val="22"/>
                <w:szCs w:val="22"/>
              </w:rPr>
              <w:t>SGC</w:t>
            </w:r>
          </w:p>
        </w:tc>
        <w:tc>
          <w:tcPr>
            <w:tcW w:w="5670" w:type="dxa"/>
          </w:tcPr>
          <w:p w14:paraId="11B788BC" w14:textId="616D5E78" w:rsidR="00F67EF8" w:rsidRPr="0021789C" w:rsidRDefault="0064137B" w:rsidP="00F67EF8">
            <w:pPr>
              <w:spacing w:line="276" w:lineRule="auto"/>
              <w:jc w:val="both"/>
              <w:rPr>
                <w:rFonts w:ascii="Century Gothic" w:hAnsi="Century Gothic"/>
                <w:sz w:val="22"/>
                <w:szCs w:val="22"/>
              </w:rPr>
            </w:pPr>
            <w:r w:rsidRPr="0021789C">
              <w:rPr>
                <w:rFonts w:ascii="Century Gothic" w:hAnsi="Century Gothic"/>
                <w:sz w:val="22"/>
                <w:szCs w:val="22"/>
              </w:rPr>
              <w:t>11074</w:t>
            </w:r>
          </w:p>
        </w:tc>
      </w:tr>
      <w:tr w:rsidR="00F67EF8" w:rsidRPr="0021789C" w14:paraId="1D86DF69" w14:textId="77777777" w:rsidTr="003827E1">
        <w:trPr>
          <w:trHeight w:val="454"/>
        </w:trPr>
        <w:tc>
          <w:tcPr>
            <w:tcW w:w="4537" w:type="dxa"/>
            <w:vAlign w:val="center"/>
          </w:tcPr>
          <w:p w14:paraId="699114C2" w14:textId="0BB9EC2F" w:rsidR="00F67EF8" w:rsidRPr="0021789C" w:rsidRDefault="00992368" w:rsidP="003B7F1A">
            <w:pPr>
              <w:spacing w:line="276" w:lineRule="auto"/>
              <w:rPr>
                <w:rFonts w:ascii="Century Gothic" w:hAnsi="Century Gothic"/>
                <w:b/>
                <w:bCs/>
                <w:sz w:val="22"/>
                <w:szCs w:val="22"/>
              </w:rPr>
            </w:pPr>
            <w:r w:rsidRPr="0021789C">
              <w:rPr>
                <w:rFonts w:ascii="Century Gothic" w:hAnsi="Century Gothic"/>
                <w:b/>
                <w:bCs/>
                <w:sz w:val="22"/>
                <w:szCs w:val="22"/>
              </w:rPr>
              <w:t>Despacho/Juzgado/ Tribunal</w:t>
            </w:r>
          </w:p>
        </w:tc>
        <w:tc>
          <w:tcPr>
            <w:tcW w:w="5670" w:type="dxa"/>
          </w:tcPr>
          <w:p w14:paraId="7DD6339C" w14:textId="428B00A2" w:rsidR="00F67EF8" w:rsidRPr="0021789C" w:rsidRDefault="00E46DE1" w:rsidP="00F67EF8">
            <w:pPr>
              <w:spacing w:line="276" w:lineRule="auto"/>
              <w:jc w:val="both"/>
              <w:rPr>
                <w:rFonts w:ascii="Century Gothic" w:hAnsi="Century Gothic"/>
                <w:sz w:val="22"/>
                <w:szCs w:val="22"/>
              </w:rPr>
            </w:pPr>
            <w:r w:rsidRPr="0021789C">
              <w:rPr>
                <w:rFonts w:ascii="Century Gothic" w:hAnsi="Century Gothic"/>
                <w:sz w:val="22"/>
                <w:szCs w:val="22"/>
              </w:rPr>
              <w:t>Superintendencia Financiera de Colombia Delegatura para Funciones Jurisdiccionales</w:t>
            </w:r>
          </w:p>
        </w:tc>
      </w:tr>
      <w:tr w:rsidR="00F67EF8" w:rsidRPr="0021789C" w14:paraId="54742FD8" w14:textId="77777777" w:rsidTr="003827E1">
        <w:trPr>
          <w:trHeight w:val="454"/>
        </w:trPr>
        <w:tc>
          <w:tcPr>
            <w:tcW w:w="4537" w:type="dxa"/>
            <w:vAlign w:val="center"/>
          </w:tcPr>
          <w:p w14:paraId="5A357CCF" w14:textId="3C7FFC83" w:rsidR="00F67EF8" w:rsidRPr="0021789C" w:rsidRDefault="00992368" w:rsidP="003B7F1A">
            <w:pPr>
              <w:spacing w:line="276" w:lineRule="auto"/>
              <w:rPr>
                <w:rFonts w:ascii="Century Gothic" w:hAnsi="Century Gothic"/>
                <w:b/>
                <w:bCs/>
                <w:sz w:val="22"/>
                <w:szCs w:val="22"/>
              </w:rPr>
            </w:pPr>
            <w:r w:rsidRPr="0021789C">
              <w:rPr>
                <w:rFonts w:ascii="Century Gothic" w:hAnsi="Century Gothic"/>
                <w:b/>
                <w:bCs/>
                <w:sz w:val="22"/>
                <w:szCs w:val="22"/>
              </w:rPr>
              <w:t xml:space="preserve">Ciudad </w:t>
            </w:r>
          </w:p>
        </w:tc>
        <w:tc>
          <w:tcPr>
            <w:tcW w:w="5670" w:type="dxa"/>
          </w:tcPr>
          <w:p w14:paraId="5101FDD8" w14:textId="69C7DC7F" w:rsidR="00F67EF8" w:rsidRPr="0021789C" w:rsidRDefault="00E46DE1" w:rsidP="00F67EF8">
            <w:pPr>
              <w:spacing w:line="276" w:lineRule="auto"/>
              <w:jc w:val="both"/>
              <w:rPr>
                <w:rFonts w:ascii="Century Gothic" w:hAnsi="Century Gothic"/>
                <w:sz w:val="22"/>
                <w:szCs w:val="22"/>
              </w:rPr>
            </w:pPr>
            <w:r w:rsidRPr="0021789C">
              <w:rPr>
                <w:rFonts w:ascii="Century Gothic" w:hAnsi="Century Gothic"/>
                <w:sz w:val="22"/>
                <w:szCs w:val="22"/>
              </w:rPr>
              <w:t>Bogotá D.C.</w:t>
            </w:r>
          </w:p>
        </w:tc>
      </w:tr>
      <w:tr w:rsidR="00992368" w:rsidRPr="0021789C" w14:paraId="3983A9CE" w14:textId="77777777" w:rsidTr="003827E1">
        <w:trPr>
          <w:trHeight w:val="454"/>
        </w:trPr>
        <w:tc>
          <w:tcPr>
            <w:tcW w:w="4537" w:type="dxa"/>
            <w:vAlign w:val="center"/>
          </w:tcPr>
          <w:p w14:paraId="7EC7EF81" w14:textId="3CF9A0A9" w:rsidR="00992368" w:rsidRPr="0021789C" w:rsidRDefault="008E249B" w:rsidP="003B7F1A">
            <w:pPr>
              <w:spacing w:line="276" w:lineRule="auto"/>
              <w:rPr>
                <w:rFonts w:ascii="Century Gothic" w:hAnsi="Century Gothic"/>
                <w:b/>
                <w:bCs/>
                <w:sz w:val="22"/>
                <w:szCs w:val="22"/>
              </w:rPr>
            </w:pPr>
            <w:r w:rsidRPr="0021789C">
              <w:rPr>
                <w:rFonts w:ascii="Century Gothic" w:hAnsi="Century Gothic"/>
                <w:b/>
                <w:bCs/>
                <w:sz w:val="22"/>
                <w:szCs w:val="22"/>
              </w:rPr>
              <w:t>Radicado completo 23 dígitos</w:t>
            </w:r>
          </w:p>
        </w:tc>
        <w:tc>
          <w:tcPr>
            <w:tcW w:w="5670" w:type="dxa"/>
          </w:tcPr>
          <w:p w14:paraId="573C25D1" w14:textId="1790EA5F" w:rsidR="00992368" w:rsidRPr="0021789C" w:rsidRDefault="0064137B" w:rsidP="00F67EF8">
            <w:pPr>
              <w:spacing w:line="276" w:lineRule="auto"/>
              <w:jc w:val="both"/>
              <w:rPr>
                <w:rFonts w:ascii="Century Gothic" w:hAnsi="Century Gothic"/>
                <w:sz w:val="22"/>
                <w:szCs w:val="22"/>
              </w:rPr>
            </w:pPr>
            <w:r w:rsidRPr="0021789C">
              <w:rPr>
                <w:rFonts w:ascii="Century Gothic" w:hAnsi="Century Gothic"/>
                <w:sz w:val="22"/>
                <w:szCs w:val="22"/>
              </w:rPr>
              <w:t>2025074035</w:t>
            </w:r>
          </w:p>
        </w:tc>
      </w:tr>
      <w:tr w:rsidR="00992368" w:rsidRPr="0021789C" w14:paraId="4A0D8041" w14:textId="77777777" w:rsidTr="003827E1">
        <w:trPr>
          <w:trHeight w:val="454"/>
        </w:trPr>
        <w:tc>
          <w:tcPr>
            <w:tcW w:w="4537" w:type="dxa"/>
            <w:vAlign w:val="center"/>
          </w:tcPr>
          <w:p w14:paraId="6BA2EEB5" w14:textId="7369F36B" w:rsidR="00992368" w:rsidRPr="0021789C" w:rsidRDefault="00B2787D" w:rsidP="003B7F1A">
            <w:pPr>
              <w:spacing w:line="276" w:lineRule="auto"/>
              <w:rPr>
                <w:rFonts w:ascii="Century Gothic" w:hAnsi="Century Gothic"/>
                <w:b/>
                <w:bCs/>
                <w:sz w:val="22"/>
                <w:szCs w:val="22"/>
              </w:rPr>
            </w:pPr>
            <w:r w:rsidRPr="0021789C">
              <w:rPr>
                <w:rFonts w:ascii="Century Gothic" w:hAnsi="Century Gothic"/>
                <w:b/>
                <w:bCs/>
                <w:sz w:val="22"/>
                <w:szCs w:val="22"/>
              </w:rPr>
              <w:t>Fecha de notificación</w:t>
            </w:r>
          </w:p>
        </w:tc>
        <w:tc>
          <w:tcPr>
            <w:tcW w:w="5670" w:type="dxa"/>
          </w:tcPr>
          <w:p w14:paraId="64AC88EB" w14:textId="27339967" w:rsidR="00992368" w:rsidRPr="0021789C" w:rsidRDefault="0064137B" w:rsidP="00F67EF8">
            <w:pPr>
              <w:spacing w:line="276" w:lineRule="auto"/>
              <w:jc w:val="both"/>
              <w:rPr>
                <w:rFonts w:ascii="Century Gothic" w:hAnsi="Century Gothic"/>
                <w:sz w:val="22"/>
                <w:szCs w:val="22"/>
              </w:rPr>
            </w:pPr>
            <w:r w:rsidRPr="0021789C">
              <w:rPr>
                <w:rFonts w:ascii="Century Gothic" w:hAnsi="Century Gothic"/>
                <w:sz w:val="22"/>
                <w:szCs w:val="22"/>
              </w:rPr>
              <w:t>22</w:t>
            </w:r>
            <w:r w:rsidR="00E46DE1" w:rsidRPr="0021789C">
              <w:rPr>
                <w:rFonts w:ascii="Century Gothic" w:hAnsi="Century Gothic"/>
                <w:sz w:val="22"/>
                <w:szCs w:val="22"/>
              </w:rPr>
              <w:t>/0</w:t>
            </w:r>
            <w:r w:rsidRPr="0021789C">
              <w:rPr>
                <w:rFonts w:ascii="Century Gothic" w:hAnsi="Century Gothic"/>
                <w:sz w:val="22"/>
                <w:szCs w:val="22"/>
              </w:rPr>
              <w:t>5</w:t>
            </w:r>
            <w:r w:rsidR="00E46DE1" w:rsidRPr="0021789C">
              <w:rPr>
                <w:rFonts w:ascii="Century Gothic" w:hAnsi="Century Gothic"/>
                <w:sz w:val="22"/>
                <w:szCs w:val="22"/>
              </w:rPr>
              <w:t>/2025</w:t>
            </w:r>
          </w:p>
        </w:tc>
      </w:tr>
      <w:tr w:rsidR="00992368" w:rsidRPr="0021789C" w14:paraId="028BDD81" w14:textId="77777777" w:rsidTr="003827E1">
        <w:trPr>
          <w:trHeight w:val="454"/>
        </w:trPr>
        <w:tc>
          <w:tcPr>
            <w:tcW w:w="4537" w:type="dxa"/>
            <w:vAlign w:val="center"/>
          </w:tcPr>
          <w:p w14:paraId="74AA3CB7" w14:textId="0154798B" w:rsidR="00992368" w:rsidRPr="0021789C" w:rsidRDefault="00B2787D" w:rsidP="003B7F1A">
            <w:pPr>
              <w:spacing w:line="276" w:lineRule="auto"/>
              <w:rPr>
                <w:rFonts w:ascii="Century Gothic" w:hAnsi="Century Gothic"/>
                <w:b/>
                <w:bCs/>
                <w:sz w:val="22"/>
                <w:szCs w:val="22"/>
              </w:rPr>
            </w:pPr>
            <w:r w:rsidRPr="0021789C">
              <w:rPr>
                <w:rFonts w:ascii="Century Gothic" w:hAnsi="Century Gothic"/>
                <w:b/>
                <w:bCs/>
                <w:sz w:val="22"/>
                <w:szCs w:val="22"/>
              </w:rPr>
              <w:t>Fecha vencimiento del término</w:t>
            </w:r>
          </w:p>
        </w:tc>
        <w:tc>
          <w:tcPr>
            <w:tcW w:w="5670" w:type="dxa"/>
          </w:tcPr>
          <w:p w14:paraId="41E82979" w14:textId="0C909352" w:rsidR="00992368" w:rsidRPr="0021789C" w:rsidRDefault="0064137B" w:rsidP="00F67EF8">
            <w:pPr>
              <w:spacing w:line="276" w:lineRule="auto"/>
              <w:jc w:val="both"/>
              <w:rPr>
                <w:rFonts w:ascii="Century Gothic" w:hAnsi="Century Gothic"/>
                <w:sz w:val="22"/>
                <w:szCs w:val="22"/>
              </w:rPr>
            </w:pPr>
            <w:r w:rsidRPr="0021789C">
              <w:rPr>
                <w:rFonts w:ascii="Century Gothic" w:hAnsi="Century Gothic"/>
                <w:sz w:val="22"/>
                <w:szCs w:val="22"/>
              </w:rPr>
              <w:t>2</w:t>
            </w:r>
            <w:r w:rsidR="00723A66">
              <w:rPr>
                <w:rFonts w:ascii="Century Gothic" w:hAnsi="Century Gothic"/>
                <w:sz w:val="22"/>
                <w:szCs w:val="22"/>
              </w:rPr>
              <w:t>5</w:t>
            </w:r>
            <w:r w:rsidR="00AD1BB0" w:rsidRPr="0021789C">
              <w:rPr>
                <w:rFonts w:ascii="Century Gothic" w:hAnsi="Century Gothic"/>
                <w:sz w:val="22"/>
                <w:szCs w:val="22"/>
              </w:rPr>
              <w:t>/0</w:t>
            </w:r>
            <w:r w:rsidRPr="0021789C">
              <w:rPr>
                <w:rFonts w:ascii="Century Gothic" w:hAnsi="Century Gothic"/>
                <w:sz w:val="22"/>
                <w:szCs w:val="22"/>
              </w:rPr>
              <w:t>6</w:t>
            </w:r>
            <w:r w:rsidR="00AD1BB0" w:rsidRPr="0021789C">
              <w:rPr>
                <w:rFonts w:ascii="Century Gothic" w:hAnsi="Century Gothic"/>
                <w:sz w:val="22"/>
                <w:szCs w:val="22"/>
              </w:rPr>
              <w:t>/2025</w:t>
            </w:r>
          </w:p>
        </w:tc>
      </w:tr>
    </w:tbl>
    <w:p w14:paraId="619AE562" w14:textId="77777777" w:rsidR="00BA1E5F" w:rsidRPr="0021789C" w:rsidRDefault="00BA1E5F">
      <w:pPr>
        <w:rPr>
          <w:rFonts w:ascii="Century Gothic" w:hAnsi="Century Gothic"/>
          <w:sz w:val="22"/>
          <w:szCs w:val="22"/>
        </w:rPr>
      </w:pPr>
    </w:p>
    <w:p w14:paraId="64A76143" w14:textId="77777777" w:rsidR="00BA1E5F" w:rsidRPr="0021789C"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21789C" w14:paraId="55765E90" w14:textId="77777777" w:rsidTr="0095378E">
        <w:tc>
          <w:tcPr>
            <w:tcW w:w="10207" w:type="dxa"/>
            <w:shd w:val="clear" w:color="auto" w:fill="C5E0B3" w:themeFill="accent6" w:themeFillTint="66"/>
            <w:vAlign w:val="center"/>
          </w:tcPr>
          <w:p w14:paraId="7B465D4D" w14:textId="5CAE6B68" w:rsidR="00B2787D" w:rsidRPr="0021789C" w:rsidRDefault="00B2787D" w:rsidP="00B2787D">
            <w:pPr>
              <w:spacing w:line="276" w:lineRule="auto"/>
              <w:jc w:val="center"/>
              <w:rPr>
                <w:rFonts w:ascii="Century Gothic" w:hAnsi="Century Gothic"/>
                <w:sz w:val="22"/>
                <w:szCs w:val="22"/>
              </w:rPr>
            </w:pPr>
            <w:r w:rsidRPr="0021789C">
              <w:rPr>
                <w:rFonts w:ascii="Century Gothic" w:hAnsi="Century Gothic"/>
                <w:b/>
                <w:bCs/>
                <w:sz w:val="22"/>
                <w:szCs w:val="22"/>
              </w:rPr>
              <w:t>Hechos</w:t>
            </w:r>
            <w:r w:rsidR="007C37D7" w:rsidRPr="0021789C">
              <w:rPr>
                <w:rFonts w:ascii="Century Gothic" w:hAnsi="Century Gothic"/>
                <w:b/>
                <w:bCs/>
                <w:sz w:val="22"/>
                <w:szCs w:val="22"/>
              </w:rPr>
              <w:t xml:space="preserve"> </w:t>
            </w:r>
            <w:r w:rsidR="007C37D7" w:rsidRPr="0021789C">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21789C" w14:paraId="59EA92D0" w14:textId="77777777" w:rsidTr="006056E7">
        <w:tc>
          <w:tcPr>
            <w:tcW w:w="10207" w:type="dxa"/>
            <w:vAlign w:val="center"/>
          </w:tcPr>
          <w:p w14:paraId="7D5C850F" w14:textId="77777777" w:rsidR="00B2787D" w:rsidRPr="0021789C" w:rsidRDefault="00B2787D" w:rsidP="007C37D7">
            <w:pPr>
              <w:spacing w:line="276" w:lineRule="auto"/>
              <w:jc w:val="center"/>
              <w:rPr>
                <w:rFonts w:ascii="Century Gothic" w:hAnsi="Century Gothic"/>
                <w:sz w:val="22"/>
                <w:szCs w:val="22"/>
              </w:rPr>
            </w:pPr>
          </w:p>
          <w:p w14:paraId="2A8ADCF5" w14:textId="77777777" w:rsidR="0064137B" w:rsidRPr="0021789C" w:rsidRDefault="0064137B" w:rsidP="0064137B">
            <w:pPr>
              <w:pStyle w:val="Prrafodelista"/>
              <w:numPr>
                <w:ilvl w:val="0"/>
                <w:numId w:val="1"/>
              </w:numPr>
              <w:shd w:val="clear" w:color="auto" w:fill="FFFFFF"/>
              <w:jc w:val="both"/>
              <w:textAlignment w:val="baseline"/>
              <w:rPr>
                <w:rFonts w:ascii="Century Gothic" w:eastAsia="Times New Roman" w:hAnsi="Century Gothic" w:cs="Arial"/>
                <w:color w:val="000000"/>
                <w:sz w:val="22"/>
                <w:szCs w:val="22"/>
                <w:lang w:eastAsia="es-CO"/>
              </w:rPr>
            </w:pPr>
            <w:r w:rsidRPr="0021789C">
              <w:rPr>
                <w:rFonts w:ascii="Century Gothic" w:eastAsia="Times New Roman" w:hAnsi="Century Gothic" w:cs="Arial"/>
                <w:color w:val="000000"/>
                <w:sz w:val="22"/>
                <w:szCs w:val="22"/>
                <w:lang w:eastAsia="es-CO"/>
              </w:rPr>
              <w:t>Existe una relación de consumo mediante la celebración de un contrato de seguro entre La Equidad Seguros Generales O.C. y el señor Andrés Alberto Barreto Álvarez. El mentado contrato corresponde a la Póliza de Autos Individual Seguro Auto Protegido No. PE245657 en el que el riesgo asegurado corresponde vehículo marca Mazda línea 3 de placas GSV-289.</w:t>
            </w:r>
          </w:p>
          <w:p w14:paraId="2C4B664B" w14:textId="77777777" w:rsidR="0064137B" w:rsidRPr="0021789C" w:rsidRDefault="0064137B" w:rsidP="0064137B">
            <w:pPr>
              <w:pStyle w:val="Prrafodelista"/>
              <w:shd w:val="clear" w:color="auto" w:fill="FFFFFF"/>
              <w:jc w:val="both"/>
              <w:textAlignment w:val="baseline"/>
              <w:rPr>
                <w:rFonts w:ascii="Century Gothic" w:eastAsia="Times New Roman" w:hAnsi="Century Gothic" w:cs="Arial"/>
                <w:color w:val="000000"/>
                <w:sz w:val="22"/>
                <w:szCs w:val="22"/>
                <w:lang w:eastAsia="es-CO"/>
              </w:rPr>
            </w:pPr>
          </w:p>
          <w:p w14:paraId="63A00311" w14:textId="77777777" w:rsidR="0064137B" w:rsidRPr="0021789C" w:rsidRDefault="0064137B" w:rsidP="0064137B">
            <w:pPr>
              <w:pStyle w:val="Prrafodelista"/>
              <w:numPr>
                <w:ilvl w:val="0"/>
                <w:numId w:val="1"/>
              </w:numPr>
              <w:shd w:val="clear" w:color="auto" w:fill="FFFFFF"/>
              <w:jc w:val="both"/>
              <w:textAlignment w:val="baseline"/>
              <w:rPr>
                <w:rFonts w:ascii="Century Gothic" w:eastAsia="Times New Roman" w:hAnsi="Century Gothic" w:cs="Arial"/>
                <w:color w:val="000000"/>
                <w:sz w:val="22"/>
                <w:szCs w:val="22"/>
                <w:lang w:eastAsia="es-CO"/>
              </w:rPr>
            </w:pPr>
            <w:r w:rsidRPr="0021789C">
              <w:rPr>
                <w:rFonts w:ascii="Century Gothic" w:eastAsia="Times New Roman" w:hAnsi="Century Gothic" w:cs="Arial"/>
                <w:color w:val="000000"/>
                <w:sz w:val="22"/>
                <w:szCs w:val="22"/>
                <w:lang w:eastAsia="es-CO"/>
              </w:rPr>
              <w:t>El 23 de octubre de 2024 se presentó el hurto del vehículo marca Mazda línea 3 de placas GSV-289, por lo que se dio aviso al cuadrante de la policía, se realizó la respectiva denuncia ante Fiscalía, así como a la compañía aseguradora a través de la línea WhatsApp, obteniendo el radicado SP150143.</w:t>
            </w:r>
          </w:p>
          <w:p w14:paraId="0CA28962" w14:textId="77777777" w:rsidR="0064137B" w:rsidRPr="0021789C" w:rsidRDefault="0064137B" w:rsidP="0064137B">
            <w:pPr>
              <w:pStyle w:val="Prrafodelista"/>
              <w:rPr>
                <w:rFonts w:ascii="Century Gothic" w:eastAsia="Times New Roman" w:hAnsi="Century Gothic" w:cs="Arial"/>
                <w:color w:val="000000"/>
                <w:sz w:val="22"/>
                <w:szCs w:val="22"/>
                <w:lang w:eastAsia="es-CO"/>
              </w:rPr>
            </w:pPr>
          </w:p>
          <w:p w14:paraId="527D1EC9" w14:textId="77777777" w:rsidR="0064137B" w:rsidRPr="0021789C" w:rsidRDefault="0064137B" w:rsidP="0064137B">
            <w:pPr>
              <w:pStyle w:val="Prrafodelista"/>
              <w:numPr>
                <w:ilvl w:val="0"/>
                <w:numId w:val="1"/>
              </w:numPr>
              <w:shd w:val="clear" w:color="auto" w:fill="FFFFFF"/>
              <w:jc w:val="both"/>
              <w:textAlignment w:val="baseline"/>
              <w:rPr>
                <w:rFonts w:ascii="Century Gothic" w:eastAsia="Times New Roman" w:hAnsi="Century Gothic" w:cs="Arial"/>
                <w:color w:val="000000"/>
                <w:sz w:val="22"/>
                <w:szCs w:val="22"/>
                <w:lang w:eastAsia="es-CO"/>
              </w:rPr>
            </w:pPr>
            <w:r w:rsidRPr="0021789C">
              <w:rPr>
                <w:rFonts w:ascii="Century Gothic" w:eastAsia="Times New Roman" w:hAnsi="Century Gothic" w:cs="Arial"/>
                <w:color w:val="000000"/>
                <w:sz w:val="22"/>
                <w:szCs w:val="22"/>
                <w:lang w:eastAsia="es-CO"/>
              </w:rPr>
              <w:t>La compañía aseguradora objetó la reclamación el día 09 de diciembre de 2024. Por lo anterior, se han realizado múltiples solicitudes de reconsideración, las cuales se han contestado con una ratificación a la objeción inicial.</w:t>
            </w:r>
          </w:p>
          <w:p w14:paraId="285181BA" w14:textId="34332E7A" w:rsidR="00B2787D" w:rsidRPr="0021789C" w:rsidRDefault="00B2787D" w:rsidP="0064137B">
            <w:pPr>
              <w:shd w:val="clear" w:color="auto" w:fill="FFFFFF"/>
              <w:ind w:left="360"/>
              <w:jc w:val="both"/>
              <w:rPr>
                <w:rFonts w:ascii="Century Gothic" w:eastAsia="Times New Roman" w:hAnsi="Century Gothic" w:cs="Arial"/>
                <w:color w:val="000000"/>
                <w:sz w:val="22"/>
                <w:szCs w:val="22"/>
                <w:lang w:eastAsia="es-CO"/>
              </w:rPr>
            </w:pPr>
          </w:p>
        </w:tc>
      </w:tr>
    </w:tbl>
    <w:p w14:paraId="20C76EE3" w14:textId="77777777" w:rsidR="003827E1" w:rsidRPr="0021789C"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21789C" w14:paraId="2BD14B8D" w14:textId="77777777" w:rsidTr="0095378E">
        <w:tc>
          <w:tcPr>
            <w:tcW w:w="10207" w:type="dxa"/>
            <w:gridSpan w:val="2"/>
            <w:shd w:val="clear" w:color="auto" w:fill="C5E0B3" w:themeFill="accent6" w:themeFillTint="66"/>
            <w:vAlign w:val="center"/>
          </w:tcPr>
          <w:p w14:paraId="00111EA5" w14:textId="08575358" w:rsidR="007C37D7" w:rsidRPr="0021789C" w:rsidRDefault="007C37D7" w:rsidP="007C37D7">
            <w:pPr>
              <w:spacing w:line="276" w:lineRule="auto"/>
              <w:jc w:val="center"/>
              <w:rPr>
                <w:rFonts w:ascii="Century Gothic" w:hAnsi="Century Gothic"/>
                <w:sz w:val="22"/>
                <w:szCs w:val="22"/>
              </w:rPr>
            </w:pPr>
            <w:r w:rsidRPr="0021789C">
              <w:rPr>
                <w:rFonts w:ascii="Century Gothic" w:hAnsi="Century Gothic"/>
                <w:b/>
                <w:bCs/>
                <w:sz w:val="22"/>
                <w:szCs w:val="22"/>
              </w:rPr>
              <w:t xml:space="preserve">Pretensiones </w:t>
            </w:r>
            <w:r w:rsidRPr="0021789C">
              <w:rPr>
                <w:rFonts w:ascii="Century Gothic" w:hAnsi="Century Gothic"/>
                <w:sz w:val="22"/>
                <w:szCs w:val="22"/>
              </w:rPr>
              <w:t>(haga un relato o enliste las pretensiones de la demanda/llamamiento en garantía)</w:t>
            </w:r>
          </w:p>
        </w:tc>
      </w:tr>
      <w:tr w:rsidR="007C37D7" w:rsidRPr="0021789C" w14:paraId="2B7256CB" w14:textId="77777777" w:rsidTr="006056E7">
        <w:tc>
          <w:tcPr>
            <w:tcW w:w="10207" w:type="dxa"/>
            <w:gridSpan w:val="2"/>
            <w:vAlign w:val="center"/>
          </w:tcPr>
          <w:p w14:paraId="3E34201A" w14:textId="77777777" w:rsidR="0064137B" w:rsidRPr="0021789C" w:rsidRDefault="0064137B" w:rsidP="0064137B">
            <w:pPr>
              <w:pStyle w:val="Prrafodelista"/>
              <w:numPr>
                <w:ilvl w:val="0"/>
                <w:numId w:val="2"/>
              </w:numPr>
              <w:shd w:val="clear" w:color="auto" w:fill="FFFFFF"/>
              <w:jc w:val="both"/>
              <w:rPr>
                <w:rFonts w:ascii="Century Gothic" w:eastAsia="Times New Roman" w:hAnsi="Century Gothic" w:cs="Arial"/>
                <w:color w:val="000000"/>
                <w:sz w:val="22"/>
                <w:szCs w:val="22"/>
                <w:bdr w:val="none" w:sz="0" w:space="0" w:color="auto" w:frame="1"/>
                <w:lang w:eastAsia="es-CO"/>
              </w:rPr>
            </w:pPr>
            <w:r w:rsidRPr="0021789C">
              <w:rPr>
                <w:rFonts w:ascii="Century Gothic" w:eastAsia="Times New Roman" w:hAnsi="Century Gothic" w:cs="Arial"/>
                <w:color w:val="000000"/>
                <w:sz w:val="22"/>
                <w:szCs w:val="22"/>
                <w:bdr w:val="none" w:sz="0" w:space="0" w:color="auto" w:frame="1"/>
                <w:lang w:eastAsia="es-CO"/>
              </w:rPr>
              <w:t>Declarar que entre Andrés Alberto Barreto Álvarez y La Equidad Seguros Generales O.C. existe un contrato de seguro válido.</w:t>
            </w:r>
          </w:p>
          <w:p w14:paraId="0EE75778" w14:textId="77777777" w:rsidR="0064137B" w:rsidRPr="0021789C" w:rsidRDefault="0064137B" w:rsidP="0064137B">
            <w:pPr>
              <w:pStyle w:val="Prrafodelista"/>
              <w:shd w:val="clear" w:color="auto" w:fill="FFFFFF"/>
              <w:jc w:val="both"/>
              <w:rPr>
                <w:rFonts w:ascii="Century Gothic" w:eastAsia="Times New Roman" w:hAnsi="Century Gothic" w:cs="Arial"/>
                <w:color w:val="000000"/>
                <w:sz w:val="22"/>
                <w:szCs w:val="22"/>
                <w:bdr w:val="none" w:sz="0" w:space="0" w:color="auto" w:frame="1"/>
                <w:lang w:eastAsia="es-CO"/>
              </w:rPr>
            </w:pPr>
          </w:p>
          <w:p w14:paraId="77C06868" w14:textId="46ABF9C9" w:rsidR="00FD53B3" w:rsidRPr="0021789C" w:rsidRDefault="0064137B" w:rsidP="0064137B">
            <w:pPr>
              <w:pStyle w:val="Prrafodelista"/>
              <w:numPr>
                <w:ilvl w:val="0"/>
                <w:numId w:val="2"/>
              </w:numPr>
              <w:shd w:val="clear" w:color="auto" w:fill="FFFFFF"/>
              <w:jc w:val="both"/>
              <w:rPr>
                <w:rFonts w:ascii="Century Gothic" w:eastAsia="Times New Roman" w:hAnsi="Century Gothic" w:cs="Arial"/>
                <w:color w:val="000000"/>
                <w:sz w:val="22"/>
                <w:szCs w:val="22"/>
                <w:bdr w:val="none" w:sz="0" w:space="0" w:color="auto" w:frame="1"/>
                <w:lang w:eastAsia="es-CO"/>
              </w:rPr>
            </w:pPr>
            <w:r w:rsidRPr="0021789C">
              <w:rPr>
                <w:rFonts w:ascii="Century Gothic" w:eastAsia="Times New Roman" w:hAnsi="Century Gothic" w:cs="Arial"/>
                <w:color w:val="000000"/>
                <w:sz w:val="22"/>
                <w:szCs w:val="22"/>
                <w:bdr w:val="none" w:sz="0" w:space="0" w:color="auto" w:frame="1"/>
                <w:lang w:eastAsia="es-CO"/>
              </w:rPr>
              <w:t xml:space="preserve">Que se declare el incumplimiento del contrato de seguro por parte de la compañía aseguradora por el no reconocimiento de la indemnización tras la materialización del </w:t>
            </w:r>
            <w:r w:rsidRPr="0021789C">
              <w:rPr>
                <w:rFonts w:ascii="Century Gothic" w:eastAsia="Times New Roman" w:hAnsi="Century Gothic" w:cs="Arial"/>
                <w:color w:val="000000"/>
                <w:sz w:val="22"/>
                <w:szCs w:val="22"/>
                <w:bdr w:val="none" w:sz="0" w:space="0" w:color="auto" w:frame="1"/>
                <w:lang w:eastAsia="es-CO"/>
              </w:rPr>
              <w:lastRenderedPageBreak/>
              <w:t>riego de hurto, el cual está amparado por la póliza</w:t>
            </w:r>
            <w:r w:rsidR="00B229C7">
              <w:rPr>
                <w:rFonts w:ascii="Century Gothic" w:eastAsia="Times New Roman" w:hAnsi="Century Gothic" w:cs="Arial"/>
                <w:color w:val="000000"/>
                <w:sz w:val="22"/>
                <w:szCs w:val="22"/>
                <w:bdr w:val="none" w:sz="0" w:space="0" w:color="auto" w:frame="1"/>
                <w:lang w:eastAsia="es-CO"/>
              </w:rPr>
              <w:t xml:space="preserve"> bajo un valor asegurado de $87.900.000</w:t>
            </w:r>
          </w:p>
        </w:tc>
      </w:tr>
      <w:tr w:rsidR="00992368" w:rsidRPr="0021789C" w14:paraId="50D1C7A7" w14:textId="77777777" w:rsidTr="003827E1">
        <w:trPr>
          <w:trHeight w:val="510"/>
        </w:trPr>
        <w:tc>
          <w:tcPr>
            <w:tcW w:w="4537" w:type="dxa"/>
            <w:vAlign w:val="center"/>
          </w:tcPr>
          <w:p w14:paraId="013247F4" w14:textId="68D4118C" w:rsidR="00992368" w:rsidRPr="0021789C" w:rsidRDefault="001E1616" w:rsidP="003B7F1A">
            <w:pPr>
              <w:spacing w:line="276" w:lineRule="auto"/>
              <w:rPr>
                <w:rFonts w:ascii="Century Gothic" w:hAnsi="Century Gothic"/>
                <w:b/>
                <w:bCs/>
                <w:sz w:val="22"/>
                <w:szCs w:val="22"/>
              </w:rPr>
            </w:pPr>
            <w:r w:rsidRPr="0021789C">
              <w:rPr>
                <w:rFonts w:ascii="Century Gothic" w:hAnsi="Century Gothic"/>
                <w:b/>
                <w:bCs/>
                <w:sz w:val="22"/>
                <w:szCs w:val="22"/>
              </w:rPr>
              <w:lastRenderedPageBreak/>
              <w:t xml:space="preserve">Valor total de las pretensiones </w:t>
            </w:r>
          </w:p>
        </w:tc>
        <w:tc>
          <w:tcPr>
            <w:tcW w:w="5670" w:type="dxa"/>
            <w:vAlign w:val="center"/>
          </w:tcPr>
          <w:p w14:paraId="00FEFA37" w14:textId="4C60EA83" w:rsidR="00992368" w:rsidRPr="0021789C" w:rsidRDefault="001E1616" w:rsidP="003827E1">
            <w:pPr>
              <w:spacing w:line="276" w:lineRule="auto"/>
              <w:rPr>
                <w:rFonts w:ascii="Century Gothic" w:hAnsi="Century Gothic"/>
                <w:sz w:val="22"/>
                <w:szCs w:val="22"/>
              </w:rPr>
            </w:pPr>
            <w:r w:rsidRPr="0021789C">
              <w:rPr>
                <w:rFonts w:ascii="Century Gothic" w:hAnsi="Century Gothic"/>
                <w:sz w:val="22"/>
                <w:szCs w:val="22"/>
              </w:rPr>
              <w:t>$</w:t>
            </w:r>
            <w:r w:rsidR="0064137B" w:rsidRPr="0021789C">
              <w:rPr>
                <w:rFonts w:ascii="Century Gothic" w:hAnsi="Century Gothic"/>
                <w:sz w:val="22"/>
                <w:szCs w:val="22"/>
              </w:rPr>
              <w:t>87</w:t>
            </w:r>
            <w:r w:rsidR="00AD1BB0" w:rsidRPr="0021789C">
              <w:rPr>
                <w:rFonts w:ascii="Century Gothic" w:hAnsi="Century Gothic"/>
                <w:sz w:val="22"/>
                <w:szCs w:val="22"/>
              </w:rPr>
              <w:t>.900.000</w:t>
            </w:r>
          </w:p>
        </w:tc>
      </w:tr>
      <w:tr w:rsidR="00992368" w:rsidRPr="0021789C" w14:paraId="668F9413" w14:textId="77777777" w:rsidTr="003827E1">
        <w:trPr>
          <w:trHeight w:val="510"/>
        </w:trPr>
        <w:tc>
          <w:tcPr>
            <w:tcW w:w="4537" w:type="dxa"/>
            <w:vAlign w:val="center"/>
          </w:tcPr>
          <w:p w14:paraId="34E17619" w14:textId="7EF66606" w:rsidR="00992368" w:rsidRPr="0021789C" w:rsidRDefault="00FD53B3" w:rsidP="003B7F1A">
            <w:pPr>
              <w:spacing w:line="276" w:lineRule="auto"/>
              <w:rPr>
                <w:rFonts w:ascii="Century Gothic" w:hAnsi="Century Gothic"/>
                <w:b/>
                <w:bCs/>
                <w:sz w:val="22"/>
                <w:szCs w:val="22"/>
              </w:rPr>
            </w:pPr>
            <w:r w:rsidRPr="0021789C">
              <w:rPr>
                <w:rFonts w:ascii="Century Gothic" w:hAnsi="Century Gothic"/>
                <w:b/>
                <w:bCs/>
                <w:sz w:val="22"/>
                <w:szCs w:val="22"/>
              </w:rPr>
              <w:t>Valor total de las pretensiones objetivadas</w:t>
            </w:r>
          </w:p>
        </w:tc>
        <w:tc>
          <w:tcPr>
            <w:tcW w:w="5670" w:type="dxa"/>
            <w:vAlign w:val="center"/>
          </w:tcPr>
          <w:p w14:paraId="487C6084" w14:textId="057EE501" w:rsidR="00992368" w:rsidRPr="0021789C" w:rsidRDefault="003A3FE6" w:rsidP="003827E1">
            <w:pPr>
              <w:spacing w:line="276" w:lineRule="auto"/>
              <w:rPr>
                <w:rFonts w:ascii="Century Gothic" w:hAnsi="Century Gothic"/>
                <w:sz w:val="22"/>
                <w:szCs w:val="22"/>
              </w:rPr>
            </w:pPr>
            <w:r w:rsidRPr="0021789C">
              <w:rPr>
                <w:rFonts w:ascii="Century Gothic" w:hAnsi="Century Gothic"/>
                <w:sz w:val="22"/>
                <w:szCs w:val="22"/>
              </w:rPr>
              <w:t>$</w:t>
            </w:r>
            <w:r w:rsidR="00940731" w:rsidRPr="0021789C">
              <w:rPr>
                <w:rFonts w:ascii="Century Gothic" w:hAnsi="Century Gothic"/>
                <w:sz w:val="22"/>
                <w:szCs w:val="22"/>
              </w:rPr>
              <w:t>99.762.870</w:t>
            </w:r>
          </w:p>
        </w:tc>
      </w:tr>
    </w:tbl>
    <w:p w14:paraId="146E9C6D" w14:textId="77777777" w:rsidR="0095378E" w:rsidRPr="0021789C" w:rsidRDefault="0095378E">
      <w:pPr>
        <w:rPr>
          <w:rFonts w:ascii="Century Gothic" w:hAnsi="Century Gothic"/>
          <w:sz w:val="22"/>
          <w:szCs w:val="22"/>
        </w:rPr>
      </w:pPr>
    </w:p>
    <w:tbl>
      <w:tblPr>
        <w:tblStyle w:val="Tablaconcuadrcula"/>
        <w:tblW w:w="10190" w:type="dxa"/>
        <w:tblInd w:w="-431" w:type="dxa"/>
        <w:tblLook w:val="04A0" w:firstRow="1" w:lastRow="0" w:firstColumn="1" w:lastColumn="0" w:noHBand="0" w:noVBand="1"/>
      </w:tblPr>
      <w:tblGrid>
        <w:gridCol w:w="10190"/>
      </w:tblGrid>
      <w:tr w:rsidR="00E802BC" w:rsidRPr="0021789C" w14:paraId="77F9F71B" w14:textId="77777777" w:rsidTr="007732FB">
        <w:trPr>
          <w:trHeight w:val="103"/>
        </w:trPr>
        <w:tc>
          <w:tcPr>
            <w:tcW w:w="10190" w:type="dxa"/>
            <w:shd w:val="clear" w:color="auto" w:fill="C5E0B3" w:themeFill="accent6" w:themeFillTint="66"/>
            <w:vAlign w:val="center"/>
          </w:tcPr>
          <w:p w14:paraId="10E33877" w14:textId="0E982702" w:rsidR="00E802BC" w:rsidRPr="0021789C" w:rsidRDefault="00E802BC" w:rsidP="00E802BC">
            <w:pPr>
              <w:spacing w:line="276" w:lineRule="auto"/>
              <w:jc w:val="center"/>
              <w:rPr>
                <w:rFonts w:ascii="Century Gothic" w:hAnsi="Century Gothic"/>
                <w:sz w:val="22"/>
                <w:szCs w:val="22"/>
              </w:rPr>
            </w:pPr>
            <w:r w:rsidRPr="0021789C">
              <w:rPr>
                <w:rFonts w:ascii="Century Gothic" w:hAnsi="Century Gothic"/>
                <w:b/>
                <w:bCs/>
                <w:sz w:val="22"/>
                <w:szCs w:val="22"/>
              </w:rPr>
              <w:t>Liquidación de las pretensiones objetivadas</w:t>
            </w:r>
          </w:p>
        </w:tc>
      </w:tr>
      <w:tr w:rsidR="00E802BC" w:rsidRPr="0021789C" w14:paraId="33786C43" w14:textId="77777777" w:rsidTr="007732FB">
        <w:trPr>
          <w:trHeight w:val="2330"/>
        </w:trPr>
        <w:tc>
          <w:tcPr>
            <w:tcW w:w="10190" w:type="dxa"/>
          </w:tcPr>
          <w:p w14:paraId="5F361E4D" w14:textId="77777777" w:rsidR="00546ED3" w:rsidRPr="0021789C" w:rsidRDefault="00546ED3" w:rsidP="007732FB">
            <w:pPr>
              <w:rPr>
                <w:rFonts w:ascii="Century Gothic" w:hAnsi="Century Gothic"/>
                <w:sz w:val="22"/>
                <w:szCs w:val="22"/>
              </w:rPr>
            </w:pPr>
          </w:p>
          <w:p w14:paraId="7665FDCE" w14:textId="5C046EF9" w:rsidR="007732FB" w:rsidRPr="0021789C" w:rsidRDefault="007732FB" w:rsidP="007732FB">
            <w:pPr>
              <w:rPr>
                <w:rFonts w:ascii="Century Gothic" w:hAnsi="Century Gothic"/>
                <w:sz w:val="22"/>
                <w:szCs w:val="22"/>
              </w:rPr>
            </w:pPr>
            <w:r w:rsidRPr="0021789C">
              <w:rPr>
                <w:rFonts w:ascii="Century Gothic" w:hAnsi="Century Gothic"/>
                <w:sz w:val="22"/>
                <w:szCs w:val="22"/>
              </w:rPr>
              <w:t>Como liquidación objetiva de las pretensiones se estima un monto de $</w:t>
            </w:r>
            <w:r w:rsidR="00940731" w:rsidRPr="0021789C">
              <w:rPr>
                <w:rFonts w:ascii="Century Gothic" w:hAnsi="Century Gothic"/>
                <w:sz w:val="22"/>
                <w:szCs w:val="22"/>
              </w:rPr>
              <w:t>99.762.870</w:t>
            </w:r>
          </w:p>
          <w:p w14:paraId="34C7FA95" w14:textId="77777777" w:rsidR="007732FB" w:rsidRPr="0021789C" w:rsidRDefault="007732FB" w:rsidP="007732FB">
            <w:pPr>
              <w:rPr>
                <w:rFonts w:ascii="Century Gothic" w:hAnsi="Century Gothic"/>
                <w:sz w:val="22"/>
                <w:szCs w:val="22"/>
              </w:rPr>
            </w:pPr>
          </w:p>
          <w:p w14:paraId="41C6C20B" w14:textId="1C4CBFD7" w:rsidR="007732FB" w:rsidRPr="0021789C" w:rsidRDefault="007732FB" w:rsidP="0013403F">
            <w:pPr>
              <w:pStyle w:val="Prrafodelista"/>
              <w:numPr>
                <w:ilvl w:val="0"/>
                <w:numId w:val="5"/>
              </w:numPr>
              <w:jc w:val="both"/>
              <w:rPr>
                <w:rFonts w:ascii="Century Gothic" w:hAnsi="Century Gothic"/>
                <w:sz w:val="22"/>
                <w:szCs w:val="22"/>
              </w:rPr>
            </w:pPr>
            <w:r w:rsidRPr="0021789C">
              <w:rPr>
                <w:rFonts w:ascii="Century Gothic" w:hAnsi="Century Gothic"/>
                <w:sz w:val="22"/>
                <w:szCs w:val="22"/>
              </w:rPr>
              <w:t>Pérdida total por hurto o hurto calificado: Se tendrá en cuenta por concepto de valor asegurado, para el amparo de hurto de mayor cuantía la suma de $</w:t>
            </w:r>
            <w:r w:rsidR="006B11E5" w:rsidRPr="0021789C">
              <w:rPr>
                <w:rFonts w:ascii="Century Gothic" w:hAnsi="Century Gothic"/>
                <w:sz w:val="22"/>
                <w:szCs w:val="22"/>
              </w:rPr>
              <w:t>87</w:t>
            </w:r>
            <w:r w:rsidRPr="0021789C">
              <w:rPr>
                <w:rFonts w:ascii="Century Gothic" w:hAnsi="Century Gothic"/>
                <w:sz w:val="22"/>
                <w:szCs w:val="22"/>
              </w:rPr>
              <w:t>.900.000. Lo anterior, teniendo en cuenta que la Póliza estableció que Equidad cubre la desaparición total, parcial y permanente del vehículo, como consecuencia de hurto y hurto calificado.</w:t>
            </w:r>
          </w:p>
          <w:p w14:paraId="0669A9B2" w14:textId="77777777" w:rsidR="0013403F" w:rsidRPr="0021789C" w:rsidRDefault="0013403F" w:rsidP="0013403F">
            <w:pPr>
              <w:pStyle w:val="Prrafodelista"/>
              <w:jc w:val="both"/>
              <w:rPr>
                <w:rFonts w:ascii="Century Gothic" w:hAnsi="Century Gothic"/>
                <w:sz w:val="22"/>
                <w:szCs w:val="22"/>
              </w:rPr>
            </w:pPr>
          </w:p>
          <w:p w14:paraId="708D480A" w14:textId="63652148" w:rsidR="0013403F" w:rsidRPr="0021789C" w:rsidRDefault="0013403F" w:rsidP="0013403F">
            <w:pPr>
              <w:pStyle w:val="Prrafodelista"/>
              <w:numPr>
                <w:ilvl w:val="0"/>
                <w:numId w:val="5"/>
              </w:numPr>
              <w:jc w:val="both"/>
              <w:rPr>
                <w:rFonts w:ascii="Century Gothic" w:hAnsi="Century Gothic"/>
                <w:sz w:val="22"/>
                <w:szCs w:val="22"/>
              </w:rPr>
            </w:pPr>
            <w:r w:rsidRPr="0021789C">
              <w:rPr>
                <w:rFonts w:ascii="Century Gothic" w:hAnsi="Century Gothic"/>
                <w:sz w:val="22"/>
                <w:szCs w:val="22"/>
              </w:rPr>
              <w:t xml:space="preserve">Intereses de Mora: </w:t>
            </w:r>
            <w:r w:rsidR="006B11E5" w:rsidRPr="0021789C">
              <w:rPr>
                <w:rStyle w:val="xcontentpasted0"/>
                <w:rFonts w:ascii="Century Gothic" w:hAnsi="Century Gothic" w:cs="Arial"/>
                <w:sz w:val="22"/>
                <w:szCs w:val="22"/>
              </w:rPr>
              <w:t xml:space="preserve">Los intereses se liquidaron a partir del </w:t>
            </w:r>
            <w:r w:rsidR="00940731" w:rsidRPr="0021789C">
              <w:rPr>
                <w:rStyle w:val="xcontentpasted0"/>
                <w:rFonts w:ascii="Century Gothic" w:hAnsi="Century Gothic" w:cs="Arial"/>
                <w:sz w:val="22"/>
                <w:szCs w:val="22"/>
              </w:rPr>
              <w:t>2</w:t>
            </w:r>
            <w:r w:rsidR="00940731" w:rsidRPr="0021789C">
              <w:rPr>
                <w:rStyle w:val="xcontentpasted0"/>
                <w:rFonts w:ascii="Century Gothic" w:hAnsi="Century Gothic"/>
                <w:sz w:val="22"/>
                <w:szCs w:val="22"/>
              </w:rPr>
              <w:t>3</w:t>
            </w:r>
            <w:r w:rsidR="006B11E5" w:rsidRPr="0021789C">
              <w:rPr>
                <w:rStyle w:val="xcontentpasted0"/>
                <w:rFonts w:ascii="Century Gothic" w:hAnsi="Century Gothic" w:cs="Arial"/>
                <w:sz w:val="22"/>
                <w:szCs w:val="22"/>
              </w:rPr>
              <w:t xml:space="preserve"> de </w:t>
            </w:r>
            <w:r w:rsidR="00940731" w:rsidRPr="0021789C">
              <w:rPr>
                <w:rStyle w:val="xcontentpasted0"/>
                <w:rFonts w:ascii="Century Gothic" w:hAnsi="Century Gothic" w:cs="Arial"/>
                <w:sz w:val="22"/>
                <w:szCs w:val="22"/>
              </w:rPr>
              <w:t>noviembre de 2024</w:t>
            </w:r>
            <w:r w:rsidR="006B11E5" w:rsidRPr="0021789C">
              <w:rPr>
                <w:rStyle w:val="xcontentpasted0"/>
                <w:rFonts w:ascii="Century Gothic" w:hAnsi="Century Gothic" w:cs="Arial"/>
                <w:sz w:val="22"/>
                <w:szCs w:val="22"/>
              </w:rPr>
              <w:t xml:space="preserve"> (un mes después de la fecha de reclamación) y hasta la fecha de presentación de este informe</w:t>
            </w:r>
            <w:r w:rsidR="00B229C7">
              <w:rPr>
                <w:rStyle w:val="xcontentpasted0"/>
                <w:rFonts w:ascii="Century Gothic" w:hAnsi="Century Gothic" w:cs="Arial"/>
                <w:sz w:val="22"/>
                <w:szCs w:val="22"/>
              </w:rPr>
              <w:t xml:space="preserve">, </w:t>
            </w:r>
            <w:r w:rsidR="006B11E5" w:rsidRPr="0021789C">
              <w:rPr>
                <w:rStyle w:val="xcontentpasted0"/>
                <w:rFonts w:ascii="Century Gothic" w:hAnsi="Century Gothic" w:cs="Arial"/>
                <w:sz w:val="22"/>
                <w:szCs w:val="22"/>
              </w:rPr>
              <w:t>causando la suma de $</w:t>
            </w:r>
            <w:r w:rsidR="00940731" w:rsidRPr="0021789C">
              <w:rPr>
                <w:rStyle w:val="xcontentpasted0"/>
                <w:rFonts w:ascii="Century Gothic" w:hAnsi="Century Gothic" w:cs="Arial"/>
                <w:sz w:val="22"/>
                <w:szCs w:val="22"/>
              </w:rPr>
              <w:t>11.862.870</w:t>
            </w:r>
          </w:p>
          <w:p w14:paraId="4A8A3B46" w14:textId="77777777" w:rsidR="007732FB" w:rsidRPr="0021789C" w:rsidRDefault="007732FB" w:rsidP="007732FB">
            <w:pPr>
              <w:jc w:val="both"/>
              <w:rPr>
                <w:rFonts w:ascii="Century Gothic" w:hAnsi="Century Gothic"/>
                <w:sz w:val="22"/>
                <w:szCs w:val="22"/>
              </w:rPr>
            </w:pPr>
          </w:p>
          <w:p w14:paraId="31FF8AB1" w14:textId="19B7CAC9" w:rsidR="00E802BC" w:rsidRPr="0021789C" w:rsidRDefault="007732FB" w:rsidP="0013403F">
            <w:pPr>
              <w:pStyle w:val="Prrafodelista"/>
              <w:numPr>
                <w:ilvl w:val="0"/>
                <w:numId w:val="5"/>
              </w:numPr>
              <w:jc w:val="both"/>
              <w:rPr>
                <w:rFonts w:ascii="Century Gothic" w:hAnsi="Century Gothic"/>
                <w:sz w:val="22"/>
                <w:szCs w:val="22"/>
              </w:rPr>
            </w:pPr>
            <w:r w:rsidRPr="0021789C">
              <w:rPr>
                <w:rFonts w:ascii="Century Gothic" w:hAnsi="Century Gothic"/>
                <w:sz w:val="22"/>
                <w:szCs w:val="22"/>
              </w:rPr>
              <w:t xml:space="preserve"> Deducible: No se encuentra contemplado dentro del contrato de seguro, deducible alguno para el amparo de pérdida total por hurto o hurto calificado.</w:t>
            </w:r>
          </w:p>
        </w:tc>
      </w:tr>
    </w:tbl>
    <w:p w14:paraId="7273C5A1" w14:textId="77777777" w:rsidR="0095378E" w:rsidRPr="0021789C"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21789C" w14:paraId="05674BEA" w14:textId="77777777" w:rsidTr="0095378E">
        <w:trPr>
          <w:trHeight w:val="321"/>
        </w:trPr>
        <w:tc>
          <w:tcPr>
            <w:tcW w:w="10207" w:type="dxa"/>
            <w:shd w:val="clear" w:color="auto" w:fill="C5E0B3" w:themeFill="accent6" w:themeFillTint="66"/>
            <w:vAlign w:val="center"/>
          </w:tcPr>
          <w:p w14:paraId="2BB97918" w14:textId="52E94393" w:rsidR="003B7F1A" w:rsidRPr="0021789C" w:rsidRDefault="003B7F1A" w:rsidP="003B7F1A">
            <w:pPr>
              <w:spacing w:line="276" w:lineRule="auto"/>
              <w:jc w:val="center"/>
              <w:rPr>
                <w:rFonts w:ascii="Century Gothic" w:hAnsi="Century Gothic"/>
                <w:sz w:val="22"/>
                <w:szCs w:val="22"/>
              </w:rPr>
            </w:pPr>
            <w:r w:rsidRPr="0021789C">
              <w:rPr>
                <w:rFonts w:ascii="Century Gothic" w:hAnsi="Century Gothic"/>
                <w:b/>
                <w:bCs/>
                <w:sz w:val="22"/>
                <w:szCs w:val="22"/>
              </w:rPr>
              <w:t>Excepciones</w:t>
            </w:r>
          </w:p>
        </w:tc>
      </w:tr>
      <w:tr w:rsidR="003B7F1A" w:rsidRPr="0021789C" w14:paraId="4AAD7549" w14:textId="77777777" w:rsidTr="0095378E">
        <w:trPr>
          <w:trHeight w:val="3906"/>
        </w:trPr>
        <w:tc>
          <w:tcPr>
            <w:tcW w:w="10207" w:type="dxa"/>
            <w:vAlign w:val="center"/>
          </w:tcPr>
          <w:p w14:paraId="504B7C3C" w14:textId="31D396B5" w:rsidR="00940731" w:rsidRPr="0021789C" w:rsidRDefault="00940731" w:rsidP="00940731">
            <w:pPr>
              <w:pStyle w:val="Prrafodelista"/>
              <w:numPr>
                <w:ilvl w:val="0"/>
                <w:numId w:val="8"/>
              </w:numPr>
              <w:spacing w:line="360" w:lineRule="auto"/>
              <w:jc w:val="both"/>
              <w:rPr>
                <w:rFonts w:ascii="Century Gothic" w:hAnsi="Century Gothic" w:cs="Arial"/>
                <w:color w:val="000000"/>
                <w:sz w:val="22"/>
                <w:szCs w:val="22"/>
              </w:rPr>
            </w:pPr>
            <w:r w:rsidRPr="0021789C">
              <w:rPr>
                <w:rFonts w:ascii="Century Gothic" w:eastAsia="Arial" w:hAnsi="Century Gothic" w:cs="Arial"/>
                <w:color w:val="000000"/>
                <w:sz w:val="22"/>
                <w:szCs w:val="22"/>
                <w:lang w:eastAsia="es-CO"/>
              </w:rPr>
              <w:t>Inexistencia de obligación de indemnizar por incumplimiento de las cargas del artículo 1077 del código de comercio.</w:t>
            </w:r>
          </w:p>
          <w:p w14:paraId="3F112587" w14:textId="25D71B65" w:rsidR="00940731" w:rsidRPr="0021789C" w:rsidRDefault="00940731" w:rsidP="00940731">
            <w:pPr>
              <w:pStyle w:val="Prrafodelista"/>
              <w:numPr>
                <w:ilvl w:val="0"/>
                <w:numId w:val="8"/>
              </w:numPr>
              <w:spacing w:line="360" w:lineRule="auto"/>
              <w:ind w:right="50"/>
              <w:jc w:val="both"/>
              <w:rPr>
                <w:rFonts w:ascii="Century Gothic" w:eastAsia="Arial" w:hAnsi="Century Gothic" w:cs="Arial"/>
                <w:color w:val="000000"/>
                <w:sz w:val="22"/>
                <w:szCs w:val="22"/>
                <w:lang w:eastAsia="es-CO"/>
              </w:rPr>
            </w:pPr>
            <w:r w:rsidRPr="0021789C">
              <w:rPr>
                <w:rFonts w:ascii="Century Gothic" w:eastAsia="Arial" w:hAnsi="Century Gothic" w:cs="Arial"/>
                <w:color w:val="000000"/>
                <w:sz w:val="22"/>
                <w:szCs w:val="22"/>
                <w:lang w:val="es-ES" w:eastAsia="es-CO"/>
              </w:rPr>
              <w:t>Terminación automática del seguro instrumentalizado en la póliza pe245657 por falta de notificación de la agravación del riesgo asegurado – aplicación del artículo 1060 del código de comercio.</w:t>
            </w:r>
          </w:p>
          <w:p w14:paraId="0FABA92B" w14:textId="410925CF" w:rsidR="00940731" w:rsidRPr="0021789C" w:rsidRDefault="00940731" w:rsidP="00940731">
            <w:pPr>
              <w:pStyle w:val="Prrafodelista"/>
              <w:numPr>
                <w:ilvl w:val="0"/>
                <w:numId w:val="8"/>
              </w:numPr>
              <w:spacing w:line="360" w:lineRule="auto"/>
              <w:ind w:right="50"/>
              <w:jc w:val="both"/>
              <w:rPr>
                <w:rFonts w:ascii="Century Gothic" w:eastAsia="Arial" w:hAnsi="Century Gothic" w:cs="Arial"/>
                <w:color w:val="000000"/>
                <w:sz w:val="22"/>
                <w:szCs w:val="22"/>
                <w:lang w:eastAsia="es-CO"/>
              </w:rPr>
            </w:pPr>
            <w:r w:rsidRPr="0021789C">
              <w:rPr>
                <w:rFonts w:ascii="Century Gothic" w:eastAsia="Arial" w:hAnsi="Century Gothic" w:cs="Arial"/>
                <w:color w:val="000000"/>
                <w:sz w:val="22"/>
                <w:szCs w:val="22"/>
                <w:lang w:eastAsia="es-CO"/>
              </w:rPr>
              <w:t xml:space="preserve">Falta de cobertura material de la póliza, dado que la culpa grave representa un hecho no asegurable. </w:t>
            </w:r>
          </w:p>
          <w:p w14:paraId="1C420C87" w14:textId="68582426" w:rsidR="00940731" w:rsidRPr="0021789C" w:rsidRDefault="00940731" w:rsidP="00940731">
            <w:pPr>
              <w:pStyle w:val="Prrafodelista"/>
              <w:numPr>
                <w:ilvl w:val="0"/>
                <w:numId w:val="8"/>
              </w:numPr>
              <w:spacing w:line="360" w:lineRule="auto"/>
              <w:ind w:right="50"/>
              <w:jc w:val="both"/>
              <w:rPr>
                <w:rFonts w:ascii="Century Gothic" w:eastAsia="Arial" w:hAnsi="Century Gothic" w:cs="Arial"/>
                <w:color w:val="000000"/>
                <w:sz w:val="22"/>
                <w:szCs w:val="22"/>
                <w:lang w:eastAsia="es-CO"/>
              </w:rPr>
            </w:pPr>
            <w:r w:rsidRPr="0021789C">
              <w:rPr>
                <w:rFonts w:ascii="Century Gothic" w:eastAsia="Arial" w:hAnsi="Century Gothic" w:cs="Arial"/>
                <w:color w:val="000000"/>
                <w:sz w:val="22"/>
                <w:szCs w:val="22"/>
                <w:lang w:eastAsia="es-CO"/>
              </w:rPr>
              <w:t xml:space="preserve">Inexistencia de obligación indemnizatoria por cuanto los actos potestativos son </w:t>
            </w:r>
            <w:proofErr w:type="spellStart"/>
            <w:r w:rsidRPr="0021789C">
              <w:rPr>
                <w:rFonts w:ascii="Century Gothic" w:eastAsia="Arial" w:hAnsi="Century Gothic" w:cs="Arial"/>
                <w:color w:val="000000"/>
                <w:sz w:val="22"/>
                <w:szCs w:val="22"/>
                <w:lang w:eastAsia="es-CO"/>
              </w:rPr>
              <w:t>inasegurables</w:t>
            </w:r>
            <w:proofErr w:type="spellEnd"/>
            <w:r w:rsidRPr="0021789C">
              <w:rPr>
                <w:rFonts w:ascii="Century Gothic" w:eastAsia="Arial" w:hAnsi="Century Gothic" w:cs="Arial"/>
                <w:color w:val="000000"/>
                <w:sz w:val="22"/>
                <w:szCs w:val="22"/>
                <w:lang w:eastAsia="es-CO"/>
              </w:rPr>
              <w:t>.</w:t>
            </w:r>
          </w:p>
          <w:p w14:paraId="2AE2578F" w14:textId="0F51B756" w:rsidR="00940731" w:rsidRPr="0021789C" w:rsidRDefault="00940731" w:rsidP="00940731">
            <w:pPr>
              <w:pStyle w:val="Encabezado"/>
              <w:numPr>
                <w:ilvl w:val="0"/>
                <w:numId w:val="8"/>
              </w:numPr>
              <w:tabs>
                <w:tab w:val="left" w:pos="2268"/>
              </w:tabs>
              <w:spacing w:line="360" w:lineRule="auto"/>
              <w:jc w:val="both"/>
              <w:rPr>
                <w:rFonts w:ascii="Century Gothic" w:hAnsi="Century Gothic" w:cs="Arial"/>
                <w:sz w:val="22"/>
                <w:szCs w:val="22"/>
              </w:rPr>
            </w:pPr>
            <w:r w:rsidRPr="0021789C">
              <w:rPr>
                <w:rFonts w:ascii="Century Gothic" w:hAnsi="Century Gothic" w:cs="Arial"/>
                <w:sz w:val="22"/>
                <w:szCs w:val="22"/>
              </w:rPr>
              <w:t xml:space="preserve">La mala fe del asegurado – pérdida del derecho a la indemnización </w:t>
            </w:r>
          </w:p>
          <w:p w14:paraId="00A25468" w14:textId="27BBA653" w:rsidR="00940731" w:rsidRPr="0021789C" w:rsidRDefault="00940731" w:rsidP="00940731">
            <w:pPr>
              <w:pStyle w:val="Prrafodelista"/>
              <w:numPr>
                <w:ilvl w:val="0"/>
                <w:numId w:val="8"/>
              </w:numPr>
              <w:spacing w:line="360" w:lineRule="auto"/>
              <w:ind w:right="50"/>
              <w:jc w:val="both"/>
              <w:rPr>
                <w:rFonts w:ascii="Century Gothic" w:eastAsia="Arial" w:hAnsi="Century Gothic" w:cs="Arial"/>
                <w:color w:val="000000"/>
                <w:sz w:val="22"/>
                <w:szCs w:val="22"/>
                <w:lang w:eastAsia="es-CO"/>
              </w:rPr>
            </w:pPr>
            <w:r w:rsidRPr="0021789C">
              <w:rPr>
                <w:rFonts w:ascii="Century Gothic" w:eastAsia="Arial" w:hAnsi="Century Gothic" w:cs="Arial"/>
                <w:color w:val="000000"/>
                <w:sz w:val="22"/>
                <w:szCs w:val="22"/>
                <w:lang w:eastAsia="es-CO"/>
              </w:rPr>
              <w:t xml:space="preserve">Riesgos expresamente excluidos en la póliza de seguro plan full pe245657. </w:t>
            </w:r>
          </w:p>
          <w:p w14:paraId="03742F06" w14:textId="44FCF7EB" w:rsidR="00940731" w:rsidRPr="0021789C" w:rsidRDefault="00940731" w:rsidP="00940731">
            <w:pPr>
              <w:pStyle w:val="Prrafodelista"/>
              <w:numPr>
                <w:ilvl w:val="0"/>
                <w:numId w:val="8"/>
              </w:numPr>
              <w:spacing w:line="360" w:lineRule="auto"/>
              <w:ind w:right="50"/>
              <w:jc w:val="both"/>
              <w:rPr>
                <w:rFonts w:ascii="Century Gothic" w:eastAsia="Arial" w:hAnsi="Century Gothic" w:cs="Arial"/>
                <w:color w:val="000000"/>
                <w:sz w:val="22"/>
                <w:szCs w:val="22"/>
                <w:lang w:eastAsia="es-CO"/>
              </w:rPr>
            </w:pPr>
            <w:r w:rsidRPr="0021789C">
              <w:rPr>
                <w:rFonts w:ascii="Century Gothic" w:eastAsia="Arial" w:hAnsi="Century Gothic" w:cs="Arial"/>
                <w:color w:val="000000"/>
                <w:sz w:val="22"/>
                <w:szCs w:val="22"/>
                <w:lang w:eastAsia="es-CO"/>
              </w:rPr>
              <w:t>Carácter meramente indemnizatorio de los contratos de seguro</w:t>
            </w:r>
          </w:p>
          <w:p w14:paraId="326D714E" w14:textId="53E1C719" w:rsidR="00940731" w:rsidRPr="0021789C" w:rsidRDefault="00940731" w:rsidP="00940731">
            <w:pPr>
              <w:pStyle w:val="Prrafodelista"/>
              <w:numPr>
                <w:ilvl w:val="0"/>
                <w:numId w:val="8"/>
              </w:numPr>
              <w:spacing w:line="360" w:lineRule="auto"/>
              <w:ind w:right="50"/>
              <w:jc w:val="both"/>
              <w:rPr>
                <w:rFonts w:ascii="Century Gothic" w:eastAsia="Arial" w:hAnsi="Century Gothic" w:cs="Arial"/>
                <w:color w:val="000000"/>
                <w:sz w:val="22"/>
                <w:szCs w:val="22"/>
                <w:lang w:eastAsia="es-CO"/>
              </w:rPr>
            </w:pPr>
            <w:r w:rsidRPr="0021789C">
              <w:rPr>
                <w:rFonts w:ascii="Century Gothic" w:eastAsia="Arial" w:hAnsi="Century Gothic" w:cs="Arial"/>
                <w:color w:val="000000"/>
                <w:sz w:val="22"/>
                <w:szCs w:val="22"/>
                <w:lang w:eastAsia="es-CO"/>
              </w:rPr>
              <w:t>Improcedencia del cobro de intereses moratorios</w:t>
            </w:r>
          </w:p>
          <w:p w14:paraId="51FF35DF" w14:textId="6ECC05D0" w:rsidR="00940731" w:rsidRPr="0021789C" w:rsidRDefault="00940731" w:rsidP="00940731">
            <w:pPr>
              <w:pStyle w:val="Prrafodelista"/>
              <w:numPr>
                <w:ilvl w:val="0"/>
                <w:numId w:val="8"/>
              </w:numPr>
              <w:spacing w:line="360" w:lineRule="auto"/>
              <w:ind w:right="50"/>
              <w:jc w:val="both"/>
              <w:rPr>
                <w:rFonts w:ascii="Century Gothic" w:eastAsia="Arial" w:hAnsi="Century Gothic" w:cs="Arial"/>
                <w:color w:val="000000"/>
                <w:sz w:val="22"/>
                <w:szCs w:val="22"/>
                <w:lang w:eastAsia="es-CO"/>
              </w:rPr>
            </w:pPr>
            <w:r w:rsidRPr="0021789C">
              <w:rPr>
                <w:rFonts w:ascii="Century Gothic" w:eastAsia="Arial" w:hAnsi="Century Gothic" w:cs="Arial"/>
                <w:color w:val="000000"/>
                <w:sz w:val="22"/>
                <w:szCs w:val="22"/>
                <w:lang w:eastAsia="es-CO"/>
              </w:rPr>
              <w:t>En cualquier caso, de ninguna forma se podrá exceder el límite del valor asegurado</w:t>
            </w:r>
          </w:p>
          <w:p w14:paraId="58904E8A" w14:textId="48D55EF8" w:rsidR="00940731" w:rsidRPr="0021789C" w:rsidRDefault="00940731" w:rsidP="00940731">
            <w:pPr>
              <w:pStyle w:val="Textoindependiente"/>
              <w:widowControl/>
              <w:numPr>
                <w:ilvl w:val="0"/>
                <w:numId w:val="8"/>
              </w:numPr>
              <w:tabs>
                <w:tab w:val="left" w:pos="2268"/>
              </w:tabs>
              <w:autoSpaceDE/>
              <w:autoSpaceDN/>
              <w:spacing w:line="360" w:lineRule="auto"/>
              <w:jc w:val="both"/>
              <w:rPr>
                <w:rFonts w:ascii="Century Gothic" w:hAnsi="Century Gothic" w:cs="Arial"/>
                <w:sz w:val="22"/>
                <w:szCs w:val="22"/>
              </w:rPr>
            </w:pPr>
            <w:r w:rsidRPr="0021789C">
              <w:rPr>
                <w:rFonts w:ascii="Century Gothic" w:hAnsi="Century Gothic" w:cs="Arial"/>
                <w:sz w:val="22"/>
                <w:szCs w:val="22"/>
              </w:rPr>
              <w:lastRenderedPageBreak/>
              <w:t>Aplicación al clausulado general del contrato de seguro – en caso de acreditarse el hurto del vehículo asegurado, este deberá transferirse a la Equidad Seguros Generales O.C.</w:t>
            </w:r>
          </w:p>
          <w:p w14:paraId="62622C96" w14:textId="311B8CCE" w:rsidR="00940731" w:rsidRPr="0021789C" w:rsidRDefault="00940731" w:rsidP="00940731">
            <w:pPr>
              <w:pStyle w:val="Prrafodelista"/>
              <w:numPr>
                <w:ilvl w:val="0"/>
                <w:numId w:val="8"/>
              </w:numPr>
              <w:spacing w:line="360" w:lineRule="auto"/>
              <w:ind w:right="50"/>
              <w:jc w:val="both"/>
              <w:rPr>
                <w:rFonts w:ascii="Century Gothic" w:eastAsia="Arial" w:hAnsi="Century Gothic" w:cs="Arial"/>
                <w:color w:val="000000"/>
                <w:sz w:val="22"/>
                <w:szCs w:val="22"/>
                <w:lang w:eastAsia="es-CO"/>
              </w:rPr>
            </w:pPr>
            <w:r w:rsidRPr="0021789C">
              <w:rPr>
                <w:rFonts w:ascii="Century Gothic" w:eastAsia="Arial" w:hAnsi="Century Gothic" w:cs="Arial"/>
                <w:color w:val="000000"/>
                <w:sz w:val="22"/>
                <w:szCs w:val="22"/>
                <w:lang w:eastAsia="es-CO"/>
              </w:rPr>
              <w:t>Disponibilidad del valor asegurado</w:t>
            </w:r>
          </w:p>
          <w:p w14:paraId="7F6D49E3" w14:textId="38EFAF82" w:rsidR="00940731" w:rsidRPr="0021789C" w:rsidRDefault="00940731" w:rsidP="00940731">
            <w:pPr>
              <w:pStyle w:val="Prrafodelista"/>
              <w:numPr>
                <w:ilvl w:val="0"/>
                <w:numId w:val="8"/>
              </w:numPr>
              <w:spacing w:line="360" w:lineRule="auto"/>
              <w:ind w:right="50"/>
              <w:jc w:val="both"/>
              <w:rPr>
                <w:rFonts w:ascii="Century Gothic" w:eastAsia="Arial" w:hAnsi="Century Gothic" w:cs="Arial"/>
                <w:color w:val="000000"/>
                <w:sz w:val="22"/>
                <w:szCs w:val="22"/>
                <w:lang w:eastAsia="es-CO"/>
              </w:rPr>
            </w:pPr>
            <w:r w:rsidRPr="0021789C">
              <w:rPr>
                <w:rFonts w:ascii="Century Gothic" w:eastAsia="Arial" w:hAnsi="Century Gothic" w:cs="Arial"/>
                <w:color w:val="000000"/>
                <w:sz w:val="22"/>
                <w:szCs w:val="22"/>
                <w:lang w:eastAsia="es-CO"/>
              </w:rPr>
              <w:t>Sujeción a las condiciones generales y particulares de la póliza, el clausulado y los amparos</w:t>
            </w:r>
          </w:p>
          <w:p w14:paraId="7E8905DD" w14:textId="21D2D097" w:rsidR="00940731" w:rsidRPr="0021789C" w:rsidRDefault="00940731" w:rsidP="00940731">
            <w:pPr>
              <w:pStyle w:val="Prrafodelista"/>
              <w:numPr>
                <w:ilvl w:val="0"/>
                <w:numId w:val="8"/>
              </w:numPr>
              <w:spacing w:line="360" w:lineRule="auto"/>
              <w:jc w:val="both"/>
              <w:rPr>
                <w:rFonts w:ascii="Century Gothic" w:eastAsia="Arial" w:hAnsi="Century Gothic" w:cs="Arial"/>
                <w:color w:val="000000"/>
                <w:sz w:val="22"/>
                <w:szCs w:val="22"/>
                <w:lang w:eastAsia="es-CO"/>
              </w:rPr>
            </w:pPr>
            <w:r w:rsidRPr="0021789C">
              <w:rPr>
                <w:rFonts w:ascii="Century Gothic" w:eastAsia="Arial" w:hAnsi="Century Gothic" w:cs="Arial"/>
                <w:color w:val="000000"/>
                <w:sz w:val="22"/>
                <w:szCs w:val="22"/>
                <w:lang w:eastAsia="es-CO"/>
              </w:rPr>
              <w:t>Prescripción extintiva de la acción de protección al consumidor: aplicación del artículo 58 numeral 3 de la ley 1480 de 2011</w:t>
            </w:r>
          </w:p>
          <w:p w14:paraId="1374003B" w14:textId="77777777" w:rsidR="00940731" w:rsidRPr="0021789C" w:rsidRDefault="00940731" w:rsidP="00940731">
            <w:pPr>
              <w:pStyle w:val="Prrafodelista"/>
              <w:numPr>
                <w:ilvl w:val="0"/>
                <w:numId w:val="8"/>
              </w:numPr>
              <w:spacing w:line="360" w:lineRule="auto"/>
              <w:jc w:val="both"/>
              <w:rPr>
                <w:rFonts w:ascii="Century Gothic" w:eastAsia="Arial" w:hAnsi="Century Gothic" w:cs="Arial"/>
                <w:color w:val="000000"/>
                <w:sz w:val="22"/>
                <w:szCs w:val="22"/>
                <w:lang w:eastAsia="es-CO"/>
              </w:rPr>
            </w:pPr>
            <w:r w:rsidRPr="0021789C">
              <w:rPr>
                <w:rFonts w:ascii="Century Gothic" w:eastAsia="Arial" w:hAnsi="Century Gothic" w:cs="Arial"/>
                <w:color w:val="000000"/>
                <w:sz w:val="22"/>
                <w:szCs w:val="22"/>
                <w:lang w:eastAsia="es-CO"/>
              </w:rPr>
              <w:t>Prescripción extintiva de la acción derivada del contrato de seguro</w:t>
            </w:r>
          </w:p>
          <w:p w14:paraId="52CE2D52" w14:textId="164F4750" w:rsidR="00940731" w:rsidRPr="0021789C" w:rsidRDefault="00940731" w:rsidP="00940731">
            <w:pPr>
              <w:pStyle w:val="Prrafodelista"/>
              <w:numPr>
                <w:ilvl w:val="0"/>
                <w:numId w:val="8"/>
              </w:numPr>
              <w:spacing w:line="360" w:lineRule="auto"/>
              <w:jc w:val="both"/>
              <w:rPr>
                <w:rFonts w:ascii="Century Gothic" w:eastAsia="Arial" w:hAnsi="Century Gothic" w:cs="Arial"/>
                <w:color w:val="000000"/>
                <w:sz w:val="22"/>
                <w:szCs w:val="22"/>
                <w:lang w:eastAsia="es-CO"/>
              </w:rPr>
            </w:pPr>
            <w:r w:rsidRPr="0021789C">
              <w:rPr>
                <w:rFonts w:ascii="Century Gothic" w:eastAsia="Arial" w:hAnsi="Century Gothic" w:cs="Arial"/>
                <w:color w:val="000000"/>
                <w:sz w:val="22"/>
                <w:szCs w:val="22"/>
                <w:lang w:eastAsia="es-CO"/>
              </w:rPr>
              <w:t>Genérica o innominada y otras</w:t>
            </w:r>
          </w:p>
        </w:tc>
      </w:tr>
    </w:tbl>
    <w:p w14:paraId="0AA122B4" w14:textId="77777777" w:rsidR="00F67EF8" w:rsidRPr="0021789C"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21789C" w14:paraId="4B531C7D" w14:textId="77777777" w:rsidTr="0095378E">
        <w:trPr>
          <w:trHeight w:val="454"/>
        </w:trPr>
        <w:tc>
          <w:tcPr>
            <w:tcW w:w="3266" w:type="dxa"/>
            <w:vAlign w:val="center"/>
            <w:hideMark/>
          </w:tcPr>
          <w:p w14:paraId="3F99B56F" w14:textId="1315CCDB" w:rsidR="00EE687D" w:rsidRPr="0021789C" w:rsidRDefault="006F0CAA" w:rsidP="00EB6AB4">
            <w:pPr>
              <w:jc w:val="both"/>
              <w:textAlignment w:val="baseline"/>
              <w:rPr>
                <w:rFonts w:ascii="Century Gothic" w:hAnsi="Century Gothic" w:cs="Segoe UI"/>
                <w:sz w:val="22"/>
                <w:szCs w:val="22"/>
                <w:lang w:eastAsia="es-CO"/>
              </w:rPr>
            </w:pPr>
            <w:r w:rsidRPr="0021789C">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3038B6D7" w:rsidR="00EE687D" w:rsidRPr="0021789C" w:rsidRDefault="00B229C7" w:rsidP="00EB6AB4">
            <w:pPr>
              <w:jc w:val="both"/>
              <w:rPr>
                <w:rFonts w:ascii="Century Gothic" w:hAnsi="Century Gothic" w:cs="Segoe UI"/>
                <w:sz w:val="22"/>
                <w:szCs w:val="22"/>
                <w:lang w:eastAsia="es-CO"/>
              </w:rPr>
            </w:pPr>
            <w:r w:rsidRPr="00DB462E">
              <w:rPr>
                <w:rFonts w:ascii="Century Gothic" w:hAnsi="Century Gothic"/>
              </w:rPr>
              <w:t>SP150143</w:t>
            </w:r>
          </w:p>
        </w:tc>
      </w:tr>
      <w:tr w:rsidR="006F0CAA" w:rsidRPr="0021789C" w14:paraId="7A21B905" w14:textId="77777777" w:rsidTr="0095378E">
        <w:trPr>
          <w:trHeight w:val="454"/>
        </w:trPr>
        <w:tc>
          <w:tcPr>
            <w:tcW w:w="3266" w:type="dxa"/>
            <w:vAlign w:val="center"/>
          </w:tcPr>
          <w:p w14:paraId="533380A9" w14:textId="7103E52D" w:rsidR="006F0CAA" w:rsidRPr="0021789C" w:rsidRDefault="006F0CAA" w:rsidP="00EB6AB4">
            <w:pPr>
              <w:jc w:val="both"/>
              <w:textAlignment w:val="baseline"/>
              <w:rPr>
                <w:rFonts w:ascii="Century Gothic" w:hAnsi="Century Gothic"/>
                <w:b/>
                <w:bCs/>
                <w:color w:val="000000"/>
                <w:sz w:val="22"/>
                <w:szCs w:val="22"/>
                <w:shd w:val="clear" w:color="auto" w:fill="FFFFFF"/>
                <w:lang w:eastAsia="es-CO"/>
              </w:rPr>
            </w:pPr>
            <w:r w:rsidRPr="0021789C">
              <w:rPr>
                <w:rFonts w:ascii="Century Gothic" w:hAnsi="Century Gothic"/>
                <w:b/>
                <w:bCs/>
                <w:color w:val="000000"/>
                <w:sz w:val="22"/>
                <w:szCs w:val="22"/>
                <w:shd w:val="clear" w:color="auto" w:fill="FFFFFF"/>
                <w:lang w:eastAsia="es-CO"/>
              </w:rPr>
              <w:t xml:space="preserve">Caso </w:t>
            </w:r>
            <w:proofErr w:type="spellStart"/>
            <w:r w:rsidRPr="0021789C">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5DB8DF46" w:rsidR="006F0CAA" w:rsidRPr="0021789C" w:rsidRDefault="0028357A" w:rsidP="00EB6AB4">
            <w:pPr>
              <w:jc w:val="both"/>
              <w:rPr>
                <w:rFonts w:ascii="Century Gothic" w:hAnsi="Century Gothic" w:cs="Segoe UI"/>
                <w:sz w:val="22"/>
                <w:szCs w:val="22"/>
                <w:lang w:eastAsia="es-CO"/>
              </w:rPr>
            </w:pPr>
            <w:r w:rsidRPr="0021789C">
              <w:rPr>
                <w:rFonts w:ascii="Century Gothic" w:hAnsi="Century Gothic" w:cs="Segoe UI"/>
                <w:sz w:val="22"/>
                <w:szCs w:val="22"/>
                <w:lang w:eastAsia="es-CO"/>
              </w:rPr>
              <w:t>Sin información</w:t>
            </w:r>
          </w:p>
        </w:tc>
      </w:tr>
      <w:tr w:rsidR="00EE687D" w:rsidRPr="0021789C" w14:paraId="00877764" w14:textId="77777777" w:rsidTr="0095378E">
        <w:trPr>
          <w:trHeight w:val="454"/>
        </w:trPr>
        <w:tc>
          <w:tcPr>
            <w:tcW w:w="3266" w:type="dxa"/>
            <w:vAlign w:val="center"/>
            <w:hideMark/>
          </w:tcPr>
          <w:p w14:paraId="749E810E" w14:textId="77777777" w:rsidR="00EE687D" w:rsidRPr="0021789C" w:rsidRDefault="00EE687D" w:rsidP="00EB6AB4">
            <w:pPr>
              <w:jc w:val="both"/>
              <w:textAlignment w:val="baseline"/>
              <w:rPr>
                <w:rFonts w:ascii="Century Gothic" w:hAnsi="Century Gothic" w:cs="Segoe UI"/>
                <w:sz w:val="22"/>
                <w:szCs w:val="22"/>
                <w:lang w:eastAsia="es-CO"/>
              </w:rPr>
            </w:pPr>
            <w:r w:rsidRPr="0021789C">
              <w:rPr>
                <w:rFonts w:ascii="Century Gothic" w:hAnsi="Century Gothic"/>
                <w:b/>
                <w:bCs/>
                <w:color w:val="000000"/>
                <w:sz w:val="22"/>
                <w:szCs w:val="22"/>
                <w:shd w:val="clear" w:color="auto" w:fill="FFFFFF"/>
                <w:lang w:eastAsia="es-CO"/>
              </w:rPr>
              <w:t>Póliza</w:t>
            </w:r>
          </w:p>
        </w:tc>
        <w:tc>
          <w:tcPr>
            <w:tcW w:w="6941" w:type="dxa"/>
            <w:vAlign w:val="center"/>
          </w:tcPr>
          <w:p w14:paraId="7FC9EC9E" w14:textId="16FC2702" w:rsidR="00EE687D" w:rsidRPr="0021789C" w:rsidRDefault="0028357A" w:rsidP="00EB6AB4">
            <w:pPr>
              <w:jc w:val="both"/>
              <w:rPr>
                <w:rFonts w:ascii="Century Gothic" w:hAnsi="Century Gothic" w:cs="Segoe UI"/>
                <w:sz w:val="22"/>
                <w:szCs w:val="22"/>
                <w:lang w:eastAsia="es-CO"/>
              </w:rPr>
            </w:pPr>
            <w:r w:rsidRPr="0021789C">
              <w:rPr>
                <w:rFonts w:ascii="Century Gothic" w:eastAsia="Arial" w:hAnsi="Century Gothic" w:cs="Arial"/>
                <w:sz w:val="22"/>
                <w:szCs w:val="22"/>
              </w:rPr>
              <w:t>PE245657</w:t>
            </w:r>
          </w:p>
        </w:tc>
      </w:tr>
      <w:tr w:rsidR="00EE687D" w:rsidRPr="0021789C" w14:paraId="3260B646" w14:textId="77777777" w:rsidTr="0095378E">
        <w:trPr>
          <w:trHeight w:val="454"/>
        </w:trPr>
        <w:tc>
          <w:tcPr>
            <w:tcW w:w="3266" w:type="dxa"/>
            <w:vAlign w:val="center"/>
            <w:hideMark/>
          </w:tcPr>
          <w:p w14:paraId="67FBF2E5" w14:textId="77777777" w:rsidR="00EE687D" w:rsidRPr="0021789C" w:rsidRDefault="00EE687D" w:rsidP="00EB6AB4">
            <w:pPr>
              <w:jc w:val="both"/>
              <w:textAlignment w:val="baseline"/>
              <w:rPr>
                <w:rFonts w:ascii="Century Gothic" w:hAnsi="Century Gothic" w:cs="Segoe UI"/>
                <w:sz w:val="22"/>
                <w:szCs w:val="22"/>
                <w:lang w:eastAsia="es-CO"/>
              </w:rPr>
            </w:pPr>
            <w:r w:rsidRPr="0021789C">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4779543C" w:rsidR="00EE687D" w:rsidRPr="0021789C" w:rsidRDefault="0028357A" w:rsidP="00EB6AB4">
            <w:pPr>
              <w:jc w:val="both"/>
              <w:rPr>
                <w:rFonts w:ascii="Century Gothic" w:hAnsi="Century Gothic" w:cs="Segoe UI"/>
                <w:sz w:val="22"/>
                <w:szCs w:val="22"/>
                <w:lang w:eastAsia="es-CO"/>
              </w:rPr>
            </w:pPr>
            <w:r w:rsidRPr="0021789C">
              <w:rPr>
                <w:rFonts w:ascii="Century Gothic" w:eastAsia="Arial" w:hAnsi="Century Gothic" w:cs="Arial"/>
                <w:sz w:val="22"/>
                <w:szCs w:val="22"/>
              </w:rPr>
              <w:t>PE245657</w:t>
            </w:r>
          </w:p>
        </w:tc>
      </w:tr>
      <w:tr w:rsidR="00EE687D" w:rsidRPr="0021789C" w14:paraId="0BC7C6A3" w14:textId="77777777" w:rsidTr="0095378E">
        <w:trPr>
          <w:trHeight w:val="454"/>
        </w:trPr>
        <w:tc>
          <w:tcPr>
            <w:tcW w:w="3266" w:type="dxa"/>
            <w:vAlign w:val="center"/>
            <w:hideMark/>
          </w:tcPr>
          <w:p w14:paraId="433D63BC" w14:textId="77777777" w:rsidR="00EE687D" w:rsidRPr="0021789C" w:rsidRDefault="00EE687D" w:rsidP="00EB6AB4">
            <w:pPr>
              <w:jc w:val="both"/>
              <w:textAlignment w:val="baseline"/>
              <w:rPr>
                <w:rFonts w:ascii="Century Gothic" w:hAnsi="Century Gothic" w:cs="Segoe UI"/>
                <w:sz w:val="22"/>
                <w:szCs w:val="22"/>
                <w:lang w:eastAsia="es-CO"/>
              </w:rPr>
            </w:pPr>
            <w:r w:rsidRPr="0021789C">
              <w:rPr>
                <w:rFonts w:ascii="Century Gothic" w:hAnsi="Century Gothic"/>
                <w:b/>
                <w:bCs/>
                <w:color w:val="000000"/>
                <w:sz w:val="22"/>
                <w:szCs w:val="22"/>
                <w:shd w:val="clear" w:color="auto" w:fill="FFFFFF"/>
                <w:lang w:eastAsia="es-CO"/>
              </w:rPr>
              <w:t>Orden</w:t>
            </w:r>
          </w:p>
        </w:tc>
        <w:tc>
          <w:tcPr>
            <w:tcW w:w="6941" w:type="dxa"/>
            <w:vAlign w:val="center"/>
          </w:tcPr>
          <w:p w14:paraId="25280801" w14:textId="324380CA" w:rsidR="00EE687D" w:rsidRPr="0021789C" w:rsidRDefault="0028357A" w:rsidP="00EB6AB4">
            <w:pPr>
              <w:jc w:val="both"/>
              <w:rPr>
                <w:rFonts w:ascii="Century Gothic" w:hAnsi="Century Gothic" w:cs="Segoe UI"/>
                <w:sz w:val="22"/>
                <w:szCs w:val="22"/>
                <w:lang w:eastAsia="es-CO"/>
              </w:rPr>
            </w:pPr>
            <w:r w:rsidRPr="0021789C">
              <w:rPr>
                <w:rFonts w:ascii="Century Gothic" w:hAnsi="Century Gothic" w:cs="Segoe UI"/>
                <w:sz w:val="22"/>
                <w:szCs w:val="22"/>
                <w:lang w:eastAsia="es-CO"/>
              </w:rPr>
              <w:t>1</w:t>
            </w:r>
          </w:p>
        </w:tc>
      </w:tr>
      <w:tr w:rsidR="00B90E05" w:rsidRPr="0021789C" w14:paraId="3ACEF28A" w14:textId="77777777" w:rsidTr="0095378E">
        <w:trPr>
          <w:trHeight w:val="454"/>
        </w:trPr>
        <w:tc>
          <w:tcPr>
            <w:tcW w:w="3266" w:type="dxa"/>
            <w:vAlign w:val="center"/>
          </w:tcPr>
          <w:p w14:paraId="0881BFDC" w14:textId="40C44F4A" w:rsidR="00B90E05" w:rsidRPr="0021789C" w:rsidRDefault="00B90E05" w:rsidP="00EB6AB4">
            <w:pPr>
              <w:jc w:val="both"/>
              <w:textAlignment w:val="baseline"/>
              <w:rPr>
                <w:rFonts w:ascii="Century Gothic" w:hAnsi="Century Gothic"/>
                <w:b/>
                <w:bCs/>
                <w:color w:val="000000"/>
                <w:sz w:val="22"/>
                <w:szCs w:val="22"/>
                <w:shd w:val="clear" w:color="auto" w:fill="FFFFFF"/>
                <w:lang w:eastAsia="es-CO"/>
              </w:rPr>
            </w:pPr>
            <w:r w:rsidRPr="0021789C">
              <w:rPr>
                <w:rFonts w:ascii="Century Gothic" w:hAnsi="Century Gothic"/>
                <w:b/>
                <w:bCs/>
                <w:color w:val="000000"/>
                <w:sz w:val="22"/>
                <w:szCs w:val="22"/>
                <w:shd w:val="clear" w:color="auto" w:fill="FFFFFF"/>
                <w:lang w:eastAsia="es-CO"/>
              </w:rPr>
              <w:t>Sucursal</w:t>
            </w:r>
          </w:p>
        </w:tc>
        <w:tc>
          <w:tcPr>
            <w:tcW w:w="6941" w:type="dxa"/>
            <w:vAlign w:val="center"/>
          </w:tcPr>
          <w:p w14:paraId="74AA0D59" w14:textId="520B1C52" w:rsidR="00B90E05" w:rsidRPr="0021789C" w:rsidRDefault="0028357A" w:rsidP="00EB6AB4">
            <w:pPr>
              <w:jc w:val="both"/>
              <w:rPr>
                <w:rFonts w:ascii="Century Gothic" w:hAnsi="Century Gothic" w:cs="Segoe UI"/>
                <w:sz w:val="22"/>
                <w:szCs w:val="22"/>
                <w:lang w:eastAsia="es-CO"/>
              </w:rPr>
            </w:pPr>
            <w:r w:rsidRPr="0021789C">
              <w:rPr>
                <w:rFonts w:ascii="Century Gothic" w:eastAsia="Arial" w:hAnsi="Century Gothic" w:cs="Arial"/>
                <w:sz w:val="22"/>
                <w:szCs w:val="22"/>
              </w:rPr>
              <w:t>Sin información</w:t>
            </w:r>
          </w:p>
        </w:tc>
      </w:tr>
      <w:tr w:rsidR="00EE687D" w:rsidRPr="0021789C" w14:paraId="4BCD09C7" w14:textId="77777777" w:rsidTr="0095378E">
        <w:trPr>
          <w:trHeight w:val="454"/>
        </w:trPr>
        <w:tc>
          <w:tcPr>
            <w:tcW w:w="3266" w:type="dxa"/>
            <w:vAlign w:val="center"/>
            <w:hideMark/>
          </w:tcPr>
          <w:p w14:paraId="0A1C1E81" w14:textId="17519C67" w:rsidR="00EE687D" w:rsidRPr="0021789C" w:rsidRDefault="001C44B4" w:rsidP="00EB6AB4">
            <w:pPr>
              <w:jc w:val="both"/>
              <w:textAlignment w:val="baseline"/>
              <w:rPr>
                <w:rFonts w:ascii="Century Gothic" w:hAnsi="Century Gothic" w:cs="Segoe UI"/>
                <w:sz w:val="22"/>
                <w:szCs w:val="22"/>
                <w:lang w:eastAsia="es-CO"/>
              </w:rPr>
            </w:pPr>
            <w:r w:rsidRPr="0021789C">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10C86A2A" w:rsidR="00EE687D" w:rsidRPr="0021789C" w:rsidRDefault="0028357A" w:rsidP="00EB6AB4">
            <w:pPr>
              <w:jc w:val="both"/>
              <w:rPr>
                <w:rFonts w:ascii="Century Gothic" w:hAnsi="Century Gothic" w:cs="Segoe UI"/>
                <w:sz w:val="22"/>
                <w:szCs w:val="22"/>
                <w:lang w:eastAsia="es-CO"/>
              </w:rPr>
            </w:pPr>
            <w:r w:rsidRPr="0021789C">
              <w:rPr>
                <w:rFonts w:ascii="Century Gothic" w:hAnsi="Century Gothic" w:cs="Segoe UI"/>
                <w:sz w:val="22"/>
                <w:szCs w:val="22"/>
                <w:lang w:eastAsia="es-CO"/>
              </w:rPr>
              <w:t>GSV-289</w:t>
            </w:r>
          </w:p>
        </w:tc>
      </w:tr>
      <w:tr w:rsidR="001C44B4" w:rsidRPr="0021789C" w14:paraId="0BA9ECEE" w14:textId="77777777" w:rsidTr="0095378E">
        <w:trPr>
          <w:trHeight w:val="454"/>
        </w:trPr>
        <w:tc>
          <w:tcPr>
            <w:tcW w:w="3266" w:type="dxa"/>
            <w:vAlign w:val="center"/>
          </w:tcPr>
          <w:p w14:paraId="7B70AF59" w14:textId="749D67BE" w:rsidR="001C44B4" w:rsidRPr="0021789C" w:rsidRDefault="001C44B4" w:rsidP="001C44B4">
            <w:pPr>
              <w:jc w:val="both"/>
              <w:textAlignment w:val="baseline"/>
              <w:rPr>
                <w:rFonts w:ascii="Century Gothic" w:hAnsi="Century Gothic"/>
                <w:b/>
                <w:bCs/>
                <w:color w:val="000000"/>
                <w:sz w:val="22"/>
                <w:szCs w:val="22"/>
                <w:shd w:val="clear" w:color="auto" w:fill="FFFFFF"/>
                <w:lang w:eastAsia="es-CO"/>
              </w:rPr>
            </w:pPr>
            <w:r w:rsidRPr="0021789C">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2BAEA15D" w:rsidR="001C44B4" w:rsidRPr="0021789C" w:rsidRDefault="0028357A" w:rsidP="001C44B4">
            <w:pPr>
              <w:jc w:val="both"/>
              <w:rPr>
                <w:rFonts w:ascii="Century Gothic" w:hAnsi="Century Gothic" w:cs="Segoe UI"/>
                <w:sz w:val="22"/>
                <w:szCs w:val="22"/>
                <w:lang w:eastAsia="es-CO"/>
              </w:rPr>
            </w:pPr>
            <w:r w:rsidRPr="0021789C">
              <w:rPr>
                <w:rFonts w:ascii="Century Gothic" w:hAnsi="Century Gothic" w:cs="Segoe UI"/>
                <w:sz w:val="22"/>
                <w:szCs w:val="22"/>
                <w:lang w:eastAsia="es-CO"/>
              </w:rPr>
              <w:t>23/10/2024</w:t>
            </w:r>
          </w:p>
        </w:tc>
      </w:tr>
      <w:tr w:rsidR="001C44B4" w:rsidRPr="0021789C" w14:paraId="05412033" w14:textId="77777777" w:rsidTr="0095378E">
        <w:trPr>
          <w:trHeight w:val="454"/>
        </w:trPr>
        <w:tc>
          <w:tcPr>
            <w:tcW w:w="3266" w:type="dxa"/>
            <w:vAlign w:val="center"/>
          </w:tcPr>
          <w:p w14:paraId="43E688BB" w14:textId="54B02C3E" w:rsidR="001C44B4" w:rsidRPr="0021789C" w:rsidRDefault="001C44B4" w:rsidP="001C44B4">
            <w:pPr>
              <w:jc w:val="both"/>
              <w:textAlignment w:val="baseline"/>
              <w:rPr>
                <w:rFonts w:ascii="Century Gothic" w:hAnsi="Century Gothic"/>
                <w:b/>
                <w:bCs/>
                <w:color w:val="000000"/>
                <w:sz w:val="22"/>
                <w:szCs w:val="22"/>
                <w:shd w:val="clear" w:color="auto" w:fill="FFFFFF"/>
                <w:lang w:eastAsia="es-CO"/>
              </w:rPr>
            </w:pPr>
            <w:r w:rsidRPr="0021789C">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2B4067DD" w:rsidR="001C44B4" w:rsidRPr="0021789C" w:rsidRDefault="0028357A" w:rsidP="001C44B4">
            <w:pPr>
              <w:jc w:val="both"/>
              <w:rPr>
                <w:rFonts w:ascii="Century Gothic" w:hAnsi="Century Gothic" w:cs="Segoe UI"/>
                <w:sz w:val="22"/>
                <w:szCs w:val="22"/>
                <w:lang w:eastAsia="es-CO"/>
              </w:rPr>
            </w:pPr>
            <w:r w:rsidRPr="0021789C">
              <w:rPr>
                <w:rFonts w:ascii="Century Gothic" w:hAnsi="Century Gothic" w:cs="Segoe UI"/>
                <w:sz w:val="22"/>
                <w:szCs w:val="22"/>
                <w:lang w:eastAsia="es-CO"/>
              </w:rPr>
              <w:t>23/10/2024</w:t>
            </w:r>
          </w:p>
        </w:tc>
      </w:tr>
      <w:tr w:rsidR="001C44B4" w:rsidRPr="0021789C" w14:paraId="6DB6B020" w14:textId="77777777" w:rsidTr="0095378E">
        <w:trPr>
          <w:trHeight w:val="454"/>
        </w:trPr>
        <w:tc>
          <w:tcPr>
            <w:tcW w:w="3266" w:type="dxa"/>
            <w:vAlign w:val="center"/>
          </w:tcPr>
          <w:p w14:paraId="13FCE7D8" w14:textId="6EA7D194" w:rsidR="001C44B4" w:rsidRPr="0021789C" w:rsidRDefault="001C44B4" w:rsidP="001C44B4">
            <w:pPr>
              <w:jc w:val="both"/>
              <w:textAlignment w:val="baseline"/>
              <w:rPr>
                <w:rFonts w:ascii="Century Gothic" w:hAnsi="Century Gothic"/>
                <w:b/>
                <w:bCs/>
                <w:color w:val="000000"/>
                <w:sz w:val="22"/>
                <w:szCs w:val="22"/>
                <w:shd w:val="clear" w:color="auto" w:fill="FFFFFF"/>
                <w:lang w:eastAsia="es-CO"/>
              </w:rPr>
            </w:pPr>
            <w:r w:rsidRPr="0021789C">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6135EF67" w:rsidR="001C44B4" w:rsidRPr="0021789C" w:rsidRDefault="0028357A" w:rsidP="001C44B4">
            <w:pPr>
              <w:jc w:val="both"/>
              <w:rPr>
                <w:rFonts w:ascii="Century Gothic" w:hAnsi="Century Gothic" w:cs="Segoe UI"/>
                <w:sz w:val="22"/>
                <w:szCs w:val="22"/>
                <w:lang w:eastAsia="es-CO"/>
              </w:rPr>
            </w:pPr>
            <w:r w:rsidRPr="0021789C">
              <w:rPr>
                <w:rFonts w:ascii="Century Gothic" w:hAnsi="Century Gothic" w:cs="Segoe UI"/>
                <w:sz w:val="22"/>
                <w:szCs w:val="22"/>
                <w:lang w:eastAsia="es-CO"/>
              </w:rPr>
              <w:t>Sin información</w:t>
            </w:r>
          </w:p>
        </w:tc>
      </w:tr>
      <w:tr w:rsidR="001C44B4" w:rsidRPr="0021789C" w14:paraId="2F1DA9E6" w14:textId="77777777" w:rsidTr="0095378E">
        <w:trPr>
          <w:trHeight w:val="454"/>
        </w:trPr>
        <w:tc>
          <w:tcPr>
            <w:tcW w:w="3266" w:type="dxa"/>
            <w:vAlign w:val="center"/>
          </w:tcPr>
          <w:p w14:paraId="3ECF2237" w14:textId="5FB6285C" w:rsidR="001C44B4" w:rsidRPr="0021789C" w:rsidRDefault="008B685D" w:rsidP="001C44B4">
            <w:pPr>
              <w:jc w:val="both"/>
              <w:textAlignment w:val="baseline"/>
              <w:rPr>
                <w:rFonts w:ascii="Century Gothic" w:hAnsi="Century Gothic"/>
                <w:b/>
                <w:bCs/>
                <w:color w:val="000000"/>
                <w:sz w:val="22"/>
                <w:szCs w:val="22"/>
                <w:shd w:val="clear" w:color="auto" w:fill="FFFFFF"/>
                <w:lang w:eastAsia="es-CO"/>
              </w:rPr>
            </w:pPr>
            <w:r w:rsidRPr="0021789C">
              <w:rPr>
                <w:rFonts w:ascii="Century Gothic" w:hAnsi="Century Gothic"/>
                <w:b/>
                <w:bCs/>
                <w:color w:val="000000"/>
                <w:sz w:val="22"/>
                <w:szCs w:val="22"/>
                <w:shd w:val="clear" w:color="auto" w:fill="FFFFFF"/>
                <w:lang w:eastAsia="es-CO"/>
              </w:rPr>
              <w:t>Tomador</w:t>
            </w:r>
          </w:p>
        </w:tc>
        <w:tc>
          <w:tcPr>
            <w:tcW w:w="6941" w:type="dxa"/>
            <w:vAlign w:val="center"/>
          </w:tcPr>
          <w:p w14:paraId="2B607964" w14:textId="3AB833DB" w:rsidR="001C44B4" w:rsidRPr="0021789C" w:rsidRDefault="0028357A" w:rsidP="001C44B4">
            <w:pPr>
              <w:jc w:val="both"/>
              <w:rPr>
                <w:rFonts w:ascii="Century Gothic" w:hAnsi="Century Gothic" w:cs="Segoe UI"/>
                <w:sz w:val="22"/>
                <w:szCs w:val="22"/>
                <w:lang w:eastAsia="es-CO"/>
              </w:rPr>
            </w:pPr>
            <w:r w:rsidRPr="0021789C">
              <w:rPr>
                <w:rFonts w:ascii="Century Gothic" w:hAnsi="Century Gothic" w:cs="Segoe UI"/>
                <w:sz w:val="22"/>
                <w:szCs w:val="22"/>
                <w:lang w:eastAsia="es-CO"/>
              </w:rPr>
              <w:t>Andrés Alberto Barreto Álvarez</w:t>
            </w:r>
          </w:p>
        </w:tc>
      </w:tr>
      <w:tr w:rsidR="001C44B4" w:rsidRPr="0021789C" w14:paraId="1165CBE1" w14:textId="77777777" w:rsidTr="0095378E">
        <w:trPr>
          <w:trHeight w:val="454"/>
        </w:trPr>
        <w:tc>
          <w:tcPr>
            <w:tcW w:w="3266" w:type="dxa"/>
            <w:vAlign w:val="center"/>
          </w:tcPr>
          <w:p w14:paraId="640F2169" w14:textId="4903327C" w:rsidR="001C44B4" w:rsidRPr="0021789C" w:rsidRDefault="008B685D" w:rsidP="001C44B4">
            <w:pPr>
              <w:jc w:val="both"/>
              <w:textAlignment w:val="baseline"/>
              <w:rPr>
                <w:rFonts w:ascii="Century Gothic" w:hAnsi="Century Gothic" w:cs="Segoe UI"/>
                <w:sz w:val="22"/>
                <w:szCs w:val="22"/>
                <w:lang w:eastAsia="es-CO"/>
              </w:rPr>
            </w:pPr>
            <w:r w:rsidRPr="0021789C">
              <w:rPr>
                <w:rFonts w:ascii="Century Gothic" w:hAnsi="Century Gothic"/>
                <w:b/>
                <w:bCs/>
                <w:color w:val="000000"/>
                <w:sz w:val="22"/>
                <w:szCs w:val="22"/>
                <w:shd w:val="clear" w:color="auto" w:fill="FFFFFF"/>
                <w:lang w:eastAsia="es-CO"/>
              </w:rPr>
              <w:t>Asegurado</w:t>
            </w:r>
          </w:p>
        </w:tc>
        <w:tc>
          <w:tcPr>
            <w:tcW w:w="6941" w:type="dxa"/>
            <w:vAlign w:val="center"/>
          </w:tcPr>
          <w:p w14:paraId="3381B0BB" w14:textId="0024B7C3" w:rsidR="001C44B4" w:rsidRPr="0021789C" w:rsidRDefault="0028357A" w:rsidP="001C44B4">
            <w:pPr>
              <w:jc w:val="both"/>
              <w:rPr>
                <w:rFonts w:ascii="Century Gothic" w:hAnsi="Century Gothic" w:cs="Segoe UI"/>
                <w:sz w:val="22"/>
                <w:szCs w:val="22"/>
                <w:lang w:eastAsia="es-CO"/>
              </w:rPr>
            </w:pPr>
            <w:r w:rsidRPr="0021789C">
              <w:rPr>
                <w:rFonts w:ascii="Century Gothic" w:hAnsi="Century Gothic" w:cs="Segoe UI"/>
                <w:sz w:val="22"/>
                <w:szCs w:val="22"/>
                <w:lang w:eastAsia="es-CO"/>
              </w:rPr>
              <w:t>Andrés Alberto Barreto Álvarez</w:t>
            </w:r>
          </w:p>
        </w:tc>
      </w:tr>
      <w:tr w:rsidR="001C44B4" w:rsidRPr="0021789C" w14:paraId="513C2A8D" w14:textId="77777777" w:rsidTr="0095378E">
        <w:trPr>
          <w:trHeight w:val="454"/>
        </w:trPr>
        <w:tc>
          <w:tcPr>
            <w:tcW w:w="3266" w:type="dxa"/>
            <w:vAlign w:val="center"/>
            <w:hideMark/>
          </w:tcPr>
          <w:p w14:paraId="5E1FDA28" w14:textId="16DB1B8E" w:rsidR="001C44B4" w:rsidRPr="0021789C" w:rsidRDefault="008B685D" w:rsidP="001C44B4">
            <w:pPr>
              <w:jc w:val="both"/>
              <w:textAlignment w:val="baseline"/>
              <w:rPr>
                <w:rFonts w:ascii="Century Gothic" w:hAnsi="Century Gothic" w:cs="Segoe UI"/>
                <w:sz w:val="22"/>
                <w:szCs w:val="22"/>
                <w:lang w:eastAsia="es-CO"/>
              </w:rPr>
            </w:pPr>
            <w:r w:rsidRPr="0021789C">
              <w:rPr>
                <w:rFonts w:ascii="Century Gothic" w:hAnsi="Century Gothic"/>
                <w:b/>
                <w:bCs/>
                <w:color w:val="000000"/>
                <w:sz w:val="22"/>
                <w:szCs w:val="22"/>
                <w:shd w:val="clear" w:color="auto" w:fill="FFFFFF"/>
                <w:lang w:eastAsia="es-CO"/>
              </w:rPr>
              <w:t>Ramo</w:t>
            </w:r>
          </w:p>
        </w:tc>
        <w:tc>
          <w:tcPr>
            <w:tcW w:w="6941" w:type="dxa"/>
            <w:vAlign w:val="center"/>
          </w:tcPr>
          <w:p w14:paraId="0701202E" w14:textId="5B47FD50" w:rsidR="001C44B4" w:rsidRPr="0021789C" w:rsidRDefault="0028357A" w:rsidP="001C44B4">
            <w:pPr>
              <w:jc w:val="both"/>
              <w:rPr>
                <w:rFonts w:ascii="Century Gothic" w:hAnsi="Century Gothic" w:cs="Segoe UI"/>
                <w:sz w:val="22"/>
                <w:szCs w:val="22"/>
                <w:lang w:eastAsia="es-CO"/>
              </w:rPr>
            </w:pPr>
            <w:r w:rsidRPr="0021789C">
              <w:rPr>
                <w:rFonts w:ascii="Century Gothic" w:hAnsi="Century Gothic" w:cs="Segoe UI"/>
                <w:sz w:val="22"/>
                <w:szCs w:val="22"/>
                <w:lang w:eastAsia="es-CO"/>
              </w:rPr>
              <w:t>Plan Full</w:t>
            </w:r>
          </w:p>
        </w:tc>
      </w:tr>
      <w:tr w:rsidR="001C44B4" w:rsidRPr="0021789C" w14:paraId="2F8ECFA3" w14:textId="77777777" w:rsidTr="0095378E">
        <w:trPr>
          <w:trHeight w:val="454"/>
        </w:trPr>
        <w:tc>
          <w:tcPr>
            <w:tcW w:w="3266" w:type="dxa"/>
            <w:vAlign w:val="center"/>
            <w:hideMark/>
          </w:tcPr>
          <w:p w14:paraId="0C3932A6" w14:textId="2792643B" w:rsidR="001C44B4" w:rsidRPr="0021789C" w:rsidRDefault="008B685D" w:rsidP="001C44B4">
            <w:pPr>
              <w:jc w:val="both"/>
              <w:textAlignment w:val="baseline"/>
              <w:rPr>
                <w:rFonts w:ascii="Century Gothic" w:hAnsi="Century Gothic" w:cs="Segoe UI"/>
                <w:sz w:val="22"/>
                <w:szCs w:val="22"/>
                <w:lang w:eastAsia="es-CO"/>
              </w:rPr>
            </w:pPr>
            <w:r w:rsidRPr="0021789C">
              <w:rPr>
                <w:rFonts w:ascii="Century Gothic" w:hAnsi="Century Gothic"/>
                <w:b/>
                <w:bCs/>
                <w:color w:val="000000"/>
                <w:sz w:val="22"/>
                <w:szCs w:val="22"/>
                <w:shd w:val="clear" w:color="auto" w:fill="FFFFFF"/>
                <w:lang w:eastAsia="es-CO"/>
              </w:rPr>
              <w:t>Cobertura</w:t>
            </w:r>
          </w:p>
        </w:tc>
        <w:tc>
          <w:tcPr>
            <w:tcW w:w="6941" w:type="dxa"/>
            <w:vAlign w:val="center"/>
          </w:tcPr>
          <w:p w14:paraId="0958D277" w14:textId="40EE62F3" w:rsidR="001C44B4" w:rsidRPr="0021789C" w:rsidRDefault="00E46DE1" w:rsidP="001C44B4">
            <w:pPr>
              <w:jc w:val="both"/>
              <w:rPr>
                <w:rFonts w:ascii="Century Gothic" w:hAnsi="Century Gothic" w:cs="Segoe UI"/>
                <w:sz w:val="22"/>
                <w:szCs w:val="22"/>
                <w:lang w:eastAsia="es-CO"/>
              </w:rPr>
            </w:pPr>
            <w:r w:rsidRPr="0021789C">
              <w:rPr>
                <w:rFonts w:ascii="Century Gothic" w:hAnsi="Century Gothic" w:cs="Segoe UI"/>
                <w:sz w:val="22"/>
                <w:szCs w:val="22"/>
                <w:lang w:eastAsia="es-CO"/>
              </w:rPr>
              <w:t>Pérdida total por Hurto o Hurto Calificado</w:t>
            </w:r>
          </w:p>
        </w:tc>
      </w:tr>
      <w:tr w:rsidR="001C44B4" w:rsidRPr="0021789C" w14:paraId="59B4A554" w14:textId="77777777" w:rsidTr="0095378E">
        <w:trPr>
          <w:trHeight w:val="454"/>
        </w:trPr>
        <w:tc>
          <w:tcPr>
            <w:tcW w:w="3266" w:type="dxa"/>
            <w:vAlign w:val="center"/>
            <w:hideMark/>
          </w:tcPr>
          <w:p w14:paraId="0412A958" w14:textId="77777777" w:rsidR="001C44B4" w:rsidRPr="0021789C" w:rsidRDefault="001C44B4" w:rsidP="001C44B4">
            <w:pPr>
              <w:jc w:val="both"/>
              <w:textAlignment w:val="baseline"/>
              <w:rPr>
                <w:rFonts w:ascii="Century Gothic" w:hAnsi="Century Gothic" w:cs="Segoe UI"/>
                <w:sz w:val="22"/>
                <w:szCs w:val="22"/>
                <w:lang w:eastAsia="es-CO"/>
              </w:rPr>
            </w:pPr>
            <w:r w:rsidRPr="0021789C">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77A46FAC" w:rsidR="001C44B4" w:rsidRPr="0021789C" w:rsidRDefault="0028357A" w:rsidP="001C44B4">
            <w:pPr>
              <w:jc w:val="both"/>
              <w:rPr>
                <w:rFonts w:ascii="Century Gothic" w:hAnsi="Century Gothic" w:cs="Segoe UI"/>
                <w:sz w:val="22"/>
                <w:szCs w:val="22"/>
                <w:lang w:eastAsia="es-CO"/>
              </w:rPr>
            </w:pPr>
            <w:r w:rsidRPr="0021789C">
              <w:rPr>
                <w:rFonts w:ascii="Century Gothic" w:hAnsi="Century Gothic" w:cs="Segoe UI"/>
                <w:sz w:val="22"/>
                <w:szCs w:val="22"/>
                <w:lang w:eastAsia="es-CO"/>
              </w:rPr>
              <w:t>$87.900.000</w:t>
            </w:r>
          </w:p>
        </w:tc>
      </w:tr>
      <w:tr w:rsidR="001129B6" w:rsidRPr="0021789C" w14:paraId="2F24D88E" w14:textId="77777777" w:rsidTr="0095378E">
        <w:trPr>
          <w:trHeight w:val="454"/>
        </w:trPr>
        <w:tc>
          <w:tcPr>
            <w:tcW w:w="3266" w:type="dxa"/>
            <w:vAlign w:val="center"/>
          </w:tcPr>
          <w:p w14:paraId="0E72F2CD" w14:textId="1A6BE851" w:rsidR="001129B6" w:rsidRPr="0021789C" w:rsidRDefault="001129B6" w:rsidP="001C44B4">
            <w:pPr>
              <w:jc w:val="both"/>
              <w:textAlignment w:val="baseline"/>
              <w:rPr>
                <w:rFonts w:ascii="Century Gothic" w:hAnsi="Century Gothic"/>
                <w:b/>
                <w:bCs/>
                <w:color w:val="000000"/>
                <w:sz w:val="22"/>
                <w:szCs w:val="22"/>
                <w:shd w:val="clear" w:color="auto" w:fill="FFFFFF"/>
                <w:lang w:eastAsia="es-CO"/>
              </w:rPr>
            </w:pPr>
            <w:r w:rsidRPr="0021789C">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2A243C89" w:rsidR="001129B6" w:rsidRPr="0021789C" w:rsidRDefault="00E46DE1" w:rsidP="001C44B4">
            <w:pPr>
              <w:jc w:val="both"/>
              <w:rPr>
                <w:rFonts w:ascii="Century Gothic" w:hAnsi="Century Gothic" w:cs="Segoe UI"/>
                <w:sz w:val="22"/>
                <w:szCs w:val="22"/>
                <w:lang w:eastAsia="es-CO"/>
              </w:rPr>
            </w:pPr>
            <w:r w:rsidRPr="0021789C">
              <w:rPr>
                <w:rFonts w:ascii="Century Gothic" w:hAnsi="Century Gothic" w:cs="Segoe UI"/>
                <w:sz w:val="22"/>
                <w:szCs w:val="22"/>
                <w:lang w:eastAsia="es-CO"/>
              </w:rPr>
              <w:t>N/T</w:t>
            </w:r>
          </w:p>
        </w:tc>
      </w:tr>
      <w:tr w:rsidR="001C44B4" w:rsidRPr="0021789C" w14:paraId="658B9E4D" w14:textId="77777777" w:rsidTr="0095378E">
        <w:trPr>
          <w:trHeight w:val="454"/>
        </w:trPr>
        <w:tc>
          <w:tcPr>
            <w:tcW w:w="3266" w:type="dxa"/>
            <w:vAlign w:val="center"/>
            <w:hideMark/>
          </w:tcPr>
          <w:p w14:paraId="02377331" w14:textId="79A3F98F" w:rsidR="001C44B4" w:rsidRPr="0021789C" w:rsidRDefault="002633C0" w:rsidP="001C44B4">
            <w:pPr>
              <w:jc w:val="both"/>
              <w:textAlignment w:val="baseline"/>
              <w:rPr>
                <w:rFonts w:ascii="Century Gothic" w:hAnsi="Century Gothic" w:cs="Segoe UI"/>
                <w:sz w:val="22"/>
                <w:szCs w:val="22"/>
                <w:lang w:eastAsia="es-CO"/>
              </w:rPr>
            </w:pPr>
            <w:r w:rsidRPr="0021789C">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516F20AD" w:rsidR="001C44B4" w:rsidRPr="0021789C" w:rsidRDefault="002633C0" w:rsidP="001C44B4">
            <w:pPr>
              <w:jc w:val="both"/>
              <w:rPr>
                <w:rFonts w:ascii="Century Gothic" w:hAnsi="Century Gothic" w:cs="Segoe UI"/>
                <w:sz w:val="22"/>
                <w:szCs w:val="22"/>
                <w:lang w:eastAsia="es-CO"/>
              </w:rPr>
            </w:pPr>
            <w:r w:rsidRPr="0021789C">
              <w:rPr>
                <w:rFonts w:ascii="Century Gothic" w:hAnsi="Century Gothic" w:cs="Segoe UI"/>
                <w:sz w:val="22"/>
                <w:szCs w:val="22"/>
                <w:lang w:eastAsia="es-CO"/>
              </w:rPr>
              <w:t xml:space="preserve"> </w:t>
            </w:r>
            <w:r w:rsidR="00E46DE1" w:rsidRPr="0021789C">
              <w:rPr>
                <w:rFonts w:ascii="Century Gothic" w:hAnsi="Century Gothic" w:cs="Segoe UI"/>
                <w:sz w:val="22"/>
                <w:szCs w:val="22"/>
                <w:lang w:eastAsia="es-CO"/>
              </w:rPr>
              <w:t>N/T</w:t>
            </w:r>
          </w:p>
        </w:tc>
      </w:tr>
    </w:tbl>
    <w:p w14:paraId="397A1D68" w14:textId="77777777" w:rsidR="003B44CB" w:rsidRPr="0021789C" w:rsidRDefault="003B44CB" w:rsidP="003314A2">
      <w:pPr>
        <w:spacing w:line="360" w:lineRule="auto"/>
        <w:rPr>
          <w:rFonts w:ascii="Century Gothic" w:hAnsi="Century Gothic"/>
          <w:sz w:val="22"/>
          <w:szCs w:val="22"/>
        </w:rPr>
      </w:pPr>
    </w:p>
    <w:p w14:paraId="61F56879" w14:textId="77777777" w:rsidR="0095378E" w:rsidRPr="0021789C"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21789C" w14:paraId="49B1F103" w14:textId="77777777" w:rsidTr="00BA1E5F">
        <w:tc>
          <w:tcPr>
            <w:tcW w:w="3687" w:type="dxa"/>
          </w:tcPr>
          <w:p w14:paraId="673B76C6" w14:textId="23992614" w:rsidR="002633C0" w:rsidRPr="0021789C" w:rsidRDefault="00BA1E5F" w:rsidP="003314A2">
            <w:pPr>
              <w:spacing w:line="360" w:lineRule="auto"/>
              <w:rPr>
                <w:rFonts w:ascii="Century Gothic" w:hAnsi="Century Gothic"/>
                <w:sz w:val="22"/>
                <w:szCs w:val="22"/>
              </w:rPr>
            </w:pPr>
            <w:r w:rsidRPr="0021789C">
              <w:rPr>
                <w:rFonts w:ascii="Century Gothic" w:hAnsi="Century Gothic"/>
                <w:b/>
                <w:bCs/>
                <w:sz w:val="22"/>
                <w:szCs w:val="22"/>
              </w:rPr>
              <w:lastRenderedPageBreak/>
              <w:t>Calificación de la contingencia</w:t>
            </w:r>
          </w:p>
        </w:tc>
        <w:tc>
          <w:tcPr>
            <w:tcW w:w="6520" w:type="dxa"/>
          </w:tcPr>
          <w:p w14:paraId="6F4874B3" w14:textId="434FCAD4" w:rsidR="002633C0" w:rsidRPr="0021789C" w:rsidRDefault="0013403F" w:rsidP="003314A2">
            <w:pPr>
              <w:spacing w:line="360" w:lineRule="auto"/>
              <w:rPr>
                <w:rFonts w:ascii="Century Gothic" w:hAnsi="Century Gothic"/>
                <w:sz w:val="22"/>
                <w:szCs w:val="22"/>
              </w:rPr>
            </w:pPr>
            <w:r w:rsidRPr="0021789C">
              <w:rPr>
                <w:rFonts w:ascii="Century Gothic" w:hAnsi="Century Gothic"/>
                <w:sz w:val="22"/>
                <w:szCs w:val="22"/>
              </w:rPr>
              <w:t>PROBABLE</w:t>
            </w:r>
          </w:p>
        </w:tc>
      </w:tr>
      <w:tr w:rsidR="002633C0" w:rsidRPr="0021789C" w14:paraId="47B026EC" w14:textId="77777777" w:rsidTr="00BA1E5F">
        <w:tc>
          <w:tcPr>
            <w:tcW w:w="3687" w:type="dxa"/>
          </w:tcPr>
          <w:p w14:paraId="4A77CED7" w14:textId="00C97735" w:rsidR="002633C0" w:rsidRPr="0021789C" w:rsidRDefault="00BA1E5F" w:rsidP="003314A2">
            <w:pPr>
              <w:spacing w:line="360" w:lineRule="auto"/>
              <w:rPr>
                <w:rFonts w:ascii="Century Gothic" w:hAnsi="Century Gothic"/>
                <w:b/>
                <w:bCs/>
                <w:sz w:val="22"/>
                <w:szCs w:val="22"/>
              </w:rPr>
            </w:pPr>
            <w:r w:rsidRPr="0021789C">
              <w:rPr>
                <w:rFonts w:ascii="Century Gothic" w:hAnsi="Century Gothic"/>
                <w:b/>
                <w:bCs/>
                <w:sz w:val="22"/>
                <w:szCs w:val="22"/>
              </w:rPr>
              <w:t xml:space="preserve">Reserva sugerida: </w:t>
            </w:r>
          </w:p>
        </w:tc>
        <w:tc>
          <w:tcPr>
            <w:tcW w:w="6520" w:type="dxa"/>
          </w:tcPr>
          <w:p w14:paraId="7146E445" w14:textId="515D71F4" w:rsidR="002633C0" w:rsidRPr="0021789C" w:rsidRDefault="00397F81" w:rsidP="003314A2">
            <w:pPr>
              <w:spacing w:line="360" w:lineRule="auto"/>
              <w:rPr>
                <w:rFonts w:ascii="Century Gothic" w:hAnsi="Century Gothic"/>
                <w:sz w:val="22"/>
                <w:szCs w:val="22"/>
              </w:rPr>
            </w:pPr>
            <w:r w:rsidRPr="0021789C">
              <w:rPr>
                <w:rFonts w:ascii="Century Gothic" w:hAnsi="Century Gothic"/>
                <w:sz w:val="22"/>
                <w:szCs w:val="22"/>
              </w:rPr>
              <w:t>$</w:t>
            </w:r>
            <w:r w:rsidR="00B229C7">
              <w:rPr>
                <w:rFonts w:ascii="Century Gothic" w:hAnsi="Century Gothic"/>
                <w:sz w:val="22"/>
                <w:szCs w:val="22"/>
              </w:rPr>
              <w:t>7</w:t>
            </w:r>
            <w:r w:rsidR="00B229C7" w:rsidRPr="00B229C7">
              <w:rPr>
                <w:rFonts w:ascii="Century Gothic" w:hAnsi="Century Gothic"/>
                <w:sz w:val="22"/>
                <w:szCs w:val="22"/>
              </w:rPr>
              <w:t>9.810.269 (correspondiente al 80% del valor de la liquidación objetiva de las pretensiones</w:t>
            </w:r>
          </w:p>
        </w:tc>
      </w:tr>
      <w:tr w:rsidR="00BA1E5F" w:rsidRPr="0021789C" w14:paraId="22F780E0" w14:textId="77777777" w:rsidTr="008B59F4">
        <w:tc>
          <w:tcPr>
            <w:tcW w:w="10207" w:type="dxa"/>
            <w:gridSpan w:val="2"/>
            <w:shd w:val="clear" w:color="auto" w:fill="C5E0B3" w:themeFill="accent6" w:themeFillTint="66"/>
            <w:vAlign w:val="center"/>
          </w:tcPr>
          <w:p w14:paraId="2E984764" w14:textId="51214522" w:rsidR="00BA1E5F" w:rsidRPr="0021789C" w:rsidRDefault="00BA1E5F" w:rsidP="00BA1E5F">
            <w:pPr>
              <w:spacing w:line="360" w:lineRule="auto"/>
              <w:jc w:val="center"/>
              <w:rPr>
                <w:rFonts w:ascii="Century Gothic" w:hAnsi="Century Gothic"/>
                <w:sz w:val="22"/>
                <w:szCs w:val="22"/>
              </w:rPr>
            </w:pPr>
            <w:r w:rsidRPr="0021789C">
              <w:rPr>
                <w:rFonts w:ascii="Century Gothic" w:hAnsi="Century Gothic"/>
                <w:b/>
                <w:bCs/>
                <w:sz w:val="22"/>
                <w:szCs w:val="22"/>
              </w:rPr>
              <w:t>Concepto del apoderado</w:t>
            </w:r>
          </w:p>
        </w:tc>
      </w:tr>
      <w:tr w:rsidR="00BA1E5F" w:rsidRPr="0021789C" w14:paraId="4C51FAC2" w14:textId="77777777" w:rsidTr="00BA1E5F">
        <w:trPr>
          <w:trHeight w:val="3401"/>
        </w:trPr>
        <w:tc>
          <w:tcPr>
            <w:tcW w:w="10207" w:type="dxa"/>
            <w:gridSpan w:val="2"/>
            <w:vAlign w:val="center"/>
          </w:tcPr>
          <w:p w14:paraId="2C042437" w14:textId="291696EB" w:rsidR="0013403F" w:rsidRPr="0021789C" w:rsidRDefault="004270B3" w:rsidP="004270B3">
            <w:pPr>
              <w:jc w:val="both"/>
              <w:rPr>
                <w:rFonts w:ascii="Century Gothic" w:hAnsi="Century Gothic"/>
                <w:sz w:val="22"/>
                <w:szCs w:val="22"/>
              </w:rPr>
            </w:pPr>
            <w:r w:rsidRPr="0021789C">
              <w:rPr>
                <w:rFonts w:ascii="Century Gothic" w:hAnsi="Century Gothic"/>
                <w:sz w:val="22"/>
                <w:szCs w:val="22"/>
              </w:rPr>
              <w:t xml:space="preserve">La contingencia se califica como </w:t>
            </w:r>
            <w:r w:rsidR="0013403F" w:rsidRPr="0021789C">
              <w:rPr>
                <w:rFonts w:ascii="Century Gothic" w:hAnsi="Century Gothic"/>
                <w:sz w:val="22"/>
                <w:szCs w:val="22"/>
              </w:rPr>
              <w:t>PROBABLE</w:t>
            </w:r>
            <w:r w:rsidRPr="0021789C">
              <w:rPr>
                <w:rFonts w:ascii="Century Gothic" w:hAnsi="Century Gothic"/>
                <w:sz w:val="22"/>
                <w:szCs w:val="22"/>
              </w:rPr>
              <w:t xml:space="preserve"> toda vez que</w:t>
            </w:r>
            <w:r w:rsidR="0013403F" w:rsidRPr="0021789C">
              <w:rPr>
                <w:rFonts w:ascii="Century Gothic" w:hAnsi="Century Gothic"/>
                <w:sz w:val="22"/>
                <w:szCs w:val="22"/>
              </w:rPr>
              <w:t xml:space="preserve"> </w:t>
            </w:r>
            <w:r w:rsidR="00D55451" w:rsidRPr="0021789C">
              <w:rPr>
                <w:rFonts w:ascii="Century Gothic" w:hAnsi="Century Gothic"/>
                <w:sz w:val="22"/>
                <w:szCs w:val="22"/>
              </w:rPr>
              <w:t>está acreditado el siniestro de hurto del vehículo asegurado y la póliza presta cobertura material y temporal para el hecho.</w:t>
            </w:r>
          </w:p>
          <w:p w14:paraId="097C1259" w14:textId="77777777" w:rsidR="0013403F" w:rsidRPr="0021789C" w:rsidRDefault="0013403F" w:rsidP="004270B3">
            <w:pPr>
              <w:jc w:val="both"/>
              <w:rPr>
                <w:rFonts w:ascii="Century Gothic" w:hAnsi="Century Gothic"/>
                <w:sz w:val="22"/>
                <w:szCs w:val="22"/>
              </w:rPr>
            </w:pPr>
          </w:p>
          <w:p w14:paraId="01418C28" w14:textId="1806C799" w:rsidR="004270B3" w:rsidRPr="0021789C" w:rsidRDefault="004270B3" w:rsidP="004270B3">
            <w:pPr>
              <w:jc w:val="both"/>
              <w:rPr>
                <w:rFonts w:ascii="Century Gothic" w:hAnsi="Century Gothic"/>
                <w:sz w:val="22"/>
                <w:szCs w:val="22"/>
              </w:rPr>
            </w:pPr>
            <w:r w:rsidRPr="0021789C">
              <w:rPr>
                <w:rFonts w:ascii="Century Gothic" w:hAnsi="Century Gothic"/>
                <w:sz w:val="22"/>
                <w:szCs w:val="22"/>
              </w:rPr>
              <w:t xml:space="preserve">Lo primero que debe tomarse en consideración es que la </w:t>
            </w:r>
            <w:r w:rsidR="0028357A" w:rsidRPr="0021789C">
              <w:rPr>
                <w:rFonts w:ascii="Century Gothic" w:eastAsia="Arial" w:hAnsi="Century Gothic" w:cs="Arial"/>
                <w:sz w:val="22"/>
                <w:szCs w:val="22"/>
              </w:rPr>
              <w:t>Póliza Seguro Plan Full PE245657</w:t>
            </w:r>
            <w:r w:rsidRPr="0021789C">
              <w:rPr>
                <w:rFonts w:ascii="Century Gothic" w:hAnsi="Century Gothic"/>
                <w:sz w:val="22"/>
                <w:szCs w:val="22"/>
              </w:rPr>
              <w:t>, cuy</w:t>
            </w:r>
            <w:r w:rsidR="0028357A" w:rsidRPr="0021789C">
              <w:rPr>
                <w:rFonts w:ascii="Century Gothic" w:hAnsi="Century Gothic"/>
                <w:sz w:val="22"/>
                <w:szCs w:val="22"/>
              </w:rPr>
              <w:t>o</w:t>
            </w:r>
            <w:r w:rsidRPr="0021789C">
              <w:rPr>
                <w:rFonts w:ascii="Century Gothic" w:hAnsi="Century Gothic"/>
                <w:sz w:val="22"/>
                <w:szCs w:val="22"/>
              </w:rPr>
              <w:t xml:space="preserve"> asegurad</w:t>
            </w:r>
            <w:r w:rsidR="0028357A" w:rsidRPr="0021789C">
              <w:rPr>
                <w:rFonts w:ascii="Century Gothic" w:hAnsi="Century Gothic"/>
                <w:sz w:val="22"/>
                <w:szCs w:val="22"/>
              </w:rPr>
              <w:t>o</w:t>
            </w:r>
            <w:r w:rsidRPr="0021789C">
              <w:rPr>
                <w:rFonts w:ascii="Century Gothic" w:hAnsi="Century Gothic"/>
                <w:sz w:val="22"/>
                <w:szCs w:val="22"/>
              </w:rPr>
              <w:t xml:space="preserve"> </w:t>
            </w:r>
            <w:r w:rsidR="0028357A" w:rsidRPr="0021789C">
              <w:rPr>
                <w:rFonts w:ascii="Century Gothic" w:hAnsi="Century Gothic"/>
                <w:sz w:val="22"/>
                <w:szCs w:val="22"/>
              </w:rPr>
              <w:t>el señor Andrés Alberto Barreto Álvarez</w:t>
            </w:r>
            <w:r w:rsidRPr="0021789C">
              <w:rPr>
                <w:rFonts w:ascii="Century Gothic" w:hAnsi="Century Gothic"/>
                <w:sz w:val="22"/>
                <w:szCs w:val="22"/>
              </w:rPr>
              <w:t xml:space="preserve">, presta cobertura temporal y material, de conformidad con los hechos y pretensiones expuestas en el líbelo de la demanda. Frente a la cobertura temporal, debe señalarse que el hecho, esto es, el hurto del vehículo de placas </w:t>
            </w:r>
            <w:r w:rsidR="0028357A" w:rsidRPr="0021789C">
              <w:rPr>
                <w:rFonts w:ascii="Century Gothic" w:hAnsi="Century Gothic"/>
                <w:sz w:val="22"/>
                <w:szCs w:val="22"/>
              </w:rPr>
              <w:t>GSV-289</w:t>
            </w:r>
            <w:r w:rsidRPr="0021789C">
              <w:rPr>
                <w:rFonts w:ascii="Century Gothic" w:hAnsi="Century Gothic"/>
                <w:sz w:val="22"/>
                <w:szCs w:val="22"/>
              </w:rPr>
              <w:t xml:space="preserve">, ocurrió el </w:t>
            </w:r>
            <w:r w:rsidR="0028357A" w:rsidRPr="0021789C">
              <w:rPr>
                <w:rFonts w:ascii="Century Gothic" w:hAnsi="Century Gothic"/>
                <w:sz w:val="22"/>
                <w:szCs w:val="22"/>
              </w:rPr>
              <w:t>23 de octubre de 2024</w:t>
            </w:r>
            <w:r w:rsidRPr="0021789C">
              <w:rPr>
                <w:rFonts w:ascii="Century Gothic" w:hAnsi="Century Gothic"/>
                <w:sz w:val="22"/>
                <w:szCs w:val="22"/>
              </w:rPr>
              <w:t xml:space="preserve">, es decir, acaeció dentro de la vigencia de la Póliza comprendida entre el </w:t>
            </w:r>
            <w:r w:rsidR="0028357A" w:rsidRPr="0021789C">
              <w:rPr>
                <w:rFonts w:ascii="Century Gothic" w:hAnsi="Century Gothic"/>
                <w:sz w:val="22"/>
                <w:szCs w:val="22"/>
              </w:rPr>
              <w:t>22 de mayo de 2024 y el 22 de mayo de 2025</w:t>
            </w:r>
            <w:r w:rsidRPr="0021789C">
              <w:rPr>
                <w:rFonts w:ascii="Century Gothic" w:hAnsi="Century Gothic"/>
                <w:sz w:val="22"/>
                <w:szCs w:val="22"/>
              </w:rPr>
              <w:t>. Aunado a ello, presta cobertura material en tanto ampara la pérdida total por Hurto o Hurto Calificado, pretensión que se le endilga a la Compañía de Seguros.</w:t>
            </w:r>
          </w:p>
          <w:p w14:paraId="4AAA88B0" w14:textId="77777777" w:rsidR="004270B3" w:rsidRPr="0021789C" w:rsidRDefault="004270B3" w:rsidP="004270B3">
            <w:pPr>
              <w:jc w:val="both"/>
              <w:rPr>
                <w:rFonts w:ascii="Century Gothic" w:hAnsi="Century Gothic"/>
                <w:sz w:val="22"/>
                <w:szCs w:val="22"/>
              </w:rPr>
            </w:pPr>
          </w:p>
          <w:p w14:paraId="02A33606" w14:textId="4A58D463" w:rsidR="00B229C7" w:rsidRDefault="004270B3" w:rsidP="004270B3">
            <w:pPr>
              <w:jc w:val="both"/>
              <w:rPr>
                <w:rFonts w:ascii="Century Gothic" w:hAnsi="Century Gothic"/>
                <w:sz w:val="22"/>
                <w:szCs w:val="22"/>
              </w:rPr>
            </w:pPr>
            <w:r w:rsidRPr="0021789C">
              <w:rPr>
                <w:rFonts w:ascii="Century Gothic" w:hAnsi="Century Gothic"/>
                <w:sz w:val="22"/>
                <w:szCs w:val="22"/>
              </w:rPr>
              <w:t xml:space="preserve">Por otro lado, frente a la obligación indemnizatoria de la Compañía, debe indicarse </w:t>
            </w:r>
            <w:r w:rsidR="00D55451" w:rsidRPr="0021789C">
              <w:rPr>
                <w:rFonts w:ascii="Century Gothic" w:hAnsi="Century Gothic"/>
                <w:sz w:val="22"/>
                <w:szCs w:val="22"/>
              </w:rPr>
              <w:t>que,</w:t>
            </w:r>
            <w:r w:rsidRPr="0021789C">
              <w:rPr>
                <w:rFonts w:ascii="Century Gothic" w:hAnsi="Century Gothic"/>
                <w:sz w:val="22"/>
                <w:szCs w:val="22"/>
              </w:rPr>
              <w:t xml:space="preserve"> </w:t>
            </w:r>
            <w:r w:rsidR="00D55451" w:rsidRPr="0021789C">
              <w:rPr>
                <w:rFonts w:ascii="Century Gothic" w:hAnsi="Century Gothic"/>
                <w:sz w:val="22"/>
                <w:szCs w:val="22"/>
              </w:rPr>
              <w:t xml:space="preserve">si bien la compañía objetó la reclamación bajo la consideración que no se encontraron demostradas las circunstancias de tiempo modo y lugar en que ocurrieron los hechos </w:t>
            </w:r>
            <w:r w:rsidR="0028357A" w:rsidRPr="0021789C">
              <w:rPr>
                <w:rFonts w:ascii="Century Gothic" w:hAnsi="Century Gothic"/>
                <w:sz w:val="22"/>
                <w:szCs w:val="22"/>
              </w:rPr>
              <w:t xml:space="preserve">y que la tenedora del vehículo, la señora Mónica María Álvarez dejo en vía pública y su suerte el vehículo a sabiendas de que este contaba con un parqueadero asignado al interior de la copropiedad en la que ambos residen; lo </w:t>
            </w:r>
            <w:r w:rsidR="00D55451" w:rsidRPr="0021789C">
              <w:rPr>
                <w:rFonts w:ascii="Century Gothic" w:hAnsi="Century Gothic"/>
                <w:sz w:val="22"/>
                <w:szCs w:val="22"/>
              </w:rPr>
              <w:t xml:space="preserve">cierto es que, esa objeción se fundó en el informe de investigación elaborado por la Oficina Nacional de Investigaciones NBI S.A.S. en el que se menciona que existen </w:t>
            </w:r>
            <w:r w:rsidR="009B3524" w:rsidRPr="0021789C">
              <w:rPr>
                <w:rFonts w:ascii="Century Gothic" w:hAnsi="Century Gothic"/>
                <w:sz w:val="22"/>
                <w:szCs w:val="22"/>
              </w:rPr>
              <w:t xml:space="preserve">circunstancias que llevaron al hurto del vehículo, esto es, estacionar en una zona con riesgo conocido de inseguridad, con hurto de autopartes y vehículos, lo que se suma al antecedente del hurto de un vehículo automotor en el año 2014 a la señora Mónica María Álvarez en el mismo sitio en donde se produjo el hecho que </w:t>
            </w:r>
            <w:r w:rsidR="002A74EB" w:rsidRPr="0021789C">
              <w:rPr>
                <w:rFonts w:ascii="Century Gothic" w:hAnsi="Century Gothic"/>
                <w:sz w:val="22"/>
                <w:szCs w:val="22"/>
              </w:rPr>
              <w:t>motiva</w:t>
            </w:r>
            <w:r w:rsidR="009B3524" w:rsidRPr="0021789C">
              <w:rPr>
                <w:rFonts w:ascii="Century Gothic" w:hAnsi="Century Gothic"/>
                <w:sz w:val="22"/>
                <w:szCs w:val="22"/>
              </w:rPr>
              <w:t xml:space="preserve"> la demanda e inclusive</w:t>
            </w:r>
            <w:r w:rsidR="002A74EB" w:rsidRPr="0021789C">
              <w:rPr>
                <w:rFonts w:ascii="Century Gothic" w:hAnsi="Century Gothic"/>
                <w:sz w:val="22"/>
                <w:szCs w:val="22"/>
              </w:rPr>
              <w:t>,</w:t>
            </w:r>
            <w:r w:rsidR="009B3524" w:rsidRPr="0021789C">
              <w:rPr>
                <w:rFonts w:ascii="Century Gothic" w:hAnsi="Century Gothic"/>
                <w:sz w:val="22"/>
                <w:szCs w:val="22"/>
              </w:rPr>
              <w:t xml:space="preserve"> </w:t>
            </w:r>
            <w:r w:rsidR="002A74EB" w:rsidRPr="0021789C">
              <w:rPr>
                <w:rFonts w:ascii="Century Gothic" w:hAnsi="Century Gothic"/>
                <w:sz w:val="22"/>
                <w:szCs w:val="22"/>
              </w:rPr>
              <w:t>la</w:t>
            </w:r>
            <w:r w:rsidR="009B3524" w:rsidRPr="0021789C">
              <w:rPr>
                <w:rFonts w:ascii="Century Gothic" w:hAnsi="Century Gothic"/>
                <w:sz w:val="22"/>
                <w:szCs w:val="22"/>
              </w:rPr>
              <w:t xml:space="preserve"> actitud evasiva a interrogantes dirigidos al </w:t>
            </w:r>
            <w:r w:rsidR="002A74EB" w:rsidRPr="0021789C">
              <w:rPr>
                <w:rFonts w:ascii="Century Gothic" w:hAnsi="Century Gothic"/>
                <w:sz w:val="22"/>
                <w:szCs w:val="22"/>
              </w:rPr>
              <w:t>asegurado</w:t>
            </w:r>
            <w:r w:rsidR="009B3524" w:rsidRPr="0021789C">
              <w:rPr>
                <w:rFonts w:ascii="Century Gothic" w:hAnsi="Century Gothic"/>
                <w:sz w:val="22"/>
                <w:szCs w:val="22"/>
              </w:rPr>
              <w:t xml:space="preserve"> respecto a sus antecedentes penales. Sin embargo</w:t>
            </w:r>
            <w:r w:rsidR="00D55451" w:rsidRPr="0021789C">
              <w:rPr>
                <w:rFonts w:ascii="Century Gothic" w:hAnsi="Century Gothic"/>
                <w:sz w:val="22"/>
                <w:szCs w:val="22"/>
              </w:rPr>
              <w:t xml:space="preserve">, </w:t>
            </w:r>
            <w:r w:rsidR="009B3524" w:rsidRPr="0021789C">
              <w:rPr>
                <w:rFonts w:ascii="Century Gothic" w:hAnsi="Century Gothic"/>
                <w:sz w:val="22"/>
                <w:szCs w:val="22"/>
              </w:rPr>
              <w:t xml:space="preserve">de dicho informe </w:t>
            </w:r>
            <w:r w:rsidR="002A74EB" w:rsidRPr="0021789C">
              <w:rPr>
                <w:rFonts w:ascii="Century Gothic" w:hAnsi="Century Gothic"/>
                <w:sz w:val="22"/>
                <w:szCs w:val="22"/>
              </w:rPr>
              <w:t xml:space="preserve">no logra advertirse </w:t>
            </w:r>
            <w:r w:rsidR="00D55451" w:rsidRPr="0021789C">
              <w:rPr>
                <w:rFonts w:ascii="Century Gothic" w:hAnsi="Century Gothic"/>
                <w:sz w:val="22"/>
                <w:szCs w:val="22"/>
              </w:rPr>
              <w:t xml:space="preserve">que </w:t>
            </w:r>
            <w:r w:rsidR="002A74EB" w:rsidRPr="0021789C">
              <w:rPr>
                <w:rFonts w:ascii="Century Gothic" w:hAnsi="Century Gothic"/>
                <w:sz w:val="22"/>
                <w:szCs w:val="22"/>
              </w:rPr>
              <w:t>el asegurado o la tenedora del vehículo tengan</w:t>
            </w:r>
            <w:r w:rsidR="00D55451" w:rsidRPr="0021789C">
              <w:rPr>
                <w:rFonts w:ascii="Century Gothic" w:hAnsi="Century Gothic"/>
                <w:sz w:val="22"/>
                <w:szCs w:val="22"/>
              </w:rPr>
              <w:t xml:space="preserve"> intención de mentir</w:t>
            </w:r>
            <w:r w:rsidR="00EF4752" w:rsidRPr="0021789C">
              <w:rPr>
                <w:rFonts w:ascii="Century Gothic" w:hAnsi="Century Gothic"/>
                <w:sz w:val="22"/>
                <w:szCs w:val="22"/>
              </w:rPr>
              <w:t>. En tal virtud este documento no ofrece un verdadero insumo para acreditar la existencia de un fraude, máxime porque el mismo en cualquier caso se encontraría en cabeza de un</w:t>
            </w:r>
            <w:r w:rsidR="002A74EB" w:rsidRPr="0021789C">
              <w:rPr>
                <w:rFonts w:ascii="Century Gothic" w:hAnsi="Century Gothic"/>
                <w:sz w:val="22"/>
                <w:szCs w:val="22"/>
              </w:rPr>
              <w:t>a</w:t>
            </w:r>
            <w:r w:rsidR="00EF4752" w:rsidRPr="0021789C">
              <w:rPr>
                <w:rFonts w:ascii="Century Gothic" w:hAnsi="Century Gothic"/>
                <w:sz w:val="22"/>
                <w:szCs w:val="22"/>
              </w:rPr>
              <w:t xml:space="preserve"> tercer</w:t>
            </w:r>
            <w:r w:rsidR="002A74EB" w:rsidRPr="0021789C">
              <w:rPr>
                <w:rFonts w:ascii="Century Gothic" w:hAnsi="Century Gothic"/>
                <w:sz w:val="22"/>
                <w:szCs w:val="22"/>
              </w:rPr>
              <w:t>a</w:t>
            </w:r>
            <w:r w:rsidR="00EF4752" w:rsidRPr="0021789C">
              <w:rPr>
                <w:rFonts w:ascii="Century Gothic" w:hAnsi="Century Gothic"/>
                <w:sz w:val="22"/>
                <w:szCs w:val="22"/>
              </w:rPr>
              <w:t xml:space="preserve"> ajen</w:t>
            </w:r>
            <w:r w:rsidR="002A74EB" w:rsidRPr="0021789C">
              <w:rPr>
                <w:rFonts w:ascii="Century Gothic" w:hAnsi="Century Gothic"/>
                <w:sz w:val="22"/>
                <w:szCs w:val="22"/>
              </w:rPr>
              <w:t>a</w:t>
            </w:r>
            <w:r w:rsidR="00EF4752" w:rsidRPr="0021789C">
              <w:rPr>
                <w:rFonts w:ascii="Century Gothic" w:hAnsi="Century Gothic"/>
                <w:sz w:val="22"/>
                <w:szCs w:val="22"/>
              </w:rPr>
              <w:t xml:space="preserve"> al </w:t>
            </w:r>
            <w:r w:rsidR="002A74EB" w:rsidRPr="0021789C">
              <w:rPr>
                <w:rFonts w:ascii="Century Gothic" w:hAnsi="Century Gothic"/>
                <w:sz w:val="22"/>
                <w:szCs w:val="22"/>
              </w:rPr>
              <w:t>asegurado</w:t>
            </w:r>
            <w:r w:rsidR="00EF4752" w:rsidRPr="0021789C">
              <w:rPr>
                <w:rFonts w:ascii="Century Gothic" w:hAnsi="Century Gothic"/>
                <w:sz w:val="22"/>
                <w:szCs w:val="22"/>
              </w:rPr>
              <w:t>. De manera que no existe en el plenario soporte alguno que pueda enervar la obligación de pago de la compañía, por lo que su obligación se encuentra activa al existir una sustracción del vehículo y una denuncia instaurada por este hecho</w:t>
            </w:r>
            <w:r w:rsidR="00B229C7">
              <w:rPr>
                <w:rFonts w:ascii="Century Gothic" w:hAnsi="Century Gothic"/>
                <w:sz w:val="22"/>
                <w:szCs w:val="22"/>
              </w:rPr>
              <w:t xml:space="preserve">, </w:t>
            </w:r>
            <w:r w:rsidR="00B229C7" w:rsidRPr="00B229C7">
              <w:rPr>
                <w:rFonts w:ascii="Century Gothic" w:hAnsi="Century Gothic"/>
                <w:sz w:val="22"/>
                <w:szCs w:val="22"/>
              </w:rPr>
              <w:t xml:space="preserve">razón por la cual la contingencia se califica como probable. </w:t>
            </w:r>
          </w:p>
          <w:p w14:paraId="3142CE54" w14:textId="77777777" w:rsidR="00B229C7" w:rsidRPr="0021789C" w:rsidRDefault="00B229C7" w:rsidP="004270B3">
            <w:pPr>
              <w:jc w:val="both"/>
              <w:rPr>
                <w:rFonts w:ascii="Century Gothic" w:hAnsi="Century Gothic"/>
                <w:sz w:val="22"/>
                <w:szCs w:val="22"/>
              </w:rPr>
            </w:pPr>
          </w:p>
          <w:p w14:paraId="58FF1192" w14:textId="25ED9C05" w:rsidR="00BA1E5F" w:rsidRPr="0021789C" w:rsidRDefault="004270B3" w:rsidP="00EF4752">
            <w:pPr>
              <w:jc w:val="both"/>
              <w:rPr>
                <w:rFonts w:ascii="Century Gothic" w:hAnsi="Century Gothic"/>
                <w:sz w:val="22"/>
                <w:szCs w:val="22"/>
              </w:rPr>
            </w:pPr>
            <w:r w:rsidRPr="0021789C">
              <w:rPr>
                <w:rFonts w:ascii="Century Gothic" w:hAnsi="Century Gothic"/>
                <w:sz w:val="22"/>
                <w:szCs w:val="22"/>
              </w:rPr>
              <w:t>Todo lo anterior, sin perjuicio del carácter contingente del proceso.</w:t>
            </w:r>
          </w:p>
        </w:tc>
      </w:tr>
      <w:tr w:rsidR="00BA1E5F" w:rsidRPr="008A13B1" w14:paraId="6A3F4D91" w14:textId="77777777" w:rsidTr="008B59F4">
        <w:trPr>
          <w:trHeight w:val="1361"/>
        </w:trPr>
        <w:tc>
          <w:tcPr>
            <w:tcW w:w="10207" w:type="dxa"/>
            <w:gridSpan w:val="2"/>
            <w:vAlign w:val="center"/>
          </w:tcPr>
          <w:p w14:paraId="778A535B" w14:textId="77777777" w:rsidR="004270B3" w:rsidRPr="0021789C" w:rsidRDefault="004270B3" w:rsidP="004270B3">
            <w:pPr>
              <w:spacing w:line="360" w:lineRule="auto"/>
              <w:jc w:val="center"/>
              <w:rPr>
                <w:rFonts w:ascii="Century Gothic" w:hAnsi="Century Gothic" w:cs="Arial"/>
                <w:bCs/>
                <w:sz w:val="22"/>
                <w:szCs w:val="22"/>
              </w:rPr>
            </w:pPr>
            <w:r w:rsidRPr="0021789C">
              <w:rPr>
                <w:rFonts w:ascii="Century Gothic" w:hAnsi="Century Gothic" w:cs="Arial"/>
                <w:bCs/>
                <w:sz w:val="22"/>
                <w:szCs w:val="22"/>
              </w:rPr>
              <w:t>GHA Abogados &amp; Asociados</w:t>
            </w:r>
          </w:p>
          <w:p w14:paraId="3A806213" w14:textId="51EEC1B3" w:rsidR="00BA1E5F" w:rsidRPr="008A13B1" w:rsidRDefault="00BA1E5F" w:rsidP="00BA1E5F">
            <w:pPr>
              <w:spacing w:line="360" w:lineRule="auto"/>
              <w:jc w:val="center"/>
              <w:rPr>
                <w:rFonts w:ascii="Century Gothic" w:hAnsi="Century Gothic"/>
                <w:b/>
                <w:bCs/>
                <w:sz w:val="22"/>
                <w:szCs w:val="22"/>
              </w:rPr>
            </w:pPr>
            <w:r w:rsidRPr="0021789C">
              <w:rPr>
                <w:rFonts w:ascii="Century Gothic" w:hAnsi="Century Gothic"/>
                <w:b/>
                <w:bCs/>
                <w:sz w:val="22"/>
                <w:szCs w:val="22"/>
              </w:rPr>
              <w:t>Firma del abogado</w:t>
            </w:r>
          </w:p>
        </w:tc>
      </w:tr>
    </w:tbl>
    <w:p w14:paraId="66CA6B89" w14:textId="77777777" w:rsidR="002633C0" w:rsidRPr="008A13B1" w:rsidRDefault="002633C0" w:rsidP="003314A2">
      <w:pPr>
        <w:spacing w:line="360" w:lineRule="auto"/>
        <w:rPr>
          <w:rFonts w:ascii="Century Gothic" w:hAnsi="Century Gothic"/>
          <w:sz w:val="22"/>
          <w:szCs w:val="22"/>
        </w:rPr>
      </w:pPr>
    </w:p>
    <w:sectPr w:rsidR="002633C0" w:rsidRPr="008A13B1"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1A303" w14:textId="77777777" w:rsidR="00FE2106" w:rsidRDefault="00FE2106" w:rsidP="00E7033F">
      <w:r>
        <w:separator/>
      </w:r>
    </w:p>
  </w:endnote>
  <w:endnote w:type="continuationSeparator" w:id="0">
    <w:p w14:paraId="46CD27F0" w14:textId="77777777" w:rsidR="00FE2106" w:rsidRDefault="00FE2106"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panose1 w:val="020B0604020202020204"/>
    <w:charset w:val="01"/>
    <w:family w:val="swiss"/>
    <w:pitch w:val="variable"/>
  </w:font>
  <w:font w:name="Aharoni">
    <w:panose1 w:val="02010803020104030203"/>
    <w:charset w:val="B1"/>
    <w:family w:val="auto"/>
    <w:pitch w:val="variable"/>
    <w:sig w:usb0="00000803" w:usb1="00000000" w:usb2="00000000" w:usb3="00000000" w:csb0="0000002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1501E" w14:textId="77777777" w:rsidR="00FE2106" w:rsidRDefault="00FE2106" w:rsidP="00E7033F">
      <w:r>
        <w:separator/>
      </w:r>
    </w:p>
  </w:footnote>
  <w:footnote w:type="continuationSeparator" w:id="0">
    <w:p w14:paraId="078EF165" w14:textId="77777777" w:rsidR="00FE2106" w:rsidRDefault="00FE2106"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25D3" w14:textId="77777777" w:rsidR="00E7033F" w:rsidRDefault="00723A66">
    <w:pPr>
      <w:pStyle w:val="Encabezado"/>
    </w:pPr>
    <w:r>
      <w:rPr>
        <w:noProof/>
        <w:lang w:eastAsia="es-ES_tradnl"/>
      </w:rPr>
    </w:r>
    <w:r w:rsidR="00723A66">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A07A2" w14:textId="77777777" w:rsidR="00E7033F" w:rsidRDefault="00723A66">
    <w:pPr>
      <w:pStyle w:val="Encabezado"/>
    </w:pPr>
    <w:r>
      <w:rPr>
        <w:noProof/>
        <w:lang w:eastAsia="es-ES_tradnl"/>
      </w:rPr>
    </w:r>
    <w:r w:rsidR="00723A66">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F56C" w14:textId="77777777" w:rsidR="00E7033F" w:rsidRDefault="00723A66">
    <w:pPr>
      <w:pStyle w:val="Encabezado"/>
    </w:pPr>
    <w:r>
      <w:rPr>
        <w:noProof/>
        <w:lang w:eastAsia="es-ES_tradnl"/>
      </w:rPr>
    </w:r>
    <w:r w:rsidR="00723A66">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E56"/>
    <w:multiLevelType w:val="multilevel"/>
    <w:tmpl w:val="0C124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53DBB"/>
    <w:multiLevelType w:val="multilevel"/>
    <w:tmpl w:val="C99E3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12174D"/>
    <w:multiLevelType w:val="hybridMultilevel"/>
    <w:tmpl w:val="02A86A78"/>
    <w:lvl w:ilvl="0" w:tplc="E0C6B2E2">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5860ADD"/>
    <w:multiLevelType w:val="hybridMultilevel"/>
    <w:tmpl w:val="CA7ECF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80566B7"/>
    <w:multiLevelType w:val="hybridMultilevel"/>
    <w:tmpl w:val="D7F221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BBD77DE"/>
    <w:multiLevelType w:val="hybridMultilevel"/>
    <w:tmpl w:val="860AD3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FBE28E9"/>
    <w:multiLevelType w:val="hybridMultilevel"/>
    <w:tmpl w:val="61E653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4BB6835"/>
    <w:multiLevelType w:val="hybridMultilevel"/>
    <w:tmpl w:val="2F2406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420931">
    <w:abstractNumId w:val="1"/>
  </w:num>
  <w:num w:numId="2" w16cid:durableId="2027124903">
    <w:abstractNumId w:val="0"/>
  </w:num>
  <w:num w:numId="3" w16cid:durableId="2146969266">
    <w:abstractNumId w:val="5"/>
  </w:num>
  <w:num w:numId="4" w16cid:durableId="236403217">
    <w:abstractNumId w:val="4"/>
  </w:num>
  <w:num w:numId="5" w16cid:durableId="1157957232">
    <w:abstractNumId w:val="6"/>
  </w:num>
  <w:num w:numId="6" w16cid:durableId="1186557192">
    <w:abstractNumId w:val="7"/>
  </w:num>
  <w:num w:numId="7" w16cid:durableId="707418914">
    <w:abstractNumId w:val="3"/>
  </w:num>
  <w:num w:numId="8" w16cid:durableId="432677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B3A4E"/>
    <w:rsid w:val="000C3E21"/>
    <w:rsid w:val="000C5A0A"/>
    <w:rsid w:val="000D23FC"/>
    <w:rsid w:val="001129B6"/>
    <w:rsid w:val="0013403F"/>
    <w:rsid w:val="00181E11"/>
    <w:rsid w:val="001C44B4"/>
    <w:rsid w:val="001E096B"/>
    <w:rsid w:val="001E1616"/>
    <w:rsid w:val="001E5C79"/>
    <w:rsid w:val="0021789C"/>
    <w:rsid w:val="00263011"/>
    <w:rsid w:val="002633C0"/>
    <w:rsid w:val="0028357A"/>
    <w:rsid w:val="002A0E98"/>
    <w:rsid w:val="002A74EB"/>
    <w:rsid w:val="00311097"/>
    <w:rsid w:val="00314CAF"/>
    <w:rsid w:val="00324E27"/>
    <w:rsid w:val="003314A2"/>
    <w:rsid w:val="0033246D"/>
    <w:rsid w:val="003827E1"/>
    <w:rsid w:val="00397EA5"/>
    <w:rsid w:val="00397F81"/>
    <w:rsid w:val="003A3FE6"/>
    <w:rsid w:val="003B44CB"/>
    <w:rsid w:val="003B7F1A"/>
    <w:rsid w:val="00403BFC"/>
    <w:rsid w:val="00415EE9"/>
    <w:rsid w:val="004270B3"/>
    <w:rsid w:val="00437455"/>
    <w:rsid w:val="00493936"/>
    <w:rsid w:val="004C7D4E"/>
    <w:rsid w:val="00504FFB"/>
    <w:rsid w:val="00523ABA"/>
    <w:rsid w:val="00546ED3"/>
    <w:rsid w:val="005B3528"/>
    <w:rsid w:val="005F61D3"/>
    <w:rsid w:val="006056E7"/>
    <w:rsid w:val="0064137B"/>
    <w:rsid w:val="00694306"/>
    <w:rsid w:val="006A1563"/>
    <w:rsid w:val="006A3506"/>
    <w:rsid w:val="006B11E5"/>
    <w:rsid w:val="006F0CAA"/>
    <w:rsid w:val="00723A66"/>
    <w:rsid w:val="00733565"/>
    <w:rsid w:val="00761B63"/>
    <w:rsid w:val="007732FB"/>
    <w:rsid w:val="007C37D7"/>
    <w:rsid w:val="008A13B1"/>
    <w:rsid w:val="008B59F4"/>
    <w:rsid w:val="008B61E5"/>
    <w:rsid w:val="008B685D"/>
    <w:rsid w:val="008C1E01"/>
    <w:rsid w:val="008E249B"/>
    <w:rsid w:val="008F6B57"/>
    <w:rsid w:val="00940731"/>
    <w:rsid w:val="0095378E"/>
    <w:rsid w:val="009820E4"/>
    <w:rsid w:val="00987619"/>
    <w:rsid w:val="00992368"/>
    <w:rsid w:val="00996B7A"/>
    <w:rsid w:val="009A06ED"/>
    <w:rsid w:val="009B3524"/>
    <w:rsid w:val="00A6634D"/>
    <w:rsid w:val="00A7195F"/>
    <w:rsid w:val="00AD1BB0"/>
    <w:rsid w:val="00B229C7"/>
    <w:rsid w:val="00B2787D"/>
    <w:rsid w:val="00B73F97"/>
    <w:rsid w:val="00B90E05"/>
    <w:rsid w:val="00BA0472"/>
    <w:rsid w:val="00BA1E5F"/>
    <w:rsid w:val="00CD2B7E"/>
    <w:rsid w:val="00D33414"/>
    <w:rsid w:val="00D35F0D"/>
    <w:rsid w:val="00D53012"/>
    <w:rsid w:val="00D55451"/>
    <w:rsid w:val="00D83573"/>
    <w:rsid w:val="00DD6A64"/>
    <w:rsid w:val="00DE5BEB"/>
    <w:rsid w:val="00E021EF"/>
    <w:rsid w:val="00E46DE1"/>
    <w:rsid w:val="00E7033F"/>
    <w:rsid w:val="00E802BC"/>
    <w:rsid w:val="00EB5FFB"/>
    <w:rsid w:val="00EE687D"/>
    <w:rsid w:val="00EF4752"/>
    <w:rsid w:val="00F16796"/>
    <w:rsid w:val="00F62D63"/>
    <w:rsid w:val="00F67EF8"/>
    <w:rsid w:val="00F856C2"/>
    <w:rsid w:val="00F90650"/>
    <w:rsid w:val="00FC01A7"/>
    <w:rsid w:val="00FD0FD5"/>
    <w:rsid w:val="00FD53B3"/>
    <w:rsid w:val="00FE210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7033F"/>
    <w:pPr>
      <w:tabs>
        <w:tab w:val="center" w:pos="4252"/>
        <w:tab w:val="right" w:pos="8504"/>
      </w:tabs>
    </w:pPr>
  </w:style>
  <w:style w:type="character" w:customStyle="1" w:styleId="EncabezadoCar">
    <w:name w:val="Encabezado Car"/>
    <w:basedOn w:val="Fuentedeprrafopredeter"/>
    <w:link w:val="Encabezado"/>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AD1BB0"/>
    <w:pPr>
      <w:ind w:left="720"/>
      <w:contextualSpacing/>
    </w:pPr>
  </w:style>
  <w:style w:type="character" w:customStyle="1" w:styleId="xcontentpasted0">
    <w:name w:val="x_contentpasted0"/>
    <w:basedOn w:val="Fuentedeprrafopredeter"/>
    <w:rsid w:val="003A3FE6"/>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940731"/>
  </w:style>
  <w:style w:type="paragraph" w:styleId="Textoindependiente">
    <w:name w:val="Body Text"/>
    <w:basedOn w:val="Normal"/>
    <w:link w:val="TextoindependienteCar"/>
    <w:uiPriority w:val="1"/>
    <w:qFormat/>
    <w:rsid w:val="00940731"/>
    <w:pPr>
      <w:widowControl w:val="0"/>
      <w:autoSpaceDE w:val="0"/>
      <w:autoSpaceDN w:val="0"/>
    </w:pPr>
    <w:rPr>
      <w:rFonts w:ascii="Arial MT" w:eastAsia="Arial MT" w:hAnsi="Arial MT" w:cs="Arial MT"/>
      <w:sz w:val="21"/>
      <w:szCs w:val="21"/>
      <w:lang w:val="es-ES"/>
    </w:rPr>
  </w:style>
  <w:style w:type="character" w:customStyle="1" w:styleId="TextoindependienteCar">
    <w:name w:val="Texto independiente Car"/>
    <w:basedOn w:val="Fuentedeprrafopredeter"/>
    <w:link w:val="Textoindependiente"/>
    <w:uiPriority w:val="1"/>
    <w:rsid w:val="00940731"/>
    <w:rPr>
      <w:rFonts w:ascii="Arial MT" w:eastAsia="Arial MT" w:hAnsi="Arial MT" w:cs="Arial MT"/>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1173</Words>
  <Characters>6454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Brenda Patricia Diaz Vidal</cp:lastModifiedBy>
  <cp:revision>2</cp:revision>
  <cp:lastPrinted>2025-01-20T16:39:00Z</cp:lastPrinted>
  <dcterms:created xsi:type="dcterms:W3CDTF">2025-06-25T21:53:00Z</dcterms:created>
  <dcterms:modified xsi:type="dcterms:W3CDTF">2025-06-25T21:53:00Z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