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B3CD2" w14:textId="77777777" w:rsidR="00D14B7F" w:rsidRPr="00D0771F" w:rsidRDefault="00D14B7F" w:rsidP="007969FC">
      <w:pPr>
        <w:spacing w:line="276" w:lineRule="auto"/>
        <w:rPr>
          <w:rFonts w:ascii="Century Gothic" w:hAnsi="Century Gothic"/>
          <w:sz w:val="22"/>
          <w:szCs w:val="22"/>
        </w:rPr>
      </w:pPr>
    </w:p>
    <w:p w14:paraId="250ECD83" w14:textId="00EA1D1B" w:rsidR="003314A2" w:rsidRPr="00BE1A73" w:rsidRDefault="003314A2" w:rsidP="007969FC">
      <w:pPr>
        <w:spacing w:line="276" w:lineRule="auto"/>
        <w:rPr>
          <w:rFonts w:ascii="Century Gothic" w:hAnsi="Century Gothic"/>
          <w:sz w:val="22"/>
          <w:szCs w:val="22"/>
        </w:rPr>
      </w:pPr>
      <w:r w:rsidRPr="00BE1A73">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BE1A73" w:rsidRDefault="00F67EF8" w:rsidP="00BA5C16">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BE1A73" w:rsidRPr="00BE1A73" w14:paraId="077F9E4D" w14:textId="77777777" w:rsidTr="003827E1">
        <w:trPr>
          <w:trHeight w:val="454"/>
        </w:trPr>
        <w:tc>
          <w:tcPr>
            <w:tcW w:w="4537" w:type="dxa"/>
            <w:vAlign w:val="center"/>
          </w:tcPr>
          <w:p w14:paraId="239BC5A7" w14:textId="7E10D35F" w:rsidR="00F67EF8" w:rsidRPr="00BE1A73" w:rsidRDefault="00F67EF8" w:rsidP="007969FC">
            <w:pPr>
              <w:spacing w:line="276" w:lineRule="auto"/>
              <w:rPr>
                <w:rFonts w:ascii="Century Gothic" w:hAnsi="Century Gothic"/>
                <w:b/>
                <w:bCs/>
                <w:sz w:val="22"/>
                <w:szCs w:val="22"/>
              </w:rPr>
            </w:pPr>
            <w:r w:rsidRPr="00BE1A73">
              <w:rPr>
                <w:rFonts w:ascii="Century Gothic" w:hAnsi="Century Gothic"/>
                <w:b/>
                <w:bCs/>
                <w:sz w:val="22"/>
                <w:szCs w:val="22"/>
              </w:rPr>
              <w:t>Fecha de presentación</w:t>
            </w:r>
          </w:p>
        </w:tc>
        <w:tc>
          <w:tcPr>
            <w:tcW w:w="5670" w:type="dxa"/>
          </w:tcPr>
          <w:p w14:paraId="29FA6EF6" w14:textId="2525A729" w:rsidR="00F67EF8" w:rsidRPr="00BE1A73" w:rsidRDefault="00F35F7E" w:rsidP="00BA5C16">
            <w:pPr>
              <w:spacing w:line="276" w:lineRule="auto"/>
              <w:jc w:val="both"/>
              <w:rPr>
                <w:rFonts w:ascii="Century Gothic" w:hAnsi="Century Gothic"/>
                <w:sz w:val="22"/>
                <w:szCs w:val="22"/>
              </w:rPr>
            </w:pPr>
            <w:r>
              <w:rPr>
                <w:rFonts w:ascii="Century Gothic" w:hAnsi="Century Gothic"/>
                <w:sz w:val="22"/>
                <w:szCs w:val="22"/>
              </w:rPr>
              <w:t>01-09-2025</w:t>
            </w:r>
          </w:p>
        </w:tc>
      </w:tr>
      <w:tr w:rsidR="00BE1A73" w:rsidRPr="00BE1A73" w14:paraId="6959AD48" w14:textId="77777777" w:rsidTr="003827E1">
        <w:trPr>
          <w:trHeight w:val="454"/>
        </w:trPr>
        <w:tc>
          <w:tcPr>
            <w:tcW w:w="4537" w:type="dxa"/>
            <w:vAlign w:val="center"/>
          </w:tcPr>
          <w:p w14:paraId="45E895A9" w14:textId="1E20E681" w:rsidR="00F67EF8" w:rsidRPr="00BE1A73" w:rsidRDefault="00F67EF8" w:rsidP="007969FC">
            <w:pPr>
              <w:spacing w:line="276" w:lineRule="auto"/>
              <w:rPr>
                <w:rFonts w:ascii="Century Gothic" w:hAnsi="Century Gothic"/>
                <w:b/>
                <w:bCs/>
                <w:sz w:val="22"/>
                <w:szCs w:val="22"/>
              </w:rPr>
            </w:pPr>
            <w:r w:rsidRPr="00BE1A73">
              <w:rPr>
                <w:rFonts w:ascii="Century Gothic" w:hAnsi="Century Gothic"/>
                <w:b/>
                <w:bCs/>
                <w:sz w:val="22"/>
                <w:szCs w:val="22"/>
              </w:rPr>
              <w:t>Tipo de abogado</w:t>
            </w:r>
          </w:p>
        </w:tc>
        <w:tc>
          <w:tcPr>
            <w:tcW w:w="5670" w:type="dxa"/>
          </w:tcPr>
          <w:p w14:paraId="06C25C40" w14:textId="2CD33EAC" w:rsidR="00F67EF8" w:rsidRPr="00BE1A73" w:rsidRDefault="00D10F95" w:rsidP="00BA5C16">
            <w:pPr>
              <w:spacing w:line="276" w:lineRule="auto"/>
              <w:jc w:val="both"/>
              <w:rPr>
                <w:rFonts w:ascii="Century Gothic" w:hAnsi="Century Gothic"/>
                <w:sz w:val="22"/>
                <w:szCs w:val="22"/>
              </w:rPr>
            </w:pPr>
            <w:r w:rsidRPr="00BE1A73">
              <w:rPr>
                <w:rFonts w:ascii="Century Gothic" w:hAnsi="Century Gothic"/>
                <w:sz w:val="22"/>
                <w:szCs w:val="22"/>
              </w:rPr>
              <w:t>Externo</w:t>
            </w:r>
          </w:p>
        </w:tc>
      </w:tr>
      <w:tr w:rsidR="00BE1A73" w:rsidRPr="00BE1A73" w14:paraId="2F6DA3B0" w14:textId="77777777" w:rsidTr="003827E1">
        <w:trPr>
          <w:trHeight w:val="454"/>
        </w:trPr>
        <w:tc>
          <w:tcPr>
            <w:tcW w:w="4537" w:type="dxa"/>
            <w:vAlign w:val="center"/>
          </w:tcPr>
          <w:p w14:paraId="30599F8A" w14:textId="674A8832" w:rsidR="00F67EF8" w:rsidRPr="00BE1A73" w:rsidRDefault="00F67EF8" w:rsidP="007969FC">
            <w:pPr>
              <w:spacing w:line="276" w:lineRule="auto"/>
              <w:rPr>
                <w:rFonts w:ascii="Century Gothic" w:hAnsi="Century Gothic"/>
                <w:sz w:val="22"/>
                <w:szCs w:val="22"/>
              </w:rPr>
            </w:pPr>
            <w:r w:rsidRPr="00BE1A73">
              <w:rPr>
                <w:rFonts w:ascii="Century Gothic" w:hAnsi="Century Gothic"/>
                <w:b/>
                <w:bCs/>
                <w:sz w:val="22"/>
                <w:szCs w:val="22"/>
              </w:rPr>
              <w:t>Aseguradora vinculada al proceso</w:t>
            </w:r>
          </w:p>
        </w:tc>
        <w:tc>
          <w:tcPr>
            <w:tcW w:w="5670" w:type="dxa"/>
          </w:tcPr>
          <w:p w14:paraId="794A38B0" w14:textId="330C28D8" w:rsidR="00F67EF8" w:rsidRPr="00BE1A73" w:rsidRDefault="00D10F95" w:rsidP="00BA5C16">
            <w:pPr>
              <w:spacing w:line="276" w:lineRule="auto"/>
              <w:jc w:val="both"/>
              <w:rPr>
                <w:rFonts w:ascii="Century Gothic" w:hAnsi="Century Gothic"/>
                <w:sz w:val="22"/>
                <w:szCs w:val="22"/>
              </w:rPr>
            </w:pPr>
            <w:r w:rsidRPr="00BE1A73">
              <w:rPr>
                <w:rFonts w:ascii="Century Gothic" w:hAnsi="Century Gothic"/>
                <w:sz w:val="22"/>
                <w:szCs w:val="22"/>
              </w:rPr>
              <w:t>EQUIDAD SEGUROS GENERALES O.C.</w:t>
            </w:r>
          </w:p>
        </w:tc>
      </w:tr>
      <w:tr w:rsidR="00BE1A73" w:rsidRPr="00BE1A73" w14:paraId="490540BB" w14:textId="77777777" w:rsidTr="003827E1">
        <w:trPr>
          <w:trHeight w:val="454"/>
        </w:trPr>
        <w:tc>
          <w:tcPr>
            <w:tcW w:w="4537" w:type="dxa"/>
            <w:vAlign w:val="center"/>
          </w:tcPr>
          <w:p w14:paraId="1C2D5235" w14:textId="2B4007F3" w:rsidR="00F67EF8" w:rsidRPr="00BE1A73" w:rsidRDefault="00992368" w:rsidP="00BA5C16">
            <w:pPr>
              <w:spacing w:line="276" w:lineRule="auto"/>
              <w:rPr>
                <w:rFonts w:ascii="Century Gothic" w:hAnsi="Century Gothic"/>
                <w:b/>
                <w:bCs/>
                <w:sz w:val="22"/>
                <w:szCs w:val="22"/>
              </w:rPr>
            </w:pPr>
            <w:r w:rsidRPr="00BE1A73">
              <w:rPr>
                <w:rFonts w:ascii="Century Gothic" w:hAnsi="Century Gothic"/>
                <w:b/>
                <w:bCs/>
                <w:sz w:val="22"/>
                <w:szCs w:val="22"/>
              </w:rPr>
              <w:t>SGC</w:t>
            </w:r>
          </w:p>
        </w:tc>
        <w:tc>
          <w:tcPr>
            <w:tcW w:w="5670" w:type="dxa"/>
          </w:tcPr>
          <w:p w14:paraId="11B788BC" w14:textId="308E9F78" w:rsidR="00F67EF8" w:rsidRPr="00BE1A73" w:rsidRDefault="003341E3" w:rsidP="00BA5C16">
            <w:pPr>
              <w:spacing w:line="276" w:lineRule="auto"/>
              <w:jc w:val="both"/>
              <w:rPr>
                <w:rFonts w:ascii="Century Gothic" w:hAnsi="Century Gothic"/>
                <w:sz w:val="22"/>
                <w:szCs w:val="22"/>
              </w:rPr>
            </w:pPr>
            <w:r>
              <w:rPr>
                <w:rFonts w:ascii="Century Gothic" w:hAnsi="Century Gothic" w:cs="Segoe UI"/>
                <w:sz w:val="22"/>
                <w:szCs w:val="22"/>
                <w:lang w:eastAsia="es-CO"/>
              </w:rPr>
              <w:t>11076</w:t>
            </w:r>
          </w:p>
        </w:tc>
      </w:tr>
      <w:tr w:rsidR="00BE1A73" w:rsidRPr="00BE1A73" w14:paraId="1D86DF69" w14:textId="77777777" w:rsidTr="003827E1">
        <w:trPr>
          <w:trHeight w:val="454"/>
        </w:trPr>
        <w:tc>
          <w:tcPr>
            <w:tcW w:w="4537" w:type="dxa"/>
            <w:vAlign w:val="center"/>
          </w:tcPr>
          <w:p w14:paraId="699114C2" w14:textId="0BB9EC2F" w:rsidR="00F67EF8" w:rsidRPr="00BE1A73" w:rsidRDefault="00992368" w:rsidP="00BA5C16">
            <w:pPr>
              <w:spacing w:line="276" w:lineRule="auto"/>
              <w:rPr>
                <w:rFonts w:ascii="Century Gothic" w:hAnsi="Century Gothic"/>
                <w:b/>
                <w:bCs/>
                <w:sz w:val="22"/>
                <w:szCs w:val="22"/>
              </w:rPr>
            </w:pPr>
            <w:r w:rsidRPr="00BE1A73">
              <w:rPr>
                <w:rFonts w:ascii="Century Gothic" w:hAnsi="Century Gothic"/>
                <w:b/>
                <w:bCs/>
                <w:sz w:val="22"/>
                <w:szCs w:val="22"/>
              </w:rPr>
              <w:t>Despacho/Juzgado/ Tribunal</w:t>
            </w:r>
          </w:p>
        </w:tc>
        <w:tc>
          <w:tcPr>
            <w:tcW w:w="5670" w:type="dxa"/>
          </w:tcPr>
          <w:p w14:paraId="7DD6339C" w14:textId="426A9207" w:rsidR="00F67EF8" w:rsidRPr="00BE1A73" w:rsidRDefault="003341E3" w:rsidP="00BA5C16">
            <w:pPr>
              <w:spacing w:line="276" w:lineRule="auto"/>
              <w:jc w:val="both"/>
              <w:rPr>
                <w:rFonts w:ascii="Century Gothic" w:hAnsi="Century Gothic"/>
                <w:sz w:val="22"/>
                <w:szCs w:val="22"/>
              </w:rPr>
            </w:pPr>
            <w:r>
              <w:rPr>
                <w:rFonts w:ascii="Century Gothic" w:hAnsi="Century Gothic"/>
                <w:sz w:val="22"/>
                <w:szCs w:val="22"/>
              </w:rPr>
              <w:t>JUZGADO DÉCIMO CIVIL DEL CIRCUITO DE ORALIDAD</w:t>
            </w:r>
          </w:p>
        </w:tc>
      </w:tr>
      <w:tr w:rsidR="00BE1A73" w:rsidRPr="00BE1A73" w14:paraId="54742FD8" w14:textId="77777777" w:rsidTr="003827E1">
        <w:trPr>
          <w:trHeight w:val="454"/>
        </w:trPr>
        <w:tc>
          <w:tcPr>
            <w:tcW w:w="4537" w:type="dxa"/>
            <w:vAlign w:val="center"/>
          </w:tcPr>
          <w:p w14:paraId="5A357CCF" w14:textId="3C7FFC83" w:rsidR="00F67EF8" w:rsidRPr="00BE1A73" w:rsidRDefault="00992368" w:rsidP="00BA5C16">
            <w:pPr>
              <w:spacing w:line="276" w:lineRule="auto"/>
              <w:rPr>
                <w:rFonts w:ascii="Century Gothic" w:hAnsi="Century Gothic"/>
                <w:b/>
                <w:bCs/>
                <w:sz w:val="22"/>
                <w:szCs w:val="22"/>
              </w:rPr>
            </w:pPr>
            <w:r w:rsidRPr="00BE1A73">
              <w:rPr>
                <w:rFonts w:ascii="Century Gothic" w:hAnsi="Century Gothic"/>
                <w:b/>
                <w:bCs/>
                <w:sz w:val="22"/>
                <w:szCs w:val="22"/>
              </w:rPr>
              <w:t xml:space="preserve">Ciudad </w:t>
            </w:r>
          </w:p>
        </w:tc>
        <w:tc>
          <w:tcPr>
            <w:tcW w:w="5670" w:type="dxa"/>
          </w:tcPr>
          <w:p w14:paraId="5101FDD8" w14:textId="17EA91C9" w:rsidR="00F67EF8" w:rsidRPr="00BE1A73" w:rsidRDefault="003341E3" w:rsidP="00BA5C16">
            <w:pPr>
              <w:spacing w:line="276" w:lineRule="auto"/>
              <w:jc w:val="both"/>
              <w:rPr>
                <w:rFonts w:ascii="Century Gothic" w:hAnsi="Century Gothic"/>
                <w:sz w:val="22"/>
                <w:szCs w:val="22"/>
              </w:rPr>
            </w:pPr>
            <w:r>
              <w:rPr>
                <w:rFonts w:ascii="Century Gothic" w:hAnsi="Century Gothic"/>
                <w:sz w:val="22"/>
                <w:szCs w:val="22"/>
              </w:rPr>
              <w:t>MEDELLÍN</w:t>
            </w:r>
            <w:r w:rsidR="001E5D9D" w:rsidRPr="00BE1A73">
              <w:rPr>
                <w:rFonts w:ascii="Century Gothic" w:hAnsi="Century Gothic"/>
                <w:sz w:val="22"/>
                <w:szCs w:val="22"/>
              </w:rPr>
              <w:t xml:space="preserve"> D.C.</w:t>
            </w:r>
          </w:p>
        </w:tc>
      </w:tr>
      <w:tr w:rsidR="00BE1A73" w:rsidRPr="00BE1A73" w14:paraId="3983A9CE" w14:textId="77777777" w:rsidTr="003827E1">
        <w:trPr>
          <w:trHeight w:val="454"/>
        </w:trPr>
        <w:tc>
          <w:tcPr>
            <w:tcW w:w="4537" w:type="dxa"/>
            <w:vAlign w:val="center"/>
          </w:tcPr>
          <w:p w14:paraId="7EC7EF81" w14:textId="3CF9A0A9" w:rsidR="00992368" w:rsidRPr="00BE1A73" w:rsidRDefault="008E249B" w:rsidP="00BA5C16">
            <w:pPr>
              <w:spacing w:line="276" w:lineRule="auto"/>
              <w:rPr>
                <w:rFonts w:ascii="Century Gothic" w:hAnsi="Century Gothic"/>
                <w:b/>
                <w:bCs/>
                <w:sz w:val="22"/>
                <w:szCs w:val="22"/>
              </w:rPr>
            </w:pPr>
            <w:r w:rsidRPr="00BE1A73">
              <w:rPr>
                <w:rFonts w:ascii="Century Gothic" w:hAnsi="Century Gothic"/>
                <w:b/>
                <w:bCs/>
                <w:sz w:val="22"/>
                <w:szCs w:val="22"/>
              </w:rPr>
              <w:t>Radicado completo 23 dígitos</w:t>
            </w:r>
          </w:p>
        </w:tc>
        <w:tc>
          <w:tcPr>
            <w:tcW w:w="5670" w:type="dxa"/>
          </w:tcPr>
          <w:p w14:paraId="573C25D1" w14:textId="5674F883" w:rsidR="00992368" w:rsidRPr="00BE1A73" w:rsidRDefault="003341E3" w:rsidP="00BA5C16">
            <w:pPr>
              <w:spacing w:line="276" w:lineRule="auto"/>
              <w:jc w:val="both"/>
              <w:rPr>
                <w:rFonts w:ascii="Century Gothic" w:hAnsi="Century Gothic"/>
                <w:sz w:val="22"/>
                <w:szCs w:val="22"/>
              </w:rPr>
            </w:pPr>
            <w:r>
              <w:rPr>
                <w:rFonts w:ascii="Century Gothic" w:hAnsi="Century Gothic"/>
                <w:sz w:val="22"/>
                <w:szCs w:val="22"/>
              </w:rPr>
              <w:t>05001310301020240042600</w:t>
            </w:r>
            <w:r w:rsidR="00F65BFC">
              <w:rPr>
                <w:rFonts w:ascii="Century Gothic" w:hAnsi="Century Gothic"/>
                <w:sz w:val="22"/>
                <w:szCs w:val="22"/>
              </w:rPr>
              <w:t>*</w:t>
            </w:r>
          </w:p>
        </w:tc>
      </w:tr>
      <w:tr w:rsidR="00BE1A73" w:rsidRPr="00BE1A73" w14:paraId="4A0D8041" w14:textId="77777777" w:rsidTr="003827E1">
        <w:trPr>
          <w:trHeight w:val="454"/>
        </w:trPr>
        <w:tc>
          <w:tcPr>
            <w:tcW w:w="4537" w:type="dxa"/>
            <w:vAlign w:val="center"/>
          </w:tcPr>
          <w:p w14:paraId="6BA2EEB5" w14:textId="7369F36B" w:rsidR="00992368" w:rsidRPr="00BE1A73" w:rsidRDefault="00B2787D" w:rsidP="00BA5C16">
            <w:pPr>
              <w:spacing w:line="276" w:lineRule="auto"/>
              <w:rPr>
                <w:rFonts w:ascii="Century Gothic" w:hAnsi="Century Gothic"/>
                <w:b/>
                <w:bCs/>
                <w:sz w:val="22"/>
                <w:szCs w:val="22"/>
              </w:rPr>
            </w:pPr>
            <w:r w:rsidRPr="00BE1A73">
              <w:rPr>
                <w:rFonts w:ascii="Century Gothic" w:hAnsi="Century Gothic"/>
                <w:b/>
                <w:bCs/>
                <w:sz w:val="22"/>
                <w:szCs w:val="22"/>
              </w:rPr>
              <w:t>Fecha de notificación</w:t>
            </w:r>
          </w:p>
        </w:tc>
        <w:tc>
          <w:tcPr>
            <w:tcW w:w="5670" w:type="dxa"/>
          </w:tcPr>
          <w:p w14:paraId="64AC88EB" w14:textId="7244FDA8" w:rsidR="00992368" w:rsidRPr="00BE1A73" w:rsidRDefault="0055537F" w:rsidP="00BA5C16">
            <w:pPr>
              <w:spacing w:line="276" w:lineRule="auto"/>
              <w:jc w:val="both"/>
              <w:rPr>
                <w:rFonts w:ascii="Century Gothic" w:hAnsi="Century Gothic"/>
              </w:rPr>
            </w:pPr>
            <w:r>
              <w:rPr>
                <w:rFonts w:ascii="Century Gothic" w:hAnsi="Century Gothic"/>
                <w:sz w:val="22"/>
                <w:szCs w:val="22"/>
              </w:rPr>
              <w:t>30</w:t>
            </w:r>
            <w:r w:rsidR="00A168E0" w:rsidRPr="00F1294B">
              <w:rPr>
                <w:rFonts w:ascii="Century Gothic" w:hAnsi="Century Gothic"/>
                <w:sz w:val="22"/>
                <w:szCs w:val="22"/>
              </w:rPr>
              <w:t>/0</w:t>
            </w:r>
            <w:r>
              <w:rPr>
                <w:rFonts w:ascii="Century Gothic" w:hAnsi="Century Gothic"/>
                <w:sz w:val="22"/>
                <w:szCs w:val="22"/>
              </w:rPr>
              <w:t>7</w:t>
            </w:r>
            <w:r w:rsidR="00A168E0" w:rsidRPr="00F1294B">
              <w:rPr>
                <w:rFonts w:ascii="Century Gothic" w:hAnsi="Century Gothic"/>
                <w:sz w:val="22"/>
                <w:szCs w:val="22"/>
              </w:rPr>
              <w:t>/2025</w:t>
            </w:r>
          </w:p>
        </w:tc>
      </w:tr>
      <w:tr w:rsidR="00BE1A73" w:rsidRPr="00BE1A73" w14:paraId="028BDD81" w14:textId="77777777" w:rsidTr="003827E1">
        <w:trPr>
          <w:trHeight w:val="454"/>
        </w:trPr>
        <w:tc>
          <w:tcPr>
            <w:tcW w:w="4537" w:type="dxa"/>
            <w:vAlign w:val="center"/>
          </w:tcPr>
          <w:p w14:paraId="74AA3CB7" w14:textId="0154798B" w:rsidR="00992368" w:rsidRPr="00BE1A73" w:rsidRDefault="00B2787D" w:rsidP="00BA5C16">
            <w:pPr>
              <w:spacing w:line="276" w:lineRule="auto"/>
              <w:rPr>
                <w:rFonts w:ascii="Century Gothic" w:hAnsi="Century Gothic"/>
                <w:b/>
                <w:bCs/>
                <w:sz w:val="22"/>
                <w:szCs w:val="22"/>
              </w:rPr>
            </w:pPr>
            <w:r w:rsidRPr="00BE1A73">
              <w:rPr>
                <w:rFonts w:ascii="Century Gothic" w:hAnsi="Century Gothic"/>
                <w:b/>
                <w:bCs/>
                <w:sz w:val="22"/>
                <w:szCs w:val="22"/>
              </w:rPr>
              <w:t>Fecha vencimiento del término</w:t>
            </w:r>
          </w:p>
        </w:tc>
        <w:tc>
          <w:tcPr>
            <w:tcW w:w="5670" w:type="dxa"/>
          </w:tcPr>
          <w:p w14:paraId="41E82979" w14:textId="0D2E269E" w:rsidR="00992368" w:rsidRPr="00BE1A73" w:rsidRDefault="0055537F" w:rsidP="00BA5C16">
            <w:pPr>
              <w:spacing w:line="276" w:lineRule="auto"/>
              <w:jc w:val="both"/>
              <w:rPr>
                <w:rFonts w:ascii="Century Gothic" w:hAnsi="Century Gothic"/>
                <w:sz w:val="22"/>
                <w:szCs w:val="22"/>
              </w:rPr>
            </w:pPr>
            <w:r>
              <w:rPr>
                <w:rFonts w:ascii="Century Gothic" w:hAnsi="Century Gothic"/>
                <w:sz w:val="22"/>
                <w:szCs w:val="22"/>
              </w:rPr>
              <w:t>29</w:t>
            </w:r>
            <w:r w:rsidR="00A168E0">
              <w:rPr>
                <w:rFonts w:ascii="Century Gothic" w:hAnsi="Century Gothic"/>
                <w:sz w:val="22"/>
                <w:szCs w:val="22"/>
              </w:rPr>
              <w:t>/</w:t>
            </w:r>
            <w:r>
              <w:rPr>
                <w:rFonts w:ascii="Century Gothic" w:hAnsi="Century Gothic"/>
                <w:sz w:val="22"/>
                <w:szCs w:val="22"/>
              </w:rPr>
              <w:t>08</w:t>
            </w:r>
            <w:r w:rsidR="00A168E0">
              <w:rPr>
                <w:rFonts w:ascii="Century Gothic" w:hAnsi="Century Gothic"/>
                <w:sz w:val="22"/>
                <w:szCs w:val="22"/>
              </w:rPr>
              <w:t>/2025</w:t>
            </w:r>
          </w:p>
        </w:tc>
      </w:tr>
    </w:tbl>
    <w:p w14:paraId="619AE562" w14:textId="77777777" w:rsidR="00BA1E5F" w:rsidRPr="00BE1A73" w:rsidRDefault="00BA1E5F" w:rsidP="007969FC">
      <w:pPr>
        <w:spacing w:line="276" w:lineRule="auto"/>
      </w:pPr>
    </w:p>
    <w:p w14:paraId="64A76143" w14:textId="77777777" w:rsidR="00BA1E5F" w:rsidRPr="00BE1A73" w:rsidRDefault="00BA1E5F" w:rsidP="007969FC">
      <w:pPr>
        <w:spacing w:line="276" w:lineRule="auto"/>
      </w:pPr>
    </w:p>
    <w:tbl>
      <w:tblPr>
        <w:tblStyle w:val="Tablaconcuadrcula"/>
        <w:tblW w:w="10207" w:type="dxa"/>
        <w:tblInd w:w="-431" w:type="dxa"/>
        <w:tblLook w:val="04A0" w:firstRow="1" w:lastRow="0" w:firstColumn="1" w:lastColumn="0" w:noHBand="0" w:noVBand="1"/>
      </w:tblPr>
      <w:tblGrid>
        <w:gridCol w:w="10207"/>
      </w:tblGrid>
      <w:tr w:rsidR="00BE1A73" w:rsidRPr="00BE1A73" w14:paraId="55765E90" w14:textId="77777777" w:rsidTr="0095378E">
        <w:tc>
          <w:tcPr>
            <w:tcW w:w="10207" w:type="dxa"/>
            <w:shd w:val="clear" w:color="auto" w:fill="C5E0B3" w:themeFill="accent6" w:themeFillTint="66"/>
            <w:vAlign w:val="center"/>
          </w:tcPr>
          <w:p w14:paraId="7B465D4D" w14:textId="5CAE6B68" w:rsidR="00B2787D" w:rsidRPr="00BE1A73" w:rsidRDefault="00B2787D" w:rsidP="00BA5C16">
            <w:pPr>
              <w:spacing w:line="276" w:lineRule="auto"/>
              <w:jc w:val="center"/>
              <w:rPr>
                <w:rFonts w:ascii="Century Gothic" w:hAnsi="Century Gothic"/>
                <w:sz w:val="22"/>
                <w:szCs w:val="22"/>
              </w:rPr>
            </w:pPr>
            <w:r w:rsidRPr="00BE1A73">
              <w:rPr>
                <w:rFonts w:ascii="Century Gothic" w:hAnsi="Century Gothic"/>
                <w:b/>
                <w:bCs/>
                <w:sz w:val="22"/>
                <w:szCs w:val="22"/>
              </w:rPr>
              <w:t>Hechos</w:t>
            </w:r>
            <w:r w:rsidR="007C37D7" w:rsidRPr="00BE1A73">
              <w:rPr>
                <w:rFonts w:ascii="Century Gothic" w:hAnsi="Century Gothic"/>
                <w:b/>
                <w:bCs/>
                <w:sz w:val="22"/>
                <w:szCs w:val="22"/>
              </w:rPr>
              <w:t xml:space="preserve"> </w:t>
            </w:r>
            <w:r w:rsidR="007C37D7" w:rsidRPr="00BE1A73">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E1A73" w:rsidRPr="00BE1A73" w14:paraId="59EA92D0" w14:textId="77777777" w:rsidTr="006056E7">
        <w:tc>
          <w:tcPr>
            <w:tcW w:w="10207" w:type="dxa"/>
            <w:vAlign w:val="center"/>
          </w:tcPr>
          <w:p w14:paraId="7D5C850F" w14:textId="77777777" w:rsidR="00B2787D" w:rsidRPr="00BE1A73" w:rsidRDefault="00B2787D" w:rsidP="00BA5C16">
            <w:pPr>
              <w:spacing w:line="276" w:lineRule="auto"/>
              <w:jc w:val="center"/>
              <w:rPr>
                <w:rFonts w:ascii="Century Gothic" w:hAnsi="Century Gothic"/>
                <w:sz w:val="22"/>
                <w:szCs w:val="22"/>
              </w:rPr>
            </w:pPr>
          </w:p>
          <w:p w14:paraId="0A82A550" w14:textId="5453E451" w:rsidR="001E5D9D" w:rsidRDefault="001232AE" w:rsidP="00BA5C16">
            <w:pPr>
              <w:spacing w:line="276" w:lineRule="auto"/>
              <w:jc w:val="both"/>
              <w:rPr>
                <w:rFonts w:ascii="Century Gothic" w:hAnsi="Century Gothic"/>
                <w:sz w:val="22"/>
                <w:szCs w:val="22"/>
              </w:rPr>
            </w:pPr>
            <w:r>
              <w:rPr>
                <w:rFonts w:ascii="Century Gothic" w:hAnsi="Century Gothic"/>
                <w:sz w:val="22"/>
                <w:szCs w:val="22"/>
              </w:rPr>
              <w:t xml:space="preserve">Accidente de tránsito que ocurrió el 01 de noviembre de 2014 en horas de la mañana, alrededor de las 5 y 20 am. La señora Martha Belén Pérez Rondón y su nieta menor de edad, Maite Pérez, fueron atropelladas por un vehículo de servicio público tipo bus, afiliado a la empresa de transporte COOTRACOVI, identificado con la placa número TPW400. </w:t>
            </w:r>
          </w:p>
          <w:p w14:paraId="6F69BC9A" w14:textId="77777777" w:rsidR="001232AE" w:rsidRDefault="001232AE" w:rsidP="00BA5C16">
            <w:pPr>
              <w:spacing w:line="276" w:lineRule="auto"/>
              <w:jc w:val="both"/>
              <w:rPr>
                <w:rFonts w:ascii="Century Gothic" w:hAnsi="Century Gothic"/>
                <w:sz w:val="22"/>
                <w:szCs w:val="22"/>
              </w:rPr>
            </w:pPr>
          </w:p>
          <w:p w14:paraId="2F9B993F" w14:textId="1C5B439D" w:rsidR="001232AE" w:rsidRDefault="001232AE" w:rsidP="00BA5C16">
            <w:pPr>
              <w:spacing w:line="276" w:lineRule="auto"/>
              <w:jc w:val="both"/>
              <w:rPr>
                <w:rFonts w:ascii="Century Gothic" w:hAnsi="Century Gothic"/>
                <w:sz w:val="22"/>
                <w:szCs w:val="22"/>
              </w:rPr>
            </w:pPr>
            <w:r>
              <w:rPr>
                <w:rFonts w:ascii="Century Gothic" w:hAnsi="Century Gothic"/>
                <w:sz w:val="22"/>
                <w:szCs w:val="22"/>
              </w:rPr>
              <w:t xml:space="preserve">Según el relato de la demandante el accidente </w:t>
            </w:r>
            <w:r w:rsidR="00997AF0">
              <w:rPr>
                <w:rFonts w:ascii="Century Gothic" w:hAnsi="Century Gothic"/>
                <w:sz w:val="22"/>
                <w:szCs w:val="22"/>
              </w:rPr>
              <w:t>se</w:t>
            </w:r>
            <w:r>
              <w:rPr>
                <w:rFonts w:ascii="Century Gothic" w:hAnsi="Century Gothic"/>
                <w:sz w:val="22"/>
                <w:szCs w:val="22"/>
              </w:rPr>
              <w:t xml:space="preserve"> produjo cuando se encontraba bajando por la calle 718 frente al número 24-232 del barrio Versalles II sector La Torre, y que ella (Martha) le hizo señas al bus para que se detuviera y la esperara, sin embargo, la demandante después de pasar la calle se percató de que el bus estaba lleno, y le indicó al conductor con la mano que no se iba a montar. El conductor arrancó y le dio un golpe con la parte delante del vehículo a la demandante y a su nieta, quienes cayeron a un abismo de 5 metros, mientras el conductor seguí en movimiento. </w:t>
            </w:r>
          </w:p>
          <w:p w14:paraId="25CE7D3E" w14:textId="77777777" w:rsidR="001232AE" w:rsidRDefault="001232AE" w:rsidP="00BA5C16">
            <w:pPr>
              <w:spacing w:line="276" w:lineRule="auto"/>
              <w:jc w:val="both"/>
              <w:rPr>
                <w:rFonts w:ascii="Century Gothic" w:hAnsi="Century Gothic"/>
                <w:sz w:val="22"/>
                <w:szCs w:val="22"/>
              </w:rPr>
            </w:pPr>
          </w:p>
          <w:p w14:paraId="44CD93B8" w14:textId="09F2E9EE" w:rsidR="001232AE" w:rsidRDefault="001232AE" w:rsidP="00BA5C16">
            <w:pPr>
              <w:spacing w:line="276" w:lineRule="auto"/>
              <w:jc w:val="both"/>
              <w:rPr>
                <w:rFonts w:ascii="Century Gothic" w:hAnsi="Century Gothic"/>
                <w:sz w:val="22"/>
                <w:szCs w:val="22"/>
              </w:rPr>
            </w:pPr>
            <w:r>
              <w:rPr>
                <w:rFonts w:ascii="Century Gothic" w:hAnsi="Century Gothic"/>
                <w:sz w:val="22"/>
                <w:szCs w:val="22"/>
              </w:rPr>
              <w:t xml:space="preserve">El 18 de febrero de 2015 y 16 de junio de 2015, se desarrollaron las audiencias en la Secretaria de Movilidad de Tránsito del Municipio de Medellín para determinar una posible responsabilidad por parte del </w:t>
            </w:r>
            <w:r w:rsidR="00FE3887">
              <w:rPr>
                <w:rFonts w:ascii="Century Gothic" w:hAnsi="Century Gothic"/>
                <w:sz w:val="22"/>
                <w:szCs w:val="22"/>
              </w:rPr>
              <w:t>conductor</w:t>
            </w:r>
            <w:r>
              <w:rPr>
                <w:rFonts w:ascii="Century Gothic" w:hAnsi="Century Gothic"/>
                <w:sz w:val="22"/>
                <w:szCs w:val="22"/>
              </w:rPr>
              <w:t xml:space="preserve"> del vehículo de placas TPW400, en la audiencia de fallo, no se imputó responsabilidad en materia contravencional. </w:t>
            </w:r>
          </w:p>
          <w:p w14:paraId="23F5BDE4" w14:textId="77777777" w:rsidR="00FE3887" w:rsidRDefault="00FE3887" w:rsidP="00BA5C16">
            <w:pPr>
              <w:spacing w:line="276" w:lineRule="auto"/>
              <w:jc w:val="both"/>
              <w:rPr>
                <w:rFonts w:ascii="Century Gothic" w:hAnsi="Century Gothic"/>
                <w:sz w:val="22"/>
                <w:szCs w:val="22"/>
              </w:rPr>
            </w:pPr>
          </w:p>
          <w:p w14:paraId="698D24E9" w14:textId="77777777" w:rsidR="00FE3887" w:rsidRDefault="00FE3887" w:rsidP="00BA5C16">
            <w:pPr>
              <w:spacing w:line="276" w:lineRule="auto"/>
              <w:jc w:val="both"/>
              <w:rPr>
                <w:rFonts w:ascii="Century Gothic" w:hAnsi="Century Gothic"/>
                <w:sz w:val="22"/>
                <w:szCs w:val="22"/>
              </w:rPr>
            </w:pPr>
          </w:p>
          <w:p w14:paraId="0455636F" w14:textId="77777777" w:rsidR="00FE3887" w:rsidRDefault="00FE3887" w:rsidP="00BA5C16">
            <w:pPr>
              <w:spacing w:line="276" w:lineRule="auto"/>
              <w:jc w:val="both"/>
              <w:rPr>
                <w:rFonts w:ascii="Century Gothic" w:hAnsi="Century Gothic"/>
                <w:sz w:val="22"/>
                <w:szCs w:val="22"/>
              </w:rPr>
            </w:pPr>
          </w:p>
          <w:p w14:paraId="1F6D70CF" w14:textId="77777777" w:rsidR="00FE3887" w:rsidRDefault="00FE3887" w:rsidP="00BA5C16">
            <w:pPr>
              <w:spacing w:line="276" w:lineRule="auto"/>
              <w:jc w:val="both"/>
              <w:rPr>
                <w:rFonts w:ascii="Century Gothic" w:hAnsi="Century Gothic"/>
                <w:sz w:val="22"/>
                <w:szCs w:val="22"/>
              </w:rPr>
            </w:pPr>
          </w:p>
          <w:p w14:paraId="1E144FE9" w14:textId="3B4C087C" w:rsidR="00FE3887" w:rsidRDefault="00FE3887" w:rsidP="00BA5C16">
            <w:pPr>
              <w:spacing w:line="276" w:lineRule="auto"/>
              <w:jc w:val="both"/>
              <w:rPr>
                <w:rFonts w:ascii="Century Gothic" w:hAnsi="Century Gothic"/>
                <w:sz w:val="22"/>
                <w:szCs w:val="22"/>
              </w:rPr>
            </w:pPr>
            <w:r>
              <w:rPr>
                <w:rFonts w:ascii="Century Gothic" w:hAnsi="Century Gothic"/>
                <w:sz w:val="22"/>
                <w:szCs w:val="22"/>
              </w:rPr>
              <w:t xml:space="preserve">El día 22 de enero de 2016, la Junta Regional de Calificación de Invalidez calificó que como consecuencia del accidente la demandante presentó una PCL del 20.60% Alega la parte demandante que no pudo volver a trabajar, y que cada día su salud empeora. </w:t>
            </w:r>
          </w:p>
          <w:p w14:paraId="285181BA" w14:textId="76F8F725" w:rsidR="001232AE" w:rsidRPr="00BE1A73" w:rsidRDefault="001232AE" w:rsidP="00BA5C16">
            <w:pPr>
              <w:spacing w:line="276" w:lineRule="auto"/>
              <w:jc w:val="both"/>
              <w:rPr>
                <w:rFonts w:ascii="Century Gothic" w:hAnsi="Century Gothic"/>
                <w:sz w:val="22"/>
                <w:szCs w:val="22"/>
              </w:rPr>
            </w:pPr>
          </w:p>
        </w:tc>
      </w:tr>
    </w:tbl>
    <w:p w14:paraId="20C76EE3" w14:textId="77777777" w:rsidR="003827E1" w:rsidRPr="00BE1A73" w:rsidRDefault="003827E1" w:rsidP="007969FC">
      <w:pPr>
        <w:spacing w:line="276" w:lineRule="auto"/>
      </w:pPr>
    </w:p>
    <w:tbl>
      <w:tblPr>
        <w:tblStyle w:val="Tablaconcuadrcula"/>
        <w:tblW w:w="10207" w:type="dxa"/>
        <w:tblInd w:w="-431" w:type="dxa"/>
        <w:tblLook w:val="04A0" w:firstRow="1" w:lastRow="0" w:firstColumn="1" w:lastColumn="0" w:noHBand="0" w:noVBand="1"/>
      </w:tblPr>
      <w:tblGrid>
        <w:gridCol w:w="4537"/>
        <w:gridCol w:w="5670"/>
      </w:tblGrid>
      <w:tr w:rsidR="00BE1A73" w:rsidRPr="00BE1A73" w14:paraId="2BD14B8D" w14:textId="77777777" w:rsidTr="0095378E">
        <w:tc>
          <w:tcPr>
            <w:tcW w:w="10207" w:type="dxa"/>
            <w:gridSpan w:val="2"/>
            <w:shd w:val="clear" w:color="auto" w:fill="C5E0B3" w:themeFill="accent6" w:themeFillTint="66"/>
            <w:vAlign w:val="center"/>
          </w:tcPr>
          <w:p w14:paraId="00111EA5" w14:textId="08575358" w:rsidR="007C37D7" w:rsidRPr="00BE1A73" w:rsidRDefault="007C37D7" w:rsidP="00BA5C16">
            <w:pPr>
              <w:spacing w:line="276" w:lineRule="auto"/>
              <w:jc w:val="center"/>
              <w:rPr>
                <w:rFonts w:ascii="Century Gothic" w:hAnsi="Century Gothic"/>
                <w:sz w:val="22"/>
                <w:szCs w:val="22"/>
              </w:rPr>
            </w:pPr>
            <w:r w:rsidRPr="00BE1A73">
              <w:rPr>
                <w:rFonts w:ascii="Century Gothic" w:hAnsi="Century Gothic"/>
                <w:b/>
                <w:bCs/>
                <w:sz w:val="22"/>
                <w:szCs w:val="22"/>
              </w:rPr>
              <w:t xml:space="preserve">Pretensiones </w:t>
            </w:r>
            <w:r w:rsidRPr="00BE1A73">
              <w:rPr>
                <w:rFonts w:ascii="Century Gothic" w:hAnsi="Century Gothic"/>
                <w:sz w:val="22"/>
                <w:szCs w:val="22"/>
              </w:rPr>
              <w:t>(haga un relato o enliste las pretensiones de la demanda/llamamiento en garantía)</w:t>
            </w:r>
          </w:p>
        </w:tc>
      </w:tr>
      <w:tr w:rsidR="00BE1A73" w:rsidRPr="00BE1A73" w14:paraId="2B7256CB" w14:textId="77777777" w:rsidTr="006056E7">
        <w:tc>
          <w:tcPr>
            <w:tcW w:w="10207" w:type="dxa"/>
            <w:gridSpan w:val="2"/>
            <w:vAlign w:val="center"/>
          </w:tcPr>
          <w:p w14:paraId="11B57CBF" w14:textId="77777777" w:rsidR="007C37D7" w:rsidRPr="00BE1A73" w:rsidRDefault="007C37D7" w:rsidP="00BA5C16">
            <w:pPr>
              <w:spacing w:line="276" w:lineRule="auto"/>
              <w:jc w:val="center"/>
              <w:rPr>
                <w:rFonts w:ascii="Century Gothic" w:hAnsi="Century Gothic"/>
                <w:sz w:val="22"/>
                <w:szCs w:val="22"/>
              </w:rPr>
            </w:pPr>
          </w:p>
          <w:p w14:paraId="2ED6F99F" w14:textId="77777777" w:rsidR="004250D2" w:rsidRDefault="00164169" w:rsidP="00164169">
            <w:pPr>
              <w:spacing w:line="276" w:lineRule="auto"/>
              <w:jc w:val="both"/>
              <w:rPr>
                <w:rFonts w:ascii="Century Gothic" w:hAnsi="Century Gothic"/>
                <w:b/>
                <w:bCs/>
                <w:sz w:val="22"/>
                <w:szCs w:val="22"/>
              </w:rPr>
            </w:pPr>
            <w:r>
              <w:rPr>
                <w:rFonts w:ascii="Century Gothic" w:hAnsi="Century Gothic"/>
                <w:b/>
                <w:bCs/>
                <w:sz w:val="22"/>
                <w:szCs w:val="22"/>
              </w:rPr>
              <w:t>De la demanda:</w:t>
            </w:r>
          </w:p>
          <w:p w14:paraId="29A70371" w14:textId="77777777" w:rsidR="00164169" w:rsidRDefault="00164169" w:rsidP="00164169">
            <w:pPr>
              <w:spacing w:line="276" w:lineRule="auto"/>
              <w:jc w:val="both"/>
              <w:rPr>
                <w:rFonts w:ascii="Century Gothic" w:hAnsi="Century Gothic"/>
                <w:b/>
                <w:bCs/>
                <w:sz w:val="22"/>
                <w:szCs w:val="22"/>
              </w:rPr>
            </w:pPr>
          </w:p>
          <w:p w14:paraId="446F19F0" w14:textId="77777777" w:rsidR="00164169" w:rsidRPr="00046D83" w:rsidRDefault="00164169" w:rsidP="00164169">
            <w:pPr>
              <w:pStyle w:val="Prrafodelista"/>
              <w:numPr>
                <w:ilvl w:val="0"/>
                <w:numId w:val="26"/>
              </w:numPr>
              <w:spacing w:line="276" w:lineRule="auto"/>
              <w:jc w:val="both"/>
              <w:rPr>
                <w:rFonts w:ascii="Century Gothic" w:hAnsi="Century Gothic"/>
                <w:b/>
                <w:bCs/>
                <w:sz w:val="22"/>
                <w:szCs w:val="22"/>
              </w:rPr>
            </w:pPr>
            <w:r>
              <w:rPr>
                <w:rFonts w:ascii="Century Gothic" w:hAnsi="Century Gothic"/>
                <w:sz w:val="22"/>
                <w:szCs w:val="22"/>
              </w:rPr>
              <w:t xml:space="preserve">Que se declare a Rubén Darío Avendaño Guzmán y a la COOPERATIVA DE TRANSPORTE COLECTIVO DE VILLA HERMOSA – COOTRACOVI, responsables civil y solidariamente pro los daños y perjuicios materiales y morales ocasionados con el accidente de tránsito como víctima a la señora Martha Belén Pérez Rondón en los hechos ocurridos en la ciudad de Medellín. </w:t>
            </w:r>
          </w:p>
          <w:p w14:paraId="5900D370" w14:textId="77777777" w:rsidR="00046D83" w:rsidRPr="00E76B7E" w:rsidRDefault="00046D83" w:rsidP="00046D83">
            <w:pPr>
              <w:pStyle w:val="Prrafodelista"/>
              <w:spacing w:line="276" w:lineRule="auto"/>
              <w:jc w:val="both"/>
              <w:rPr>
                <w:rFonts w:ascii="Century Gothic" w:hAnsi="Century Gothic"/>
                <w:b/>
                <w:bCs/>
                <w:sz w:val="22"/>
                <w:szCs w:val="22"/>
              </w:rPr>
            </w:pPr>
          </w:p>
          <w:p w14:paraId="122EA19E" w14:textId="77777777" w:rsidR="00E76B7E" w:rsidRPr="00046D83" w:rsidRDefault="00046D83" w:rsidP="00164169">
            <w:pPr>
              <w:pStyle w:val="Prrafodelista"/>
              <w:numPr>
                <w:ilvl w:val="0"/>
                <w:numId w:val="26"/>
              </w:numPr>
              <w:spacing w:line="276" w:lineRule="auto"/>
              <w:jc w:val="both"/>
              <w:rPr>
                <w:rFonts w:ascii="Century Gothic" w:hAnsi="Century Gothic"/>
                <w:b/>
                <w:bCs/>
                <w:sz w:val="22"/>
                <w:szCs w:val="22"/>
              </w:rPr>
            </w:pPr>
            <w:r>
              <w:rPr>
                <w:rFonts w:ascii="Century Gothic" w:hAnsi="Century Gothic"/>
                <w:sz w:val="22"/>
                <w:szCs w:val="22"/>
              </w:rPr>
              <w:t>Condenar a los demandados al pago de las indemnizaciones y perjuicios a la señora Martha Belén Pérez Rondón en las cuantías y por los conceptos que se discriminan de la siguiente manera:</w:t>
            </w:r>
          </w:p>
          <w:p w14:paraId="21FAEBF6" w14:textId="77777777" w:rsidR="00046D83" w:rsidRPr="00046D83" w:rsidRDefault="00046D83" w:rsidP="00046D83">
            <w:pPr>
              <w:pStyle w:val="Prrafodelista"/>
              <w:rPr>
                <w:rFonts w:ascii="Century Gothic" w:hAnsi="Century Gothic"/>
                <w:b/>
                <w:bCs/>
                <w:sz w:val="22"/>
                <w:szCs w:val="22"/>
              </w:rPr>
            </w:pPr>
          </w:p>
          <w:p w14:paraId="2BD4C3C0" w14:textId="77777777" w:rsidR="00046D83" w:rsidRDefault="00046D83" w:rsidP="00046D83">
            <w:pPr>
              <w:pStyle w:val="Prrafodelista"/>
              <w:spacing w:line="276" w:lineRule="auto"/>
              <w:jc w:val="both"/>
              <w:rPr>
                <w:rFonts w:ascii="Century Gothic" w:hAnsi="Century Gothic"/>
                <w:b/>
                <w:bCs/>
                <w:sz w:val="22"/>
                <w:szCs w:val="22"/>
              </w:rPr>
            </w:pPr>
            <w:r>
              <w:rPr>
                <w:rFonts w:ascii="Century Gothic" w:hAnsi="Century Gothic"/>
                <w:b/>
                <w:bCs/>
                <w:sz w:val="22"/>
                <w:szCs w:val="22"/>
              </w:rPr>
              <w:t>Perjuicios materiales</w:t>
            </w:r>
          </w:p>
          <w:p w14:paraId="1ECCB3F7" w14:textId="77777777" w:rsidR="00046D83" w:rsidRDefault="00046D83" w:rsidP="00046D83">
            <w:pPr>
              <w:pStyle w:val="Prrafodelista"/>
              <w:spacing w:line="276" w:lineRule="auto"/>
              <w:jc w:val="both"/>
              <w:rPr>
                <w:rFonts w:ascii="Century Gothic" w:hAnsi="Century Gothic"/>
                <w:b/>
                <w:bCs/>
                <w:sz w:val="22"/>
                <w:szCs w:val="22"/>
              </w:rPr>
            </w:pPr>
          </w:p>
          <w:p w14:paraId="1D634B7C" w14:textId="20FC0BEF" w:rsidR="00046D83" w:rsidRDefault="00046D83" w:rsidP="00046D83">
            <w:pPr>
              <w:pStyle w:val="Prrafodelista"/>
              <w:spacing w:line="276" w:lineRule="auto"/>
              <w:jc w:val="both"/>
              <w:rPr>
                <w:rFonts w:ascii="Century Gothic" w:hAnsi="Century Gothic"/>
                <w:sz w:val="22"/>
                <w:szCs w:val="22"/>
              </w:rPr>
            </w:pPr>
            <w:r>
              <w:rPr>
                <w:rFonts w:ascii="Century Gothic" w:hAnsi="Century Gothic"/>
                <w:b/>
                <w:bCs/>
                <w:sz w:val="22"/>
                <w:szCs w:val="22"/>
              </w:rPr>
              <w:t xml:space="preserve">Lucro cesante consolidado: </w:t>
            </w:r>
            <w:r>
              <w:rPr>
                <w:rFonts w:ascii="Century Gothic" w:hAnsi="Century Gothic"/>
                <w:sz w:val="22"/>
                <w:szCs w:val="22"/>
              </w:rPr>
              <w:t>$89.760.000</w:t>
            </w:r>
          </w:p>
          <w:p w14:paraId="55058E83" w14:textId="7F727CC2" w:rsidR="00046D83" w:rsidRDefault="00046D83" w:rsidP="00046D83">
            <w:pPr>
              <w:pStyle w:val="Prrafodelista"/>
              <w:spacing w:line="276" w:lineRule="auto"/>
              <w:jc w:val="both"/>
              <w:rPr>
                <w:rFonts w:ascii="Century Gothic" w:hAnsi="Century Gothic"/>
                <w:sz w:val="22"/>
                <w:szCs w:val="22"/>
              </w:rPr>
            </w:pPr>
            <w:r>
              <w:rPr>
                <w:rFonts w:ascii="Century Gothic" w:hAnsi="Century Gothic"/>
                <w:b/>
                <w:bCs/>
                <w:sz w:val="22"/>
                <w:szCs w:val="22"/>
              </w:rPr>
              <w:t>Lucro cesante futuro:</w:t>
            </w:r>
            <w:r>
              <w:rPr>
                <w:rFonts w:ascii="Century Gothic" w:hAnsi="Century Gothic"/>
                <w:sz w:val="22"/>
                <w:szCs w:val="22"/>
              </w:rPr>
              <w:t xml:space="preserve"> </w:t>
            </w:r>
            <w:r w:rsidRPr="00046D83">
              <w:rPr>
                <w:rFonts w:ascii="Century Gothic" w:hAnsi="Century Gothic"/>
                <w:sz w:val="22"/>
                <w:szCs w:val="22"/>
              </w:rPr>
              <w:t>$</w:t>
            </w:r>
            <w:r>
              <w:rPr>
                <w:rFonts w:ascii="Century Gothic" w:hAnsi="Century Gothic"/>
                <w:sz w:val="22"/>
                <w:szCs w:val="22"/>
              </w:rPr>
              <w:t>249.600.000</w:t>
            </w:r>
          </w:p>
          <w:p w14:paraId="1527DD18" w14:textId="77777777" w:rsidR="00046D83" w:rsidRDefault="00046D83" w:rsidP="00046D83">
            <w:pPr>
              <w:pStyle w:val="Prrafodelista"/>
              <w:spacing w:line="276" w:lineRule="auto"/>
              <w:jc w:val="both"/>
              <w:rPr>
                <w:rFonts w:ascii="Century Gothic" w:hAnsi="Century Gothic"/>
                <w:b/>
                <w:bCs/>
                <w:sz w:val="22"/>
                <w:szCs w:val="22"/>
              </w:rPr>
            </w:pPr>
          </w:p>
          <w:p w14:paraId="0EDEC5BE" w14:textId="77777777" w:rsidR="00046D83" w:rsidRDefault="00046D83" w:rsidP="00046D83">
            <w:pPr>
              <w:pStyle w:val="Prrafodelista"/>
              <w:spacing w:line="276" w:lineRule="auto"/>
              <w:jc w:val="both"/>
              <w:rPr>
                <w:rFonts w:ascii="Century Gothic" w:hAnsi="Century Gothic"/>
                <w:b/>
                <w:bCs/>
                <w:sz w:val="22"/>
                <w:szCs w:val="22"/>
              </w:rPr>
            </w:pPr>
            <w:r>
              <w:rPr>
                <w:rFonts w:ascii="Century Gothic" w:hAnsi="Century Gothic"/>
                <w:b/>
                <w:bCs/>
                <w:sz w:val="22"/>
                <w:szCs w:val="22"/>
              </w:rPr>
              <w:t xml:space="preserve">Perjuicios inmateriales: </w:t>
            </w:r>
          </w:p>
          <w:p w14:paraId="025B27B8" w14:textId="77777777" w:rsidR="00046D83" w:rsidRDefault="00046D83" w:rsidP="00046D83">
            <w:pPr>
              <w:pStyle w:val="Prrafodelista"/>
              <w:spacing w:line="276" w:lineRule="auto"/>
              <w:jc w:val="both"/>
              <w:rPr>
                <w:rFonts w:ascii="Century Gothic" w:hAnsi="Century Gothic"/>
                <w:sz w:val="22"/>
                <w:szCs w:val="22"/>
              </w:rPr>
            </w:pPr>
          </w:p>
          <w:p w14:paraId="46B8EA0F" w14:textId="77777777" w:rsidR="00046D83" w:rsidRDefault="00046D83" w:rsidP="00046D83">
            <w:pPr>
              <w:pStyle w:val="Prrafodelista"/>
              <w:spacing w:line="276" w:lineRule="auto"/>
              <w:jc w:val="both"/>
              <w:rPr>
                <w:rFonts w:ascii="Century Gothic" w:hAnsi="Century Gothic"/>
                <w:sz w:val="22"/>
                <w:szCs w:val="22"/>
              </w:rPr>
            </w:pPr>
            <w:r>
              <w:rPr>
                <w:rFonts w:ascii="Century Gothic" w:hAnsi="Century Gothic"/>
                <w:b/>
                <w:bCs/>
                <w:sz w:val="22"/>
                <w:szCs w:val="22"/>
              </w:rPr>
              <w:t xml:space="preserve">Daño moral: </w:t>
            </w:r>
            <w:r>
              <w:rPr>
                <w:rFonts w:ascii="Century Gothic" w:hAnsi="Century Gothic"/>
                <w:sz w:val="22"/>
                <w:szCs w:val="22"/>
              </w:rPr>
              <w:t>150 salarios mínimos ($195.000.000)</w:t>
            </w:r>
          </w:p>
          <w:p w14:paraId="77C06868" w14:textId="1AF1C751" w:rsidR="00046D83" w:rsidRPr="00046D83" w:rsidRDefault="00046D83" w:rsidP="00046D83">
            <w:pPr>
              <w:pStyle w:val="Prrafodelista"/>
              <w:spacing w:line="276" w:lineRule="auto"/>
              <w:jc w:val="both"/>
              <w:rPr>
                <w:rFonts w:ascii="Century Gothic" w:hAnsi="Century Gothic"/>
                <w:sz w:val="22"/>
                <w:szCs w:val="22"/>
              </w:rPr>
            </w:pPr>
          </w:p>
        </w:tc>
      </w:tr>
      <w:tr w:rsidR="00BE1A73" w:rsidRPr="00BE1A73" w14:paraId="50D1C7A7" w14:textId="77777777" w:rsidTr="003827E1">
        <w:trPr>
          <w:trHeight w:val="510"/>
        </w:trPr>
        <w:tc>
          <w:tcPr>
            <w:tcW w:w="4537" w:type="dxa"/>
            <w:vAlign w:val="center"/>
          </w:tcPr>
          <w:p w14:paraId="013247F4" w14:textId="68D4118C" w:rsidR="00992368" w:rsidRPr="00BE1A73" w:rsidRDefault="001E1616" w:rsidP="00BA5C16">
            <w:pPr>
              <w:spacing w:line="276" w:lineRule="auto"/>
              <w:rPr>
                <w:rFonts w:ascii="Century Gothic" w:hAnsi="Century Gothic"/>
                <w:b/>
                <w:bCs/>
                <w:sz w:val="22"/>
                <w:szCs w:val="22"/>
              </w:rPr>
            </w:pPr>
            <w:r w:rsidRPr="00BE1A73">
              <w:rPr>
                <w:rFonts w:ascii="Century Gothic" w:hAnsi="Century Gothic"/>
                <w:b/>
                <w:bCs/>
                <w:sz w:val="22"/>
                <w:szCs w:val="22"/>
              </w:rPr>
              <w:t xml:space="preserve">Valor total de las pretensiones </w:t>
            </w:r>
          </w:p>
        </w:tc>
        <w:tc>
          <w:tcPr>
            <w:tcW w:w="5670" w:type="dxa"/>
            <w:vAlign w:val="center"/>
          </w:tcPr>
          <w:p w14:paraId="00FEFA37" w14:textId="557AA25C" w:rsidR="00992368" w:rsidRPr="00BE1A73" w:rsidRDefault="001E1616" w:rsidP="00BA5C16">
            <w:pPr>
              <w:spacing w:line="276" w:lineRule="auto"/>
              <w:rPr>
                <w:rFonts w:ascii="Century Gothic" w:hAnsi="Century Gothic"/>
                <w:sz w:val="22"/>
                <w:szCs w:val="22"/>
              </w:rPr>
            </w:pPr>
            <w:r w:rsidRPr="00BE1A73">
              <w:rPr>
                <w:rFonts w:ascii="Century Gothic" w:hAnsi="Century Gothic"/>
                <w:sz w:val="22"/>
                <w:szCs w:val="22"/>
              </w:rPr>
              <w:t>$</w:t>
            </w:r>
            <w:r w:rsidR="00CC69E2">
              <w:rPr>
                <w:rFonts w:ascii="Century Gothic" w:hAnsi="Century Gothic"/>
                <w:sz w:val="22"/>
                <w:szCs w:val="22"/>
              </w:rPr>
              <w:t>534.360.000</w:t>
            </w:r>
          </w:p>
        </w:tc>
      </w:tr>
      <w:tr w:rsidR="00BE1A73" w:rsidRPr="00BE1A73" w14:paraId="668F9413" w14:textId="77777777" w:rsidTr="003827E1">
        <w:trPr>
          <w:trHeight w:val="510"/>
        </w:trPr>
        <w:tc>
          <w:tcPr>
            <w:tcW w:w="4537" w:type="dxa"/>
            <w:vAlign w:val="center"/>
          </w:tcPr>
          <w:p w14:paraId="34E17619" w14:textId="7EF66606" w:rsidR="00992368" w:rsidRPr="00BE1A73" w:rsidRDefault="00FD53B3" w:rsidP="00BA5C16">
            <w:pPr>
              <w:spacing w:line="276" w:lineRule="auto"/>
              <w:rPr>
                <w:rFonts w:ascii="Century Gothic" w:hAnsi="Century Gothic"/>
                <w:b/>
                <w:bCs/>
                <w:sz w:val="22"/>
                <w:szCs w:val="22"/>
              </w:rPr>
            </w:pPr>
            <w:r w:rsidRPr="00BE1A73">
              <w:rPr>
                <w:rFonts w:ascii="Century Gothic" w:hAnsi="Century Gothic"/>
                <w:b/>
                <w:bCs/>
                <w:sz w:val="22"/>
                <w:szCs w:val="22"/>
              </w:rPr>
              <w:t>Valor total de las pretensiones objetivadas</w:t>
            </w:r>
          </w:p>
        </w:tc>
        <w:tc>
          <w:tcPr>
            <w:tcW w:w="5670" w:type="dxa"/>
            <w:vAlign w:val="center"/>
          </w:tcPr>
          <w:p w14:paraId="487C6084" w14:textId="7A4611C6" w:rsidR="00992368" w:rsidRPr="00BE1A73" w:rsidRDefault="00DF0CED" w:rsidP="00BA5C16">
            <w:pPr>
              <w:spacing w:line="276" w:lineRule="auto"/>
              <w:rPr>
                <w:rFonts w:ascii="Century Gothic" w:hAnsi="Century Gothic"/>
                <w:sz w:val="22"/>
                <w:szCs w:val="22"/>
              </w:rPr>
            </w:pPr>
            <w:r>
              <w:rPr>
                <w:rFonts w:ascii="Century Gothic" w:hAnsi="Century Gothic"/>
                <w:sz w:val="22"/>
                <w:szCs w:val="22"/>
                <w:lang w:val="es-CO"/>
              </w:rPr>
              <w:t>$85.410.000</w:t>
            </w:r>
          </w:p>
        </w:tc>
      </w:tr>
    </w:tbl>
    <w:p w14:paraId="28A6476E" w14:textId="77777777" w:rsidR="000B3C85" w:rsidRDefault="000B3C85" w:rsidP="007969FC">
      <w:pPr>
        <w:spacing w:line="276" w:lineRule="auto"/>
      </w:pPr>
    </w:p>
    <w:p w14:paraId="70881A97" w14:textId="77777777" w:rsidR="00CC69E2" w:rsidRDefault="00CC69E2" w:rsidP="007969FC">
      <w:pPr>
        <w:spacing w:line="276" w:lineRule="auto"/>
      </w:pPr>
    </w:p>
    <w:p w14:paraId="7B8AC87D" w14:textId="77777777" w:rsidR="00CC69E2" w:rsidRDefault="00CC69E2" w:rsidP="007969FC">
      <w:pPr>
        <w:spacing w:line="276" w:lineRule="auto"/>
      </w:pPr>
    </w:p>
    <w:p w14:paraId="575A433C" w14:textId="77777777" w:rsidR="00CC69E2" w:rsidRDefault="00CC69E2" w:rsidP="007969FC">
      <w:pPr>
        <w:spacing w:line="276" w:lineRule="auto"/>
      </w:pPr>
    </w:p>
    <w:p w14:paraId="6787870C" w14:textId="77777777" w:rsidR="00CC69E2" w:rsidRDefault="00CC69E2" w:rsidP="007969FC">
      <w:pPr>
        <w:spacing w:line="276" w:lineRule="auto"/>
      </w:pPr>
    </w:p>
    <w:p w14:paraId="2FF6027B" w14:textId="77777777" w:rsidR="00CC69E2" w:rsidRPr="00BE1A73" w:rsidRDefault="00CC69E2" w:rsidP="007969FC">
      <w:pPr>
        <w:spacing w:line="276" w:lineRule="auto"/>
      </w:pPr>
    </w:p>
    <w:tbl>
      <w:tblPr>
        <w:tblStyle w:val="Tablaconcuadrcula"/>
        <w:tblW w:w="10191" w:type="dxa"/>
        <w:tblInd w:w="-431" w:type="dxa"/>
        <w:tblLook w:val="04A0" w:firstRow="1" w:lastRow="0" w:firstColumn="1" w:lastColumn="0" w:noHBand="0" w:noVBand="1"/>
      </w:tblPr>
      <w:tblGrid>
        <w:gridCol w:w="10191"/>
      </w:tblGrid>
      <w:tr w:rsidR="00BE1A73" w:rsidRPr="00BE1A73" w14:paraId="77F9F71B" w14:textId="77777777" w:rsidTr="0095378E">
        <w:trPr>
          <w:trHeight w:val="285"/>
        </w:trPr>
        <w:tc>
          <w:tcPr>
            <w:tcW w:w="10191" w:type="dxa"/>
            <w:shd w:val="clear" w:color="auto" w:fill="C5E0B3" w:themeFill="accent6" w:themeFillTint="66"/>
            <w:vAlign w:val="center"/>
          </w:tcPr>
          <w:p w14:paraId="10E33877" w14:textId="0E982702" w:rsidR="00E802BC" w:rsidRPr="00BE1A73" w:rsidRDefault="00E802BC" w:rsidP="00BA5C16">
            <w:pPr>
              <w:spacing w:line="276" w:lineRule="auto"/>
              <w:jc w:val="center"/>
              <w:rPr>
                <w:rFonts w:ascii="Century Gothic" w:hAnsi="Century Gothic"/>
                <w:sz w:val="22"/>
                <w:szCs w:val="22"/>
              </w:rPr>
            </w:pPr>
            <w:r w:rsidRPr="00BE1A73">
              <w:rPr>
                <w:rFonts w:ascii="Century Gothic" w:hAnsi="Century Gothic"/>
                <w:b/>
                <w:bCs/>
                <w:sz w:val="22"/>
                <w:szCs w:val="22"/>
              </w:rPr>
              <w:lastRenderedPageBreak/>
              <w:t>Liquidación de las pretensiones objetivadas</w:t>
            </w:r>
          </w:p>
        </w:tc>
      </w:tr>
      <w:tr w:rsidR="00BE1A73" w:rsidRPr="00BE1A73" w14:paraId="33786C43" w14:textId="77777777" w:rsidTr="008A3E78">
        <w:trPr>
          <w:trHeight w:val="2542"/>
        </w:trPr>
        <w:tc>
          <w:tcPr>
            <w:tcW w:w="10191" w:type="dxa"/>
            <w:vAlign w:val="center"/>
          </w:tcPr>
          <w:p w14:paraId="7C95D0D0" w14:textId="77777777" w:rsidR="00154D0F" w:rsidRPr="00BE1A73" w:rsidRDefault="00154D0F" w:rsidP="007969FC">
            <w:pPr>
              <w:spacing w:line="276" w:lineRule="auto"/>
              <w:jc w:val="both"/>
              <w:rPr>
                <w:rFonts w:ascii="Century Gothic" w:hAnsi="Century Gothic"/>
                <w:sz w:val="22"/>
                <w:szCs w:val="22"/>
                <w:lang w:val="es-CO"/>
              </w:rPr>
            </w:pPr>
          </w:p>
          <w:p w14:paraId="021020D0" w14:textId="397141B0" w:rsidR="00946924" w:rsidRPr="00BE1A73" w:rsidRDefault="000310D0" w:rsidP="00BA5C16">
            <w:pPr>
              <w:spacing w:line="276" w:lineRule="auto"/>
              <w:jc w:val="both"/>
              <w:rPr>
                <w:rFonts w:ascii="Century Gothic" w:hAnsi="Century Gothic"/>
                <w:sz w:val="22"/>
                <w:szCs w:val="22"/>
                <w:lang w:val="es-CO"/>
              </w:rPr>
            </w:pPr>
            <w:r>
              <w:rPr>
                <w:rFonts w:ascii="Century Gothic" w:hAnsi="Century Gothic"/>
                <w:sz w:val="22"/>
                <w:szCs w:val="22"/>
                <w:lang w:val="es-CO"/>
              </w:rPr>
              <w:t xml:space="preserve">La liquidación objetivada de las pretensiones asciende a la suma de </w:t>
            </w:r>
            <w:r w:rsidR="00DF0CED">
              <w:rPr>
                <w:rFonts w:ascii="Century Gothic" w:hAnsi="Century Gothic"/>
                <w:sz w:val="22"/>
                <w:szCs w:val="22"/>
                <w:lang w:val="es-CO"/>
              </w:rPr>
              <w:t>$85.410.000</w:t>
            </w:r>
            <w:r>
              <w:rPr>
                <w:rFonts w:ascii="Century Gothic" w:hAnsi="Century Gothic"/>
                <w:sz w:val="22"/>
                <w:szCs w:val="22"/>
              </w:rPr>
              <w:t>, teniendo en consideración los siguientes fundamentos fácticos y jurídicos:</w:t>
            </w:r>
          </w:p>
          <w:p w14:paraId="3EAE801B" w14:textId="77777777" w:rsidR="00154D0F" w:rsidRPr="00BE1A73" w:rsidRDefault="00154D0F" w:rsidP="00BA5C16">
            <w:pPr>
              <w:spacing w:line="276" w:lineRule="auto"/>
              <w:jc w:val="both"/>
              <w:rPr>
                <w:rFonts w:ascii="Century Gothic" w:hAnsi="Century Gothic"/>
                <w:sz w:val="22"/>
                <w:szCs w:val="22"/>
                <w:lang w:val="es-CO"/>
              </w:rPr>
            </w:pPr>
          </w:p>
          <w:p w14:paraId="62A460B6" w14:textId="77777777" w:rsidR="00154D0F" w:rsidRPr="00BE1A73" w:rsidRDefault="00154D0F" w:rsidP="00BA5C16">
            <w:pPr>
              <w:pStyle w:val="Prrafodelista"/>
              <w:numPr>
                <w:ilvl w:val="0"/>
                <w:numId w:val="2"/>
              </w:numPr>
              <w:spacing w:after="160" w:line="276" w:lineRule="auto"/>
              <w:rPr>
                <w:rFonts w:ascii="Century Gothic" w:hAnsi="Century Gothic"/>
                <w:b/>
                <w:bCs/>
                <w:sz w:val="22"/>
                <w:szCs w:val="22"/>
                <w:lang w:val="es-CO"/>
              </w:rPr>
            </w:pPr>
            <w:r w:rsidRPr="00BE1A73">
              <w:rPr>
                <w:rFonts w:ascii="Century Gothic" w:hAnsi="Century Gothic"/>
                <w:b/>
                <w:bCs/>
                <w:sz w:val="22"/>
                <w:szCs w:val="22"/>
                <w:lang w:val="es-CO"/>
              </w:rPr>
              <w:t>Perjuicios materiales</w:t>
            </w:r>
          </w:p>
          <w:p w14:paraId="571F1B61" w14:textId="7CE10EF8" w:rsidR="00154D0F" w:rsidRPr="00BE1A73" w:rsidRDefault="00912A16" w:rsidP="00BA5C16">
            <w:pPr>
              <w:spacing w:line="276" w:lineRule="auto"/>
              <w:jc w:val="both"/>
              <w:rPr>
                <w:rFonts w:ascii="Century Gothic" w:hAnsi="Century Gothic"/>
                <w:sz w:val="22"/>
                <w:szCs w:val="22"/>
                <w:lang w:val="es-CO"/>
              </w:rPr>
            </w:pPr>
            <w:r w:rsidRPr="00BE1A73">
              <w:rPr>
                <w:rFonts w:ascii="Century Gothic" w:hAnsi="Century Gothic"/>
                <w:sz w:val="22"/>
                <w:szCs w:val="22"/>
                <w:lang w:val="es-CO"/>
              </w:rPr>
              <w:t>El lucro cesante, pas</w:t>
            </w:r>
            <w:r w:rsidR="00E24777" w:rsidRPr="00BE1A73">
              <w:rPr>
                <w:rFonts w:ascii="Century Gothic" w:hAnsi="Century Gothic"/>
                <w:sz w:val="22"/>
                <w:szCs w:val="22"/>
                <w:lang w:val="es-CO"/>
              </w:rPr>
              <w:t>ado</w:t>
            </w:r>
            <w:r w:rsidRPr="00BE1A73">
              <w:rPr>
                <w:rFonts w:ascii="Century Gothic" w:hAnsi="Century Gothic"/>
                <w:sz w:val="22"/>
                <w:szCs w:val="22"/>
                <w:lang w:val="es-CO"/>
              </w:rPr>
              <w:t xml:space="preserve"> y </w:t>
            </w:r>
            <w:r w:rsidR="00C92E1E" w:rsidRPr="00BE1A73">
              <w:rPr>
                <w:rFonts w:ascii="Century Gothic" w:hAnsi="Century Gothic"/>
                <w:sz w:val="22"/>
                <w:szCs w:val="22"/>
                <w:lang w:val="es-CO"/>
              </w:rPr>
              <w:t>futuro</w:t>
            </w:r>
            <w:r w:rsidRPr="00BE1A73">
              <w:rPr>
                <w:rFonts w:ascii="Century Gothic" w:hAnsi="Century Gothic"/>
                <w:sz w:val="22"/>
                <w:szCs w:val="22"/>
                <w:lang w:val="es-CO"/>
              </w:rPr>
              <w:t xml:space="preserve"> del</w:t>
            </w:r>
            <w:r w:rsidR="00F25C6B">
              <w:rPr>
                <w:rFonts w:ascii="Century Gothic" w:hAnsi="Century Gothic"/>
                <w:sz w:val="22"/>
                <w:szCs w:val="22"/>
                <w:lang w:val="es-CO"/>
              </w:rPr>
              <w:t xml:space="preserve"> a</w:t>
            </w:r>
            <w:r w:rsidRPr="00BE1A73">
              <w:rPr>
                <w:rFonts w:ascii="Century Gothic" w:hAnsi="Century Gothic"/>
                <w:sz w:val="22"/>
                <w:szCs w:val="22"/>
                <w:lang w:val="es-CO"/>
              </w:rPr>
              <w:t xml:space="preserve"> señor</w:t>
            </w:r>
            <w:r w:rsidR="00F25C6B">
              <w:rPr>
                <w:rFonts w:ascii="Century Gothic" w:hAnsi="Century Gothic"/>
                <w:sz w:val="22"/>
                <w:szCs w:val="22"/>
                <w:lang w:val="es-CO"/>
              </w:rPr>
              <w:t>a</w:t>
            </w:r>
            <w:r w:rsidRPr="00BE1A73">
              <w:rPr>
                <w:rFonts w:ascii="Century Gothic" w:hAnsi="Century Gothic"/>
                <w:sz w:val="22"/>
                <w:szCs w:val="22"/>
                <w:lang w:val="es-CO"/>
              </w:rPr>
              <w:t xml:space="preserve"> </w:t>
            </w:r>
            <w:r w:rsidR="00F25C6B">
              <w:rPr>
                <w:rFonts w:ascii="Century Gothic" w:hAnsi="Century Gothic"/>
                <w:sz w:val="22"/>
                <w:szCs w:val="22"/>
                <w:lang w:val="es-CO"/>
              </w:rPr>
              <w:t xml:space="preserve">Martha Belén Pérez Rondón </w:t>
            </w:r>
            <w:r w:rsidRPr="00BE1A73">
              <w:rPr>
                <w:rFonts w:ascii="Century Gothic" w:hAnsi="Century Gothic"/>
                <w:sz w:val="22"/>
                <w:szCs w:val="22"/>
                <w:lang w:val="es-CO"/>
              </w:rPr>
              <w:t xml:space="preserve">se estima en la suma de </w:t>
            </w:r>
            <w:r w:rsidR="003B38A7">
              <w:rPr>
                <w:rFonts w:ascii="Century Gothic" w:hAnsi="Century Gothic"/>
                <w:sz w:val="22"/>
                <w:szCs w:val="22"/>
                <w:lang w:val="es-CO"/>
              </w:rPr>
              <w:t>$</w:t>
            </w:r>
            <w:r w:rsidR="00DF0CED">
              <w:rPr>
                <w:rFonts w:ascii="Century Gothic" w:hAnsi="Century Gothic"/>
                <w:sz w:val="22"/>
                <w:szCs w:val="22"/>
                <w:lang w:val="es-CO"/>
              </w:rPr>
              <w:t>112.931.245</w:t>
            </w:r>
            <w:r w:rsidR="00E7332E" w:rsidRPr="00BE1A73">
              <w:rPr>
                <w:rFonts w:ascii="Century Gothic" w:hAnsi="Century Gothic"/>
                <w:sz w:val="22"/>
                <w:szCs w:val="22"/>
              </w:rPr>
              <w:t xml:space="preserve">, </w:t>
            </w:r>
            <w:r w:rsidRPr="00BE1A73">
              <w:rPr>
                <w:rFonts w:ascii="Century Gothic" w:hAnsi="Century Gothic"/>
                <w:sz w:val="22"/>
                <w:szCs w:val="22"/>
                <w:lang w:val="es-CO"/>
              </w:rPr>
              <w:t xml:space="preserve">teniendo en cuenta las siguientes </w:t>
            </w:r>
            <w:r w:rsidR="00C92E1E" w:rsidRPr="00BE1A73">
              <w:rPr>
                <w:rFonts w:ascii="Century Gothic" w:hAnsi="Century Gothic"/>
                <w:sz w:val="22"/>
                <w:szCs w:val="22"/>
                <w:lang w:val="es-CO"/>
              </w:rPr>
              <w:t>consideraciones</w:t>
            </w:r>
            <w:r w:rsidRPr="00BE1A73">
              <w:rPr>
                <w:rFonts w:ascii="Century Gothic" w:hAnsi="Century Gothic"/>
                <w:sz w:val="22"/>
                <w:szCs w:val="22"/>
                <w:lang w:val="es-CO"/>
              </w:rPr>
              <w:t>:</w:t>
            </w:r>
          </w:p>
          <w:p w14:paraId="67321087" w14:textId="77777777" w:rsidR="00912A16" w:rsidRPr="00BE1A73" w:rsidRDefault="00912A16" w:rsidP="00BA5C16">
            <w:pPr>
              <w:spacing w:line="276" w:lineRule="auto"/>
              <w:jc w:val="both"/>
              <w:rPr>
                <w:rFonts w:ascii="Century Gothic" w:hAnsi="Century Gothic"/>
                <w:sz w:val="22"/>
                <w:szCs w:val="22"/>
                <w:lang w:val="es-CO"/>
              </w:rPr>
            </w:pPr>
          </w:p>
          <w:p w14:paraId="51171955" w14:textId="4BB31AE5" w:rsidR="00237265" w:rsidRPr="00BD3583" w:rsidRDefault="00F25C6B" w:rsidP="00BA5C16">
            <w:pPr>
              <w:pStyle w:val="Prrafodelista"/>
              <w:numPr>
                <w:ilvl w:val="0"/>
                <w:numId w:val="8"/>
              </w:numPr>
              <w:spacing w:line="276" w:lineRule="auto"/>
              <w:rPr>
                <w:rFonts w:ascii="Century Gothic" w:hAnsi="Century Gothic"/>
                <w:b/>
                <w:bCs/>
                <w:sz w:val="22"/>
                <w:szCs w:val="22"/>
                <w:lang w:val="es-CO"/>
              </w:rPr>
            </w:pPr>
            <w:r>
              <w:rPr>
                <w:rFonts w:ascii="Century Gothic" w:hAnsi="Century Gothic"/>
                <w:sz w:val="22"/>
                <w:szCs w:val="22"/>
                <w:lang w:val="es-CO"/>
              </w:rPr>
              <w:t xml:space="preserve">No está demostrada una actividad económica o ingreso de la </w:t>
            </w:r>
            <w:r w:rsidR="00BD3583">
              <w:rPr>
                <w:rFonts w:ascii="Century Gothic" w:hAnsi="Century Gothic"/>
                <w:sz w:val="22"/>
                <w:szCs w:val="22"/>
                <w:lang w:val="es-CO"/>
              </w:rPr>
              <w:t>demandante</w:t>
            </w:r>
            <w:r>
              <w:rPr>
                <w:rFonts w:ascii="Century Gothic" w:hAnsi="Century Gothic"/>
                <w:sz w:val="22"/>
                <w:szCs w:val="22"/>
                <w:lang w:val="es-CO"/>
              </w:rPr>
              <w:t xml:space="preserve"> de la fecha de los hechos, sin embargo, por tratarse de un caso donde se presenta una pérdida de capacidad laboral, se presumirá un ingreso del salario mínimo. </w:t>
            </w:r>
          </w:p>
          <w:p w14:paraId="0DA5D396" w14:textId="68CB41B6" w:rsidR="00BD3583" w:rsidRPr="00BD3583" w:rsidRDefault="00BD3583" w:rsidP="00BA5C16">
            <w:pPr>
              <w:pStyle w:val="Prrafodelista"/>
              <w:numPr>
                <w:ilvl w:val="0"/>
                <w:numId w:val="8"/>
              </w:numPr>
              <w:spacing w:line="276" w:lineRule="auto"/>
              <w:rPr>
                <w:rFonts w:ascii="Century Gothic" w:hAnsi="Century Gothic"/>
                <w:b/>
                <w:bCs/>
                <w:sz w:val="22"/>
                <w:szCs w:val="22"/>
                <w:lang w:val="es-CO"/>
              </w:rPr>
            </w:pPr>
            <w:r>
              <w:rPr>
                <w:rFonts w:ascii="Century Gothic" w:hAnsi="Century Gothic"/>
                <w:sz w:val="22"/>
                <w:szCs w:val="22"/>
                <w:lang w:val="es-CO"/>
              </w:rPr>
              <w:t>Se tomará en cuenta el salario mínimo actual: $1.423.500</w:t>
            </w:r>
          </w:p>
          <w:p w14:paraId="45813730" w14:textId="48A45CC7" w:rsidR="00BD3583" w:rsidRPr="00BD3583" w:rsidRDefault="00BD3583" w:rsidP="00BA5C16">
            <w:pPr>
              <w:pStyle w:val="Prrafodelista"/>
              <w:numPr>
                <w:ilvl w:val="0"/>
                <w:numId w:val="8"/>
              </w:numPr>
              <w:spacing w:line="276" w:lineRule="auto"/>
              <w:rPr>
                <w:rFonts w:ascii="Century Gothic" w:hAnsi="Century Gothic"/>
                <w:b/>
                <w:bCs/>
                <w:sz w:val="22"/>
                <w:szCs w:val="22"/>
                <w:lang w:val="es-CO"/>
              </w:rPr>
            </w:pPr>
            <w:r>
              <w:rPr>
                <w:rFonts w:ascii="Century Gothic" w:hAnsi="Century Gothic"/>
                <w:sz w:val="22"/>
                <w:szCs w:val="22"/>
                <w:lang w:val="es-CO"/>
              </w:rPr>
              <w:t>Sobre este se tomará el 20.60% que corresponde a la PCL de la demandante: $293.241</w:t>
            </w:r>
          </w:p>
          <w:p w14:paraId="049B8777" w14:textId="70AFCB57" w:rsidR="00BD3583" w:rsidRPr="001C4A9F" w:rsidRDefault="00BD3583" w:rsidP="00BA5C16">
            <w:pPr>
              <w:pStyle w:val="Prrafodelista"/>
              <w:numPr>
                <w:ilvl w:val="0"/>
                <w:numId w:val="8"/>
              </w:numPr>
              <w:spacing w:line="276" w:lineRule="auto"/>
              <w:rPr>
                <w:rFonts w:ascii="Century Gothic" w:hAnsi="Century Gothic"/>
                <w:b/>
                <w:bCs/>
                <w:sz w:val="22"/>
                <w:szCs w:val="22"/>
                <w:lang w:val="es-CO"/>
              </w:rPr>
            </w:pPr>
            <w:r>
              <w:rPr>
                <w:rFonts w:ascii="Century Gothic" w:hAnsi="Century Gothic"/>
                <w:sz w:val="22"/>
                <w:szCs w:val="22"/>
                <w:lang w:val="es-CO"/>
              </w:rPr>
              <w:t xml:space="preserve">La demandante para la fecha de los hechos contaba con </w:t>
            </w:r>
            <w:r w:rsidR="001C4A9F">
              <w:rPr>
                <w:rFonts w:ascii="Century Gothic" w:hAnsi="Century Gothic"/>
                <w:sz w:val="22"/>
                <w:szCs w:val="22"/>
                <w:lang w:val="es-CO"/>
              </w:rPr>
              <w:t>45 años (fecha de nacimiento 26/12/1968).</w:t>
            </w:r>
          </w:p>
          <w:p w14:paraId="05B7A329" w14:textId="3AB4EE24" w:rsidR="001C4A9F" w:rsidRPr="001C4A9F" w:rsidRDefault="001C4A9F" w:rsidP="00BA5C16">
            <w:pPr>
              <w:pStyle w:val="Prrafodelista"/>
              <w:numPr>
                <w:ilvl w:val="0"/>
                <w:numId w:val="8"/>
              </w:numPr>
              <w:spacing w:line="276" w:lineRule="auto"/>
              <w:rPr>
                <w:rFonts w:ascii="Century Gothic" w:hAnsi="Century Gothic"/>
                <w:b/>
                <w:bCs/>
                <w:sz w:val="22"/>
                <w:szCs w:val="22"/>
                <w:lang w:val="es-CO"/>
              </w:rPr>
            </w:pPr>
            <w:r>
              <w:rPr>
                <w:rFonts w:ascii="Century Gothic" w:hAnsi="Century Gothic"/>
                <w:sz w:val="22"/>
                <w:szCs w:val="22"/>
                <w:lang w:val="es-CO"/>
              </w:rPr>
              <w:t>Según la resolución 1555 de 2010 contaba con una expectativa de vida de 40.9 años lo que equivale a 490.8 meses</w:t>
            </w:r>
          </w:p>
          <w:p w14:paraId="64CF0146" w14:textId="22AD8167" w:rsidR="001C4A9F" w:rsidRPr="001C4A9F" w:rsidRDefault="001C4A9F" w:rsidP="00BA5C16">
            <w:pPr>
              <w:pStyle w:val="Prrafodelista"/>
              <w:numPr>
                <w:ilvl w:val="0"/>
                <w:numId w:val="8"/>
              </w:numPr>
              <w:spacing w:line="276" w:lineRule="auto"/>
              <w:rPr>
                <w:rFonts w:ascii="Century Gothic" w:hAnsi="Century Gothic"/>
                <w:b/>
                <w:bCs/>
                <w:sz w:val="22"/>
                <w:szCs w:val="22"/>
                <w:lang w:val="es-CO"/>
              </w:rPr>
            </w:pPr>
            <w:r>
              <w:rPr>
                <w:rFonts w:ascii="Century Gothic" w:hAnsi="Century Gothic"/>
                <w:sz w:val="22"/>
                <w:szCs w:val="22"/>
                <w:lang w:val="es-CO"/>
              </w:rPr>
              <w:t>Periodo consolidado: desde el 01 de noviembre de 2014 al 11 de agosto de 2025: 129.40 meses</w:t>
            </w:r>
          </w:p>
          <w:p w14:paraId="378270F8" w14:textId="6FD23B59" w:rsidR="001C4A9F" w:rsidRPr="001C4A9F" w:rsidRDefault="001C4A9F" w:rsidP="00BA5C16">
            <w:pPr>
              <w:pStyle w:val="Prrafodelista"/>
              <w:numPr>
                <w:ilvl w:val="0"/>
                <w:numId w:val="8"/>
              </w:numPr>
              <w:spacing w:line="276" w:lineRule="auto"/>
              <w:rPr>
                <w:rFonts w:ascii="Century Gothic" w:hAnsi="Century Gothic"/>
                <w:b/>
                <w:bCs/>
                <w:sz w:val="22"/>
                <w:szCs w:val="22"/>
                <w:lang w:val="es-CO"/>
              </w:rPr>
            </w:pPr>
            <w:r>
              <w:rPr>
                <w:rFonts w:ascii="Century Gothic" w:hAnsi="Century Gothic"/>
                <w:sz w:val="22"/>
                <w:szCs w:val="22"/>
                <w:lang w:val="es-CO"/>
              </w:rPr>
              <w:t>Periodo futuro: (expectativa de vida menos el periodo consolidado): 361.4 meses</w:t>
            </w:r>
          </w:p>
          <w:p w14:paraId="627211F6" w14:textId="77777777" w:rsidR="001C4A9F" w:rsidRPr="001C4A9F" w:rsidRDefault="001C4A9F" w:rsidP="001C4A9F">
            <w:pPr>
              <w:spacing w:line="276" w:lineRule="auto"/>
              <w:ind w:left="360"/>
              <w:rPr>
                <w:rFonts w:ascii="Century Gothic" w:hAnsi="Century Gothic"/>
                <w:b/>
                <w:bCs/>
                <w:sz w:val="22"/>
                <w:szCs w:val="22"/>
                <w:lang w:val="es-CO"/>
              </w:rPr>
            </w:pPr>
          </w:p>
          <w:p w14:paraId="2B9F6347" w14:textId="0B2D4249" w:rsidR="00237265" w:rsidRPr="00BE1A73" w:rsidRDefault="00237265" w:rsidP="00BA5C16">
            <w:pPr>
              <w:spacing w:line="276" w:lineRule="auto"/>
              <w:jc w:val="both"/>
              <w:rPr>
                <w:rFonts w:ascii="Century Gothic" w:hAnsi="Century Gothic"/>
                <w:sz w:val="22"/>
                <w:szCs w:val="22"/>
                <w:lang w:val="es-CO"/>
              </w:rPr>
            </w:pPr>
            <w:r w:rsidRPr="00BE1A73">
              <w:rPr>
                <w:rFonts w:ascii="Century Gothic" w:hAnsi="Century Gothic"/>
                <w:b/>
                <w:bCs/>
                <w:sz w:val="22"/>
                <w:szCs w:val="22"/>
                <w:lang w:val="es-CO"/>
              </w:rPr>
              <w:t xml:space="preserve">Lucro cesante consolidado: </w:t>
            </w:r>
            <w:r w:rsidR="001C4A9F">
              <w:rPr>
                <w:rFonts w:ascii="Century Gothic" w:hAnsi="Century Gothic"/>
                <w:b/>
                <w:bCs/>
                <w:sz w:val="22"/>
                <w:szCs w:val="22"/>
                <w:lang w:val="es-CO"/>
              </w:rPr>
              <w:t>$</w:t>
            </w:r>
            <w:r w:rsidR="001C4A9F" w:rsidRPr="001C4A9F">
              <w:rPr>
                <w:rFonts w:ascii="Century Gothic" w:hAnsi="Century Gothic"/>
                <w:sz w:val="22"/>
                <w:szCs w:val="22"/>
                <w:lang w:val="es-CO"/>
              </w:rPr>
              <w:t>52.680.377</w:t>
            </w:r>
          </w:p>
          <w:p w14:paraId="71416AFC" w14:textId="77777777" w:rsidR="00C92E1E" w:rsidRPr="00BE1A73" w:rsidRDefault="00C92E1E" w:rsidP="00BA5C16">
            <w:pPr>
              <w:spacing w:line="276" w:lineRule="auto"/>
              <w:jc w:val="both"/>
              <w:rPr>
                <w:rFonts w:ascii="Century Gothic" w:hAnsi="Century Gothic"/>
                <w:sz w:val="22"/>
                <w:szCs w:val="22"/>
                <w:lang w:val="es-CO"/>
              </w:rPr>
            </w:pPr>
          </w:p>
          <w:p w14:paraId="5EC5B494" w14:textId="459CEA43" w:rsidR="00E7332E" w:rsidRDefault="00C92E1E" w:rsidP="00BA5C16">
            <w:pPr>
              <w:spacing w:line="276" w:lineRule="auto"/>
              <w:jc w:val="both"/>
              <w:rPr>
                <w:rFonts w:ascii="Century Gothic" w:hAnsi="Century Gothic"/>
                <w:sz w:val="22"/>
                <w:szCs w:val="22"/>
                <w:lang w:val="es-CO"/>
              </w:rPr>
            </w:pPr>
            <w:r w:rsidRPr="00BE1A73">
              <w:rPr>
                <w:rFonts w:ascii="Century Gothic" w:hAnsi="Century Gothic"/>
                <w:b/>
                <w:bCs/>
                <w:sz w:val="22"/>
                <w:szCs w:val="22"/>
                <w:lang w:val="es-CO"/>
              </w:rPr>
              <w:t xml:space="preserve">Lucro cesante futuro: </w:t>
            </w:r>
            <w:r w:rsidR="001C4A9F">
              <w:rPr>
                <w:rFonts w:ascii="Century Gothic" w:hAnsi="Century Gothic"/>
                <w:sz w:val="22"/>
                <w:szCs w:val="22"/>
                <w:lang w:val="es-CO"/>
              </w:rPr>
              <w:t xml:space="preserve">$60.250.868 </w:t>
            </w:r>
          </w:p>
          <w:p w14:paraId="09CCE4C1" w14:textId="77777777" w:rsidR="003B38A7" w:rsidRDefault="003B38A7" w:rsidP="00BA5C16">
            <w:pPr>
              <w:spacing w:line="276" w:lineRule="auto"/>
              <w:jc w:val="both"/>
              <w:rPr>
                <w:rFonts w:ascii="Century Gothic" w:hAnsi="Century Gothic"/>
                <w:sz w:val="22"/>
                <w:szCs w:val="22"/>
                <w:lang w:val="es-CO"/>
              </w:rPr>
            </w:pPr>
          </w:p>
          <w:p w14:paraId="48BC36AE" w14:textId="5AAEC656" w:rsidR="00154D0F" w:rsidRPr="00BE1A73" w:rsidRDefault="00154D0F" w:rsidP="00BA5C16">
            <w:pPr>
              <w:pStyle w:val="Prrafodelista"/>
              <w:numPr>
                <w:ilvl w:val="0"/>
                <w:numId w:val="2"/>
              </w:numPr>
              <w:spacing w:after="160" w:line="276" w:lineRule="auto"/>
              <w:rPr>
                <w:rFonts w:ascii="Century Gothic" w:hAnsi="Century Gothic"/>
                <w:b/>
                <w:bCs/>
                <w:sz w:val="22"/>
                <w:szCs w:val="22"/>
                <w:lang w:val="es-CO"/>
              </w:rPr>
            </w:pPr>
            <w:r w:rsidRPr="00BE1A73">
              <w:rPr>
                <w:rFonts w:ascii="Century Gothic" w:hAnsi="Century Gothic"/>
                <w:b/>
                <w:bCs/>
                <w:sz w:val="22"/>
                <w:szCs w:val="22"/>
                <w:lang w:val="es-CO"/>
              </w:rPr>
              <w:t>Perjuicios inmateriales</w:t>
            </w:r>
          </w:p>
          <w:p w14:paraId="45F1CEE1" w14:textId="77777777" w:rsidR="0075483C" w:rsidRPr="00BE1A73" w:rsidRDefault="0075483C" w:rsidP="00BA5C16">
            <w:pPr>
              <w:pStyle w:val="Prrafodelista"/>
              <w:spacing w:after="160" w:line="276" w:lineRule="auto"/>
              <w:rPr>
                <w:rFonts w:ascii="Century Gothic" w:hAnsi="Century Gothic"/>
                <w:b/>
                <w:bCs/>
                <w:sz w:val="22"/>
                <w:szCs w:val="22"/>
                <w:lang w:val="es-CO"/>
              </w:rPr>
            </w:pPr>
          </w:p>
          <w:p w14:paraId="405F4E89" w14:textId="3F340C5E" w:rsidR="00D23BF0" w:rsidRDefault="00154D0F" w:rsidP="003B38A7">
            <w:pPr>
              <w:spacing w:line="276" w:lineRule="auto"/>
              <w:jc w:val="both"/>
              <w:rPr>
                <w:rFonts w:ascii="Century Gothic" w:hAnsi="Century Gothic"/>
                <w:sz w:val="22"/>
                <w:szCs w:val="22"/>
                <w:lang w:val="es-CO"/>
              </w:rPr>
            </w:pPr>
            <w:r w:rsidRPr="003B38A7">
              <w:rPr>
                <w:rFonts w:ascii="Century Gothic" w:hAnsi="Century Gothic"/>
                <w:b/>
                <w:bCs/>
                <w:sz w:val="22"/>
                <w:szCs w:val="22"/>
                <w:u w:val="single"/>
                <w:lang w:val="es-CO"/>
              </w:rPr>
              <w:t>Daño moral:</w:t>
            </w:r>
            <w:r w:rsidRPr="003B38A7">
              <w:rPr>
                <w:rFonts w:ascii="Century Gothic" w:hAnsi="Century Gothic"/>
                <w:sz w:val="22"/>
                <w:szCs w:val="22"/>
                <w:lang w:val="es-CO"/>
              </w:rPr>
              <w:t xml:space="preserve"> </w:t>
            </w:r>
            <w:r w:rsidR="00AD5492" w:rsidRPr="003B38A7">
              <w:rPr>
                <w:rFonts w:ascii="Century Gothic" w:hAnsi="Century Gothic"/>
                <w:sz w:val="22"/>
                <w:szCs w:val="22"/>
                <w:lang w:val="es-CO"/>
              </w:rPr>
              <w:t xml:space="preserve">Bajo los parámetros </w:t>
            </w:r>
            <w:r w:rsidR="006F5AEC" w:rsidRPr="003B38A7">
              <w:rPr>
                <w:rFonts w:ascii="Century Gothic" w:hAnsi="Century Gothic"/>
                <w:sz w:val="22"/>
                <w:szCs w:val="22"/>
                <w:lang w:val="es-CO"/>
              </w:rPr>
              <w:t xml:space="preserve">nuevos establecidos por la Corte de Suprema de Justicia en Sentencia SC072-2025 </w:t>
            </w:r>
            <w:r w:rsidR="00AD5492" w:rsidRPr="003B38A7">
              <w:rPr>
                <w:rFonts w:ascii="Century Gothic" w:hAnsi="Century Gothic"/>
                <w:sz w:val="22"/>
                <w:szCs w:val="22"/>
                <w:lang w:val="es-CO"/>
              </w:rPr>
              <w:t xml:space="preserve">se reconocerá la suma de </w:t>
            </w:r>
            <w:r w:rsidR="00F03779" w:rsidRPr="003B38A7">
              <w:rPr>
                <w:rFonts w:ascii="Century Gothic" w:hAnsi="Century Gothic"/>
                <w:sz w:val="22"/>
                <w:szCs w:val="22"/>
                <w:lang w:val="es-CO"/>
              </w:rPr>
              <w:t xml:space="preserve">50 salarios mínimos legales mensuales vigentes </w:t>
            </w:r>
            <w:r w:rsidR="00F6735C" w:rsidRPr="003B38A7">
              <w:rPr>
                <w:rFonts w:ascii="Century Gothic" w:hAnsi="Century Gothic"/>
                <w:sz w:val="22"/>
                <w:szCs w:val="22"/>
                <w:lang w:val="es-CO"/>
              </w:rPr>
              <w:t>$</w:t>
            </w:r>
            <w:r w:rsidR="00F03779" w:rsidRPr="003B38A7">
              <w:rPr>
                <w:rFonts w:ascii="Century Gothic" w:hAnsi="Century Gothic"/>
                <w:sz w:val="22"/>
                <w:szCs w:val="22"/>
                <w:lang w:val="es-CO"/>
              </w:rPr>
              <w:t>71.175.000</w:t>
            </w:r>
            <w:r w:rsidR="003B38A7">
              <w:rPr>
                <w:rFonts w:ascii="Century Gothic" w:hAnsi="Century Gothic"/>
                <w:sz w:val="22"/>
                <w:szCs w:val="22"/>
                <w:lang w:val="es-CO"/>
              </w:rPr>
              <w:t xml:space="preserve"> (2025)</w:t>
            </w:r>
            <w:r w:rsidR="00AD5492" w:rsidRPr="003B38A7">
              <w:rPr>
                <w:rFonts w:ascii="Century Gothic" w:hAnsi="Century Gothic"/>
                <w:sz w:val="22"/>
                <w:szCs w:val="22"/>
                <w:lang w:val="es-CO"/>
              </w:rPr>
              <w:t xml:space="preserve">. </w:t>
            </w:r>
            <w:r w:rsidR="00F03779" w:rsidRPr="003B38A7">
              <w:rPr>
                <w:rFonts w:ascii="Century Gothic" w:hAnsi="Century Gothic"/>
                <w:sz w:val="22"/>
                <w:szCs w:val="22"/>
                <w:lang w:val="es-CO"/>
              </w:rPr>
              <w:t xml:space="preserve"> </w:t>
            </w:r>
            <w:r w:rsidR="003B38A7">
              <w:rPr>
                <w:rFonts w:ascii="Century Gothic" w:hAnsi="Century Gothic"/>
                <w:sz w:val="22"/>
                <w:szCs w:val="22"/>
                <w:lang w:val="es-CO"/>
              </w:rPr>
              <w:t>En el presente asunto se tuvo en cuenta que</w:t>
            </w:r>
            <w:r w:rsidR="00997AF0" w:rsidRPr="00F1294B">
              <w:rPr>
                <w:rFonts w:ascii="Century Gothic" w:hAnsi="Century Gothic"/>
                <w:sz w:val="22"/>
                <w:szCs w:val="22"/>
                <w:lang w:val="es-CO"/>
              </w:rPr>
              <w:t xml:space="preserve"> </w:t>
            </w:r>
            <w:r w:rsidR="005C2597" w:rsidRPr="00F1294B">
              <w:rPr>
                <w:rFonts w:ascii="Century Gothic" w:hAnsi="Century Gothic"/>
                <w:sz w:val="22"/>
                <w:szCs w:val="22"/>
                <w:lang w:val="es-CO"/>
              </w:rPr>
              <w:t xml:space="preserve">no se trata de un caso de fallecimiento de un familiar, o de un caso donde la parte demandante presente daños corporales o mentales graves, o la pérdida de un órgano sensorial. </w:t>
            </w:r>
            <w:r w:rsidR="003B38A7">
              <w:rPr>
                <w:rFonts w:ascii="Century Gothic" w:hAnsi="Century Gothic"/>
                <w:sz w:val="22"/>
                <w:szCs w:val="22"/>
                <w:lang w:val="es-CO"/>
              </w:rPr>
              <w:t>Sin embargo,</w:t>
            </w:r>
            <w:r w:rsidR="005C2597" w:rsidRPr="00F1294B">
              <w:rPr>
                <w:rFonts w:ascii="Century Gothic" w:hAnsi="Century Gothic"/>
                <w:sz w:val="22"/>
                <w:szCs w:val="22"/>
                <w:lang w:val="es-CO"/>
              </w:rPr>
              <w:t xml:space="preserve"> de acuerdo con el informe pericial de clínica forense la demandante presenta una deformidad física que afecta el cuerpo por la cicatriz del cuello, que es </w:t>
            </w:r>
            <w:r w:rsidR="005C2597" w:rsidRPr="00F1294B">
              <w:rPr>
                <w:rFonts w:ascii="Century Gothic" w:hAnsi="Century Gothic"/>
                <w:b/>
                <w:bCs/>
                <w:sz w:val="22"/>
                <w:szCs w:val="22"/>
                <w:u w:val="single"/>
                <w:lang w:val="es-CO"/>
              </w:rPr>
              <w:t>ostensible y deformante</w:t>
            </w:r>
            <w:r w:rsidR="005C2597" w:rsidRPr="00F1294B">
              <w:rPr>
                <w:rFonts w:ascii="Century Gothic" w:hAnsi="Century Gothic"/>
                <w:sz w:val="22"/>
                <w:szCs w:val="22"/>
                <w:lang w:val="es-CO"/>
              </w:rPr>
              <w:t xml:space="preserve">, además de presentar según lo enlistado en el dictamen de pérdida de la capacidad laboral una fractura de otras vertebras cervicales especificadas, y una perturbación funcional de órgano del sistema musculoesquelético de sostén por la </w:t>
            </w:r>
            <w:r w:rsidR="00991B36" w:rsidRPr="00F1294B">
              <w:rPr>
                <w:rFonts w:ascii="Century Gothic" w:hAnsi="Century Gothic"/>
                <w:sz w:val="22"/>
                <w:szCs w:val="22"/>
                <w:lang w:val="es-CO"/>
              </w:rPr>
              <w:t>limitación</w:t>
            </w:r>
            <w:r w:rsidR="005C2597" w:rsidRPr="00F1294B">
              <w:rPr>
                <w:rFonts w:ascii="Century Gothic" w:hAnsi="Century Gothic"/>
                <w:sz w:val="22"/>
                <w:szCs w:val="22"/>
                <w:lang w:val="es-CO"/>
              </w:rPr>
              <w:t xml:space="preserve"> funcional cervical, en suma de una perdida de capacidad laboral de 20.60%, todo lo que a criterio de este togado amerita que </w:t>
            </w:r>
            <w:r w:rsidR="005C2597" w:rsidRPr="00F1294B">
              <w:rPr>
                <w:rFonts w:ascii="Century Gothic" w:hAnsi="Century Gothic"/>
                <w:sz w:val="22"/>
                <w:szCs w:val="22"/>
                <w:lang w:val="es-CO"/>
              </w:rPr>
              <w:lastRenderedPageBreak/>
              <w:t xml:space="preserve">se incluya a la demandante en la última categoría de la tabla señalada en la Sentencia SC072 de 2025, es decir, “deformidad facial”, y que de acuerdo con aquella sentencia amerita un 50% sobre el máximo parámetro indemnizatorio. </w:t>
            </w:r>
          </w:p>
          <w:p w14:paraId="7D4790AA" w14:textId="77777777" w:rsidR="00DF0CED" w:rsidRDefault="00DF0CED" w:rsidP="003B38A7">
            <w:pPr>
              <w:spacing w:line="276" w:lineRule="auto"/>
              <w:jc w:val="both"/>
              <w:rPr>
                <w:rFonts w:ascii="Century Gothic" w:hAnsi="Century Gothic"/>
                <w:sz w:val="22"/>
                <w:szCs w:val="22"/>
                <w:lang w:val="es-CO"/>
              </w:rPr>
            </w:pPr>
          </w:p>
          <w:p w14:paraId="4C44A335" w14:textId="14F7411C" w:rsidR="00DF0CED" w:rsidRPr="00F1294B" w:rsidRDefault="00DF0CED" w:rsidP="00F1294B">
            <w:pPr>
              <w:spacing w:line="276" w:lineRule="auto"/>
              <w:jc w:val="both"/>
              <w:rPr>
                <w:rFonts w:ascii="Century Gothic" w:hAnsi="Century Gothic"/>
                <w:sz w:val="22"/>
                <w:szCs w:val="22"/>
                <w:lang w:val="es-CO"/>
              </w:rPr>
            </w:pPr>
            <w:r>
              <w:rPr>
                <w:rFonts w:ascii="Century Gothic" w:hAnsi="Century Gothic"/>
                <w:sz w:val="22"/>
                <w:szCs w:val="22"/>
                <w:lang w:val="es-CO"/>
              </w:rPr>
              <w:t>Subtotal objetivado: $184.106.245</w:t>
            </w:r>
          </w:p>
          <w:p w14:paraId="7F003B5C" w14:textId="77777777" w:rsidR="00965776" w:rsidRPr="00BE1A73" w:rsidRDefault="00965776" w:rsidP="00BA5C16">
            <w:pPr>
              <w:pStyle w:val="Prrafodelista"/>
              <w:spacing w:line="276" w:lineRule="auto"/>
              <w:jc w:val="both"/>
              <w:rPr>
                <w:rFonts w:ascii="Century Gothic" w:hAnsi="Century Gothic"/>
                <w:sz w:val="22"/>
                <w:szCs w:val="22"/>
                <w:lang w:val="es-CO"/>
              </w:rPr>
            </w:pPr>
          </w:p>
          <w:p w14:paraId="4027768B" w14:textId="4EC3E697" w:rsidR="00DF07B5" w:rsidRDefault="00991B36" w:rsidP="00991B36">
            <w:pPr>
              <w:spacing w:line="276" w:lineRule="auto"/>
              <w:jc w:val="both"/>
              <w:rPr>
                <w:rFonts w:ascii="Century Gothic" w:hAnsi="Century Gothic"/>
                <w:sz w:val="22"/>
                <w:szCs w:val="22"/>
                <w:lang w:val="es-CO"/>
              </w:rPr>
            </w:pPr>
            <w:r>
              <w:rPr>
                <w:rFonts w:ascii="Century Gothic" w:hAnsi="Century Gothic"/>
                <w:b/>
                <w:bCs/>
                <w:sz w:val="22"/>
                <w:szCs w:val="22"/>
                <w:lang w:val="es-CO"/>
              </w:rPr>
              <w:t xml:space="preserve">Análisis de la liquidación objetiva en contraste con la póliza: </w:t>
            </w:r>
            <w:r w:rsidR="00DF0CED">
              <w:rPr>
                <w:rFonts w:ascii="Century Gothic" w:hAnsi="Century Gothic"/>
                <w:b/>
                <w:bCs/>
                <w:sz w:val="22"/>
                <w:szCs w:val="22"/>
                <w:lang w:val="es-CO"/>
              </w:rPr>
              <w:t>*</w:t>
            </w:r>
            <w:r w:rsidR="00DF0CED" w:rsidRPr="00F1294B">
              <w:rPr>
                <w:rFonts w:ascii="Century Gothic" w:hAnsi="Century Gothic"/>
                <w:sz w:val="22"/>
                <w:szCs w:val="22"/>
                <w:lang w:val="es-CO"/>
              </w:rPr>
              <w:t xml:space="preserve">Si bien se alegó con la contestación de la demanda </w:t>
            </w:r>
            <w:r w:rsidR="00DF0CED">
              <w:rPr>
                <w:rFonts w:ascii="Century Gothic" w:hAnsi="Century Gothic"/>
                <w:sz w:val="22"/>
                <w:szCs w:val="22"/>
                <w:lang w:val="es-CO"/>
              </w:rPr>
              <w:t xml:space="preserve">y llto en garantía </w:t>
            </w:r>
            <w:r w:rsidR="00DF0CED" w:rsidRPr="00F1294B">
              <w:rPr>
                <w:rFonts w:ascii="Century Gothic" w:hAnsi="Century Gothic"/>
                <w:sz w:val="22"/>
                <w:szCs w:val="22"/>
                <w:lang w:val="es-CO"/>
              </w:rPr>
              <w:t xml:space="preserve">que </w:t>
            </w:r>
            <w:r w:rsidR="00DF0CED" w:rsidRPr="00DF0CED">
              <w:rPr>
                <w:rFonts w:ascii="Century Gothic" w:hAnsi="Century Gothic"/>
                <w:sz w:val="22"/>
                <w:szCs w:val="22"/>
                <w:lang w:val="es-CO"/>
              </w:rPr>
              <w:t>aplican</w:t>
            </w:r>
            <w:r w:rsidR="00DF0CED" w:rsidRPr="00F1294B">
              <w:rPr>
                <w:rFonts w:ascii="Century Gothic" w:hAnsi="Century Gothic"/>
                <w:sz w:val="22"/>
                <w:szCs w:val="22"/>
                <w:lang w:val="es-CO"/>
              </w:rPr>
              <w:t xml:space="preserve"> los salarios</w:t>
            </w:r>
            <w:r w:rsidR="00DF0CED">
              <w:rPr>
                <w:rFonts w:ascii="Century Gothic" w:hAnsi="Century Gothic"/>
                <w:sz w:val="22"/>
                <w:szCs w:val="22"/>
                <w:lang w:val="es-CO"/>
              </w:rPr>
              <w:t xml:space="preserve"> mínimos</w:t>
            </w:r>
            <w:r w:rsidR="00DF0CED" w:rsidRPr="00F1294B">
              <w:rPr>
                <w:rFonts w:ascii="Century Gothic" w:hAnsi="Century Gothic"/>
                <w:sz w:val="22"/>
                <w:szCs w:val="22"/>
                <w:lang w:val="es-CO"/>
              </w:rPr>
              <w:t xml:space="preserve"> de fecha del accidente</w:t>
            </w:r>
            <w:r w:rsidR="00DF0CED">
              <w:rPr>
                <w:rFonts w:ascii="Century Gothic" w:hAnsi="Century Gothic"/>
                <w:sz w:val="22"/>
                <w:szCs w:val="22"/>
                <w:lang w:val="es-CO"/>
              </w:rPr>
              <w:t xml:space="preserve"> (2014)</w:t>
            </w:r>
            <w:r w:rsidR="00DF0CED" w:rsidRPr="00F1294B">
              <w:rPr>
                <w:rFonts w:ascii="Century Gothic" w:hAnsi="Century Gothic"/>
                <w:sz w:val="22"/>
                <w:szCs w:val="22"/>
                <w:lang w:val="es-CO"/>
              </w:rPr>
              <w:t>, se observa que la línea de decisiones apunta a condenar con el valor del salario mínimo vigente a fecha de la sentencia. Luego,</w:t>
            </w:r>
            <w:r w:rsidR="00DF0CED">
              <w:rPr>
                <w:rFonts w:ascii="Century Gothic" w:hAnsi="Century Gothic"/>
                <w:b/>
                <w:bCs/>
                <w:sz w:val="22"/>
                <w:szCs w:val="22"/>
                <w:lang w:val="es-CO"/>
              </w:rPr>
              <w:t xml:space="preserve"> </w:t>
            </w:r>
            <w:r w:rsidRPr="00991B36">
              <w:rPr>
                <w:rFonts w:ascii="Century Gothic" w:hAnsi="Century Gothic"/>
                <w:sz w:val="22"/>
                <w:szCs w:val="22"/>
                <w:lang w:val="es-CO"/>
              </w:rPr>
              <w:t>Equidad Seguros Generales O.C., fue vinculada al proceso</w:t>
            </w:r>
            <w:r>
              <w:rPr>
                <w:rFonts w:ascii="Century Gothic" w:hAnsi="Century Gothic"/>
                <w:sz w:val="22"/>
                <w:szCs w:val="22"/>
                <w:lang w:val="es-CO"/>
              </w:rPr>
              <w:t xml:space="preserve"> con dos pólizas, a saber</w:t>
            </w:r>
            <w:r w:rsidR="00DF0CED">
              <w:rPr>
                <w:rFonts w:ascii="Century Gothic" w:hAnsi="Century Gothic"/>
                <w:sz w:val="22"/>
                <w:szCs w:val="22"/>
                <w:lang w:val="es-CO"/>
              </w:rPr>
              <w:t>:</w:t>
            </w:r>
            <w:r>
              <w:rPr>
                <w:rFonts w:ascii="Century Gothic" w:hAnsi="Century Gothic"/>
                <w:sz w:val="22"/>
                <w:szCs w:val="22"/>
                <w:lang w:val="es-CO"/>
              </w:rPr>
              <w:t xml:space="preserve"> la Póliza RCE SERVICIO PÚBLICO No. AA030117 y la póliza R</w:t>
            </w:r>
            <w:r w:rsidR="00DF0CED">
              <w:rPr>
                <w:rFonts w:ascii="Century Gothic" w:hAnsi="Century Gothic"/>
                <w:sz w:val="22"/>
                <w:szCs w:val="22"/>
                <w:lang w:val="es-CO"/>
              </w:rPr>
              <w:t>.</w:t>
            </w:r>
            <w:r>
              <w:rPr>
                <w:rFonts w:ascii="Century Gothic" w:hAnsi="Century Gothic"/>
                <w:sz w:val="22"/>
                <w:szCs w:val="22"/>
                <w:lang w:val="es-CO"/>
              </w:rPr>
              <w:t>C</w:t>
            </w:r>
            <w:r w:rsidR="00DF0CED">
              <w:rPr>
                <w:rFonts w:ascii="Century Gothic" w:hAnsi="Century Gothic"/>
                <w:sz w:val="22"/>
                <w:szCs w:val="22"/>
                <w:lang w:val="es-CO"/>
              </w:rPr>
              <w:t>.</w:t>
            </w:r>
            <w:r>
              <w:rPr>
                <w:rFonts w:ascii="Century Gothic" w:hAnsi="Century Gothic"/>
                <w:sz w:val="22"/>
                <w:szCs w:val="22"/>
                <w:lang w:val="es-CO"/>
              </w:rPr>
              <w:t xml:space="preserve"> Contractual No. AA</w:t>
            </w:r>
            <w:r w:rsidR="00580CDD">
              <w:rPr>
                <w:rFonts w:ascii="Century Gothic" w:hAnsi="Century Gothic"/>
                <w:sz w:val="22"/>
                <w:szCs w:val="22"/>
                <w:lang w:val="es-CO"/>
              </w:rPr>
              <w:t>03011</w:t>
            </w:r>
            <w:r w:rsidR="00EC0B3B">
              <w:rPr>
                <w:rFonts w:ascii="Century Gothic" w:hAnsi="Century Gothic"/>
                <w:sz w:val="22"/>
                <w:szCs w:val="22"/>
                <w:lang w:val="es-CO"/>
              </w:rPr>
              <w:t>6</w:t>
            </w:r>
            <w:r>
              <w:rPr>
                <w:rFonts w:ascii="Century Gothic" w:hAnsi="Century Gothic"/>
                <w:sz w:val="22"/>
                <w:szCs w:val="22"/>
                <w:lang w:val="es-CO"/>
              </w:rPr>
              <w:t xml:space="preserve"> En ambos casos, hay un valor asegurado de 60 smlmv. Teniendo en cuenta </w:t>
            </w:r>
            <w:r w:rsidR="00F1294B">
              <w:rPr>
                <w:rFonts w:ascii="Century Gothic" w:hAnsi="Century Gothic"/>
                <w:sz w:val="22"/>
                <w:szCs w:val="22"/>
                <w:lang w:val="es-CO"/>
              </w:rPr>
              <w:t>que el</w:t>
            </w:r>
            <w:r w:rsidR="00DF0CED">
              <w:rPr>
                <w:rFonts w:ascii="Century Gothic" w:hAnsi="Century Gothic"/>
                <w:sz w:val="22"/>
                <w:szCs w:val="22"/>
                <w:lang w:val="es-CO"/>
              </w:rPr>
              <w:t xml:space="preserve"> salario mínimo actual es de ($1.423.500)</w:t>
            </w:r>
            <w:r>
              <w:rPr>
                <w:rFonts w:ascii="Century Gothic" w:hAnsi="Century Gothic"/>
                <w:sz w:val="22"/>
                <w:szCs w:val="22"/>
                <w:lang w:val="es-CO"/>
              </w:rPr>
              <w:t xml:space="preserve">, </w:t>
            </w:r>
            <w:r w:rsidR="00DF0CED">
              <w:rPr>
                <w:rFonts w:ascii="Century Gothic" w:hAnsi="Century Gothic"/>
                <w:sz w:val="22"/>
                <w:szCs w:val="22"/>
                <w:lang w:val="es-CO"/>
              </w:rPr>
              <w:t xml:space="preserve">el valor máximo asegurado al 2025 asciende a la suma </w:t>
            </w:r>
            <w:r>
              <w:rPr>
                <w:rFonts w:ascii="Century Gothic" w:hAnsi="Century Gothic"/>
                <w:sz w:val="22"/>
                <w:szCs w:val="22"/>
                <w:lang w:val="es-CO"/>
              </w:rPr>
              <w:t>de $</w:t>
            </w:r>
            <w:r w:rsidR="00DF0CED">
              <w:rPr>
                <w:rFonts w:ascii="Century Gothic" w:hAnsi="Century Gothic"/>
                <w:sz w:val="22"/>
                <w:szCs w:val="22"/>
                <w:lang w:val="es-CO"/>
              </w:rPr>
              <w:t>85.410.000</w:t>
            </w:r>
            <w:r>
              <w:rPr>
                <w:rFonts w:ascii="Century Gothic" w:hAnsi="Century Gothic"/>
                <w:sz w:val="22"/>
                <w:szCs w:val="22"/>
                <w:lang w:val="es-CO"/>
              </w:rPr>
              <w:t xml:space="preserve"> </w:t>
            </w:r>
          </w:p>
          <w:p w14:paraId="31FF8AB1" w14:textId="5B8852A9" w:rsidR="00AD2D3F" w:rsidRPr="00991B36" w:rsidRDefault="00AD2D3F" w:rsidP="00991B36">
            <w:pPr>
              <w:spacing w:line="276" w:lineRule="auto"/>
              <w:jc w:val="both"/>
              <w:rPr>
                <w:rFonts w:ascii="Century Gothic" w:hAnsi="Century Gothic"/>
                <w:sz w:val="22"/>
                <w:szCs w:val="22"/>
                <w:lang w:val="es-CO"/>
              </w:rPr>
            </w:pPr>
          </w:p>
        </w:tc>
      </w:tr>
    </w:tbl>
    <w:p w14:paraId="47633F9D" w14:textId="77777777" w:rsidR="009F395C" w:rsidRPr="00BE1A73" w:rsidRDefault="009F395C" w:rsidP="007969FC">
      <w:pPr>
        <w:spacing w:line="276" w:lineRule="auto"/>
      </w:pPr>
    </w:p>
    <w:tbl>
      <w:tblPr>
        <w:tblStyle w:val="Tablaconcuadrcula"/>
        <w:tblW w:w="10207" w:type="dxa"/>
        <w:tblInd w:w="-431" w:type="dxa"/>
        <w:tblLook w:val="04A0" w:firstRow="1" w:lastRow="0" w:firstColumn="1" w:lastColumn="0" w:noHBand="0" w:noVBand="1"/>
      </w:tblPr>
      <w:tblGrid>
        <w:gridCol w:w="10207"/>
      </w:tblGrid>
      <w:tr w:rsidR="00BE1A73" w:rsidRPr="00BE1A73" w14:paraId="05674BEA" w14:textId="77777777" w:rsidTr="0095378E">
        <w:trPr>
          <w:trHeight w:val="321"/>
        </w:trPr>
        <w:tc>
          <w:tcPr>
            <w:tcW w:w="10207" w:type="dxa"/>
            <w:shd w:val="clear" w:color="auto" w:fill="C5E0B3" w:themeFill="accent6" w:themeFillTint="66"/>
            <w:vAlign w:val="center"/>
          </w:tcPr>
          <w:p w14:paraId="2BB97918" w14:textId="52E94393" w:rsidR="003B7F1A" w:rsidRPr="00BE1A73" w:rsidRDefault="003B7F1A" w:rsidP="00BA5C16">
            <w:pPr>
              <w:spacing w:line="276" w:lineRule="auto"/>
              <w:jc w:val="center"/>
              <w:rPr>
                <w:rFonts w:ascii="Century Gothic" w:hAnsi="Century Gothic"/>
                <w:sz w:val="22"/>
                <w:szCs w:val="22"/>
              </w:rPr>
            </w:pPr>
            <w:r w:rsidRPr="00BE1A73">
              <w:rPr>
                <w:rFonts w:ascii="Century Gothic" w:hAnsi="Century Gothic"/>
                <w:b/>
                <w:bCs/>
                <w:sz w:val="22"/>
                <w:szCs w:val="22"/>
              </w:rPr>
              <w:t>Excepciones</w:t>
            </w:r>
          </w:p>
        </w:tc>
      </w:tr>
      <w:tr w:rsidR="00BE1A73" w:rsidRPr="00BE1A73" w14:paraId="4AAD7549" w14:textId="77777777" w:rsidTr="00292504">
        <w:trPr>
          <w:trHeight w:val="1700"/>
        </w:trPr>
        <w:tc>
          <w:tcPr>
            <w:tcW w:w="10207" w:type="dxa"/>
            <w:vAlign w:val="center"/>
          </w:tcPr>
          <w:p w14:paraId="3BA471E6" w14:textId="715A0018" w:rsidR="00D2151F" w:rsidRPr="00BE1A73" w:rsidRDefault="007C4E87" w:rsidP="00BA5C16">
            <w:pPr>
              <w:spacing w:line="276" w:lineRule="auto"/>
              <w:jc w:val="both"/>
              <w:rPr>
                <w:rFonts w:ascii="Century Gothic" w:hAnsi="Century Gothic"/>
                <w:b/>
                <w:bCs/>
                <w:sz w:val="22"/>
                <w:szCs w:val="22"/>
              </w:rPr>
            </w:pPr>
            <w:r w:rsidRPr="00BE1A73">
              <w:rPr>
                <w:rFonts w:ascii="Century Gothic" w:hAnsi="Century Gothic"/>
                <w:b/>
                <w:bCs/>
                <w:sz w:val="22"/>
                <w:szCs w:val="22"/>
              </w:rPr>
              <w:t xml:space="preserve">Excepciones frente a la demanda: </w:t>
            </w:r>
          </w:p>
          <w:p w14:paraId="548BF448" w14:textId="77777777" w:rsidR="007C4E87" w:rsidRPr="00BE1A73" w:rsidRDefault="007C4E87" w:rsidP="00BA5C16">
            <w:pPr>
              <w:spacing w:line="276" w:lineRule="auto"/>
              <w:jc w:val="both"/>
              <w:rPr>
                <w:rFonts w:ascii="Century Gothic" w:hAnsi="Century Gothic"/>
                <w:b/>
                <w:bCs/>
                <w:sz w:val="22"/>
                <w:szCs w:val="22"/>
              </w:rPr>
            </w:pPr>
          </w:p>
          <w:p w14:paraId="3785E1DA" w14:textId="282486C0" w:rsidR="007C4E87" w:rsidRPr="00BE1A73" w:rsidRDefault="00E56C19" w:rsidP="00BA5C16">
            <w:pPr>
              <w:pStyle w:val="Prrafodelista"/>
              <w:numPr>
                <w:ilvl w:val="0"/>
                <w:numId w:val="10"/>
              </w:numPr>
              <w:spacing w:line="276" w:lineRule="auto"/>
              <w:jc w:val="both"/>
              <w:rPr>
                <w:rFonts w:ascii="Century Gothic" w:hAnsi="Century Gothic"/>
                <w:b/>
                <w:bCs/>
                <w:sz w:val="22"/>
                <w:szCs w:val="22"/>
              </w:rPr>
            </w:pPr>
            <w:r>
              <w:rPr>
                <w:rFonts w:ascii="Century Gothic" w:hAnsi="Century Gothic"/>
                <w:sz w:val="22"/>
                <w:szCs w:val="22"/>
              </w:rPr>
              <w:t xml:space="preserve">Inexistencia de responsabilidad a cargo de los demandados como consecuencia del “hecho exclusivo de la víctima”. </w:t>
            </w:r>
          </w:p>
          <w:p w14:paraId="196C6E94" w14:textId="313D7450" w:rsidR="00E56C19" w:rsidRPr="00E56C19" w:rsidRDefault="00E56C19" w:rsidP="00BA5C16">
            <w:pPr>
              <w:pStyle w:val="Prrafodelista"/>
              <w:numPr>
                <w:ilvl w:val="0"/>
                <w:numId w:val="10"/>
              </w:numPr>
              <w:spacing w:line="276" w:lineRule="auto"/>
              <w:jc w:val="both"/>
              <w:rPr>
                <w:rFonts w:ascii="Century Gothic" w:hAnsi="Century Gothic"/>
                <w:b/>
                <w:bCs/>
                <w:sz w:val="22"/>
                <w:szCs w:val="22"/>
              </w:rPr>
            </w:pPr>
            <w:r>
              <w:rPr>
                <w:rFonts w:ascii="Century Gothic" w:hAnsi="Century Gothic"/>
                <w:sz w:val="22"/>
                <w:szCs w:val="22"/>
              </w:rPr>
              <w:t>Inexistencia de responsabilidad por no acreditación del nexo causal.</w:t>
            </w:r>
          </w:p>
          <w:p w14:paraId="027D10AA" w14:textId="6D0271EF" w:rsidR="007C4E87" w:rsidRPr="00BE1A73" w:rsidRDefault="00E56C19" w:rsidP="00BA5C16">
            <w:pPr>
              <w:pStyle w:val="Prrafodelista"/>
              <w:numPr>
                <w:ilvl w:val="0"/>
                <w:numId w:val="10"/>
              </w:numPr>
              <w:spacing w:line="276" w:lineRule="auto"/>
              <w:jc w:val="both"/>
              <w:rPr>
                <w:rFonts w:ascii="Century Gothic" w:hAnsi="Century Gothic"/>
                <w:b/>
                <w:bCs/>
                <w:sz w:val="22"/>
                <w:szCs w:val="22"/>
              </w:rPr>
            </w:pPr>
            <w:r>
              <w:rPr>
                <w:rFonts w:ascii="Century Gothic" w:hAnsi="Century Gothic"/>
                <w:sz w:val="22"/>
                <w:szCs w:val="22"/>
              </w:rPr>
              <w:t>Reducción de la indemnización como consecuencia de la incidencia de la conducta de la víctima en la producción del daño</w:t>
            </w:r>
            <w:r w:rsidR="007C4E87" w:rsidRPr="00BE1A73">
              <w:rPr>
                <w:rFonts w:ascii="Century Gothic" w:hAnsi="Century Gothic"/>
                <w:sz w:val="22"/>
                <w:szCs w:val="22"/>
              </w:rPr>
              <w:t xml:space="preserve"> </w:t>
            </w:r>
          </w:p>
          <w:p w14:paraId="5F750477" w14:textId="5EEFA909" w:rsidR="007C4E87" w:rsidRPr="00BE1A73" w:rsidRDefault="00E56C19" w:rsidP="00BA5C16">
            <w:pPr>
              <w:pStyle w:val="Prrafodelista"/>
              <w:numPr>
                <w:ilvl w:val="0"/>
                <w:numId w:val="10"/>
              </w:numPr>
              <w:spacing w:line="276" w:lineRule="auto"/>
              <w:jc w:val="both"/>
              <w:rPr>
                <w:rFonts w:ascii="Century Gothic" w:hAnsi="Century Gothic"/>
                <w:b/>
                <w:bCs/>
                <w:sz w:val="22"/>
                <w:szCs w:val="22"/>
              </w:rPr>
            </w:pPr>
            <w:r>
              <w:rPr>
                <w:rFonts w:ascii="Century Gothic" w:hAnsi="Century Gothic"/>
                <w:sz w:val="22"/>
                <w:szCs w:val="22"/>
              </w:rPr>
              <w:t>Falta de prueba del lucro cesante</w:t>
            </w:r>
          </w:p>
          <w:p w14:paraId="0BA3B788" w14:textId="2B2903AC" w:rsidR="007C4E87" w:rsidRPr="00BE1A73" w:rsidRDefault="00E56C19" w:rsidP="00BA5C16">
            <w:pPr>
              <w:pStyle w:val="Prrafodelista"/>
              <w:numPr>
                <w:ilvl w:val="0"/>
                <w:numId w:val="10"/>
              </w:numPr>
              <w:spacing w:line="276" w:lineRule="auto"/>
              <w:jc w:val="both"/>
              <w:rPr>
                <w:rFonts w:ascii="Century Gothic" w:hAnsi="Century Gothic"/>
                <w:b/>
                <w:bCs/>
                <w:sz w:val="22"/>
                <w:szCs w:val="22"/>
              </w:rPr>
            </w:pPr>
            <w:r>
              <w:rPr>
                <w:rFonts w:ascii="Century Gothic" w:hAnsi="Century Gothic"/>
                <w:sz w:val="22"/>
                <w:szCs w:val="22"/>
              </w:rPr>
              <w:t>Cuantificación del daño moral exorbitante</w:t>
            </w:r>
          </w:p>
          <w:p w14:paraId="4C491835" w14:textId="0B880BDA" w:rsidR="007C4E87" w:rsidRPr="00E56C19" w:rsidRDefault="00E56C19" w:rsidP="00E56C19">
            <w:pPr>
              <w:pStyle w:val="Prrafodelista"/>
              <w:numPr>
                <w:ilvl w:val="0"/>
                <w:numId w:val="10"/>
              </w:numPr>
              <w:spacing w:line="276" w:lineRule="auto"/>
              <w:jc w:val="both"/>
              <w:rPr>
                <w:rFonts w:ascii="Century Gothic" w:hAnsi="Century Gothic"/>
                <w:b/>
                <w:bCs/>
                <w:sz w:val="22"/>
                <w:szCs w:val="22"/>
              </w:rPr>
            </w:pPr>
            <w:r>
              <w:rPr>
                <w:rFonts w:ascii="Century Gothic" w:hAnsi="Century Gothic"/>
                <w:sz w:val="22"/>
                <w:szCs w:val="22"/>
              </w:rPr>
              <w:t>Genérica o innominada</w:t>
            </w:r>
            <w:r w:rsidR="007C4E87" w:rsidRPr="00E56C19">
              <w:rPr>
                <w:rFonts w:ascii="Century Gothic" w:hAnsi="Century Gothic"/>
                <w:sz w:val="22"/>
                <w:szCs w:val="22"/>
              </w:rPr>
              <w:t xml:space="preserve">. </w:t>
            </w:r>
          </w:p>
          <w:p w14:paraId="6D20F563" w14:textId="77777777" w:rsidR="0066147C" w:rsidRPr="0066147C" w:rsidRDefault="0066147C" w:rsidP="0066147C">
            <w:pPr>
              <w:spacing w:line="276" w:lineRule="auto"/>
              <w:jc w:val="both"/>
              <w:rPr>
                <w:rFonts w:ascii="Century Gothic" w:hAnsi="Century Gothic"/>
                <w:b/>
                <w:bCs/>
                <w:sz w:val="22"/>
                <w:szCs w:val="22"/>
              </w:rPr>
            </w:pPr>
          </w:p>
          <w:p w14:paraId="5666CFBD" w14:textId="677729BE" w:rsidR="00D2151F" w:rsidRPr="00BE1A73" w:rsidRDefault="00D2151F" w:rsidP="00BA5C16">
            <w:pPr>
              <w:spacing w:line="276" w:lineRule="auto"/>
              <w:jc w:val="both"/>
              <w:rPr>
                <w:rFonts w:ascii="Century Gothic" w:hAnsi="Century Gothic"/>
                <w:b/>
                <w:bCs/>
                <w:sz w:val="22"/>
                <w:szCs w:val="22"/>
              </w:rPr>
            </w:pPr>
            <w:r w:rsidRPr="00BE1A73">
              <w:rPr>
                <w:rFonts w:ascii="Century Gothic" w:hAnsi="Century Gothic"/>
                <w:b/>
                <w:bCs/>
                <w:sz w:val="22"/>
                <w:szCs w:val="22"/>
              </w:rPr>
              <w:t>Excepciones frente al llamamiento en garantía</w:t>
            </w:r>
            <w:r w:rsidR="00C11D6B">
              <w:rPr>
                <w:rFonts w:ascii="Century Gothic" w:hAnsi="Century Gothic"/>
                <w:b/>
                <w:bCs/>
                <w:sz w:val="22"/>
                <w:szCs w:val="22"/>
              </w:rPr>
              <w:t xml:space="preserve"> por COOTRACOVI</w:t>
            </w:r>
            <w:r w:rsidRPr="00BE1A73">
              <w:rPr>
                <w:rFonts w:ascii="Century Gothic" w:hAnsi="Century Gothic"/>
                <w:b/>
                <w:bCs/>
                <w:sz w:val="22"/>
                <w:szCs w:val="22"/>
              </w:rPr>
              <w:t xml:space="preserve">: </w:t>
            </w:r>
          </w:p>
          <w:p w14:paraId="10247FE9" w14:textId="77777777" w:rsidR="00D2151F" w:rsidRPr="00BE1A73" w:rsidRDefault="00D2151F" w:rsidP="00BA5C16">
            <w:pPr>
              <w:spacing w:line="276" w:lineRule="auto"/>
              <w:jc w:val="both"/>
              <w:rPr>
                <w:rFonts w:ascii="Century Gothic" w:hAnsi="Century Gothic"/>
                <w:sz w:val="22"/>
                <w:szCs w:val="22"/>
              </w:rPr>
            </w:pPr>
          </w:p>
          <w:p w14:paraId="2C8883F8" w14:textId="5F490B77" w:rsidR="007C4E87" w:rsidRPr="00BE1A73" w:rsidRDefault="00E56C19" w:rsidP="00BA5C16">
            <w:pPr>
              <w:pStyle w:val="Prrafodelista"/>
              <w:numPr>
                <w:ilvl w:val="0"/>
                <w:numId w:val="6"/>
              </w:numPr>
              <w:spacing w:line="276" w:lineRule="auto"/>
              <w:jc w:val="both"/>
              <w:rPr>
                <w:rFonts w:ascii="Century Gothic" w:hAnsi="Century Gothic"/>
                <w:sz w:val="22"/>
                <w:szCs w:val="22"/>
              </w:rPr>
            </w:pPr>
            <w:r>
              <w:rPr>
                <w:rFonts w:ascii="Century Gothic" w:hAnsi="Century Gothic"/>
                <w:sz w:val="22"/>
                <w:szCs w:val="22"/>
              </w:rPr>
              <w:t>Falta de legitimación en la causa para promover el llamamiento en garantía por parte de cooperativa de transporte colectivo de villa hermosa- cootracovi en contra de equidad seguros generales O.C.</w:t>
            </w:r>
          </w:p>
          <w:p w14:paraId="20246BE7" w14:textId="0E6690E3" w:rsidR="007C4E87" w:rsidRPr="00BE1A73" w:rsidRDefault="00E56C19" w:rsidP="00BA5C16">
            <w:pPr>
              <w:pStyle w:val="Prrafodelista"/>
              <w:numPr>
                <w:ilvl w:val="0"/>
                <w:numId w:val="6"/>
              </w:numPr>
              <w:spacing w:line="276" w:lineRule="auto"/>
              <w:jc w:val="both"/>
              <w:rPr>
                <w:rFonts w:ascii="Century Gothic" w:hAnsi="Century Gothic"/>
                <w:sz w:val="22"/>
                <w:szCs w:val="22"/>
              </w:rPr>
            </w:pPr>
            <w:r>
              <w:rPr>
                <w:rFonts w:ascii="Century Gothic" w:hAnsi="Century Gothic"/>
                <w:sz w:val="22"/>
                <w:szCs w:val="22"/>
              </w:rPr>
              <w:t xml:space="preserve">Falta de legitimación en la causa por pasiva de equidad seguros generales organismo cooperativo respecto al llamamiento en garantía formulado por cooperativa de transporte colectivo de villa hermosa- cootracovi </w:t>
            </w:r>
          </w:p>
          <w:p w14:paraId="3EDC2E43" w14:textId="5622E790" w:rsidR="007C4E87" w:rsidRPr="00BE1A73" w:rsidRDefault="00E56C19" w:rsidP="00BA5C16">
            <w:pPr>
              <w:pStyle w:val="Prrafodelista"/>
              <w:numPr>
                <w:ilvl w:val="0"/>
                <w:numId w:val="6"/>
              </w:numPr>
              <w:spacing w:line="276" w:lineRule="auto"/>
              <w:jc w:val="both"/>
              <w:rPr>
                <w:rFonts w:ascii="Century Gothic" w:hAnsi="Century Gothic"/>
                <w:sz w:val="22"/>
                <w:szCs w:val="22"/>
              </w:rPr>
            </w:pPr>
            <w:r>
              <w:rPr>
                <w:rFonts w:ascii="Century Gothic" w:hAnsi="Century Gothic"/>
                <w:sz w:val="22"/>
                <w:szCs w:val="22"/>
              </w:rPr>
              <w:t>El contrato de seguro instrumentalizado mediante la póliza No. AA030117 no ofrece cobertura para la cooperativa de transporte colectivo de villa hermosa - cootracovi</w:t>
            </w:r>
            <w:r w:rsidR="007C4E87" w:rsidRPr="00BE1A73">
              <w:rPr>
                <w:rFonts w:ascii="Century Gothic" w:hAnsi="Century Gothic"/>
                <w:sz w:val="22"/>
                <w:szCs w:val="22"/>
              </w:rPr>
              <w:t xml:space="preserve"> </w:t>
            </w:r>
          </w:p>
          <w:p w14:paraId="52EC4AC4" w14:textId="73C681EE" w:rsidR="007C4E87" w:rsidRPr="00BE1A73" w:rsidRDefault="00E56C19" w:rsidP="00BA5C16">
            <w:pPr>
              <w:pStyle w:val="Prrafodelista"/>
              <w:numPr>
                <w:ilvl w:val="0"/>
                <w:numId w:val="6"/>
              </w:numPr>
              <w:spacing w:line="276" w:lineRule="auto"/>
              <w:jc w:val="both"/>
              <w:rPr>
                <w:rFonts w:ascii="Century Gothic" w:hAnsi="Century Gothic"/>
                <w:sz w:val="22"/>
                <w:szCs w:val="22"/>
              </w:rPr>
            </w:pPr>
            <w:r>
              <w:rPr>
                <w:rFonts w:ascii="Century Gothic" w:hAnsi="Century Gothic"/>
                <w:sz w:val="22"/>
                <w:szCs w:val="22"/>
              </w:rPr>
              <w:t xml:space="preserve">Improcedencia de la obligación indemnizatoria de Equidad Seguros Generales O.C., toda vez que la responsabilidad civil objeto de estudio no se predica respecto del asegurado. </w:t>
            </w:r>
          </w:p>
          <w:p w14:paraId="24CCF0F0" w14:textId="7DAD2034" w:rsidR="007C4E87" w:rsidRDefault="00E56C19" w:rsidP="00BA5C16">
            <w:pPr>
              <w:pStyle w:val="Prrafodelista"/>
              <w:numPr>
                <w:ilvl w:val="0"/>
                <w:numId w:val="6"/>
              </w:numPr>
              <w:spacing w:line="276" w:lineRule="auto"/>
              <w:jc w:val="both"/>
              <w:rPr>
                <w:rFonts w:ascii="Century Gothic" w:hAnsi="Century Gothic"/>
                <w:sz w:val="22"/>
                <w:szCs w:val="22"/>
              </w:rPr>
            </w:pPr>
            <w:r>
              <w:rPr>
                <w:rFonts w:ascii="Century Gothic" w:hAnsi="Century Gothic"/>
                <w:sz w:val="22"/>
                <w:szCs w:val="22"/>
              </w:rPr>
              <w:lastRenderedPageBreak/>
              <w:t xml:space="preserve">Falta de cobertura material de la póliza de responsabilidad civil contractual No. AA030116. </w:t>
            </w:r>
          </w:p>
          <w:p w14:paraId="2E621537" w14:textId="50237250" w:rsidR="009B3685" w:rsidRDefault="009B3685" w:rsidP="00BA5C16">
            <w:pPr>
              <w:pStyle w:val="Prrafodelista"/>
              <w:numPr>
                <w:ilvl w:val="0"/>
                <w:numId w:val="6"/>
              </w:numPr>
              <w:spacing w:line="276" w:lineRule="auto"/>
              <w:jc w:val="both"/>
              <w:rPr>
                <w:rFonts w:ascii="Century Gothic" w:hAnsi="Century Gothic"/>
                <w:sz w:val="22"/>
                <w:szCs w:val="22"/>
              </w:rPr>
            </w:pPr>
            <w:r>
              <w:rPr>
                <w:rFonts w:ascii="Century Gothic" w:hAnsi="Century Gothic"/>
                <w:sz w:val="22"/>
                <w:szCs w:val="22"/>
              </w:rPr>
              <w:t xml:space="preserve">Prescripción de la acción derivada del contrato de seguros – aplicación a los artículos 1081 y 1131 del Código de Comercio. </w:t>
            </w:r>
          </w:p>
          <w:p w14:paraId="49BAFB49" w14:textId="00D3A0CC" w:rsidR="009B3685" w:rsidRDefault="009B3685" w:rsidP="00BA5C16">
            <w:pPr>
              <w:pStyle w:val="Prrafodelista"/>
              <w:numPr>
                <w:ilvl w:val="0"/>
                <w:numId w:val="6"/>
              </w:numPr>
              <w:spacing w:line="276" w:lineRule="auto"/>
              <w:jc w:val="both"/>
              <w:rPr>
                <w:rFonts w:ascii="Century Gothic" w:hAnsi="Century Gothic"/>
                <w:sz w:val="22"/>
                <w:szCs w:val="22"/>
              </w:rPr>
            </w:pPr>
            <w:r>
              <w:rPr>
                <w:rFonts w:ascii="Century Gothic" w:hAnsi="Century Gothic"/>
                <w:sz w:val="22"/>
                <w:szCs w:val="22"/>
              </w:rPr>
              <w:t xml:space="preserve">Inexistencia de obligación indemnizatoria por cuando no se ha realizado el riesgo asegurado en la póliza AA030117 en lo que respecta al amparo de responsabilidad civil extracontractual. </w:t>
            </w:r>
          </w:p>
          <w:p w14:paraId="5164CFE4" w14:textId="0B811788" w:rsidR="000349FA" w:rsidRDefault="000349FA" w:rsidP="00BA5C16">
            <w:pPr>
              <w:pStyle w:val="Prrafodelista"/>
              <w:numPr>
                <w:ilvl w:val="0"/>
                <w:numId w:val="6"/>
              </w:numPr>
              <w:spacing w:line="276" w:lineRule="auto"/>
              <w:jc w:val="both"/>
              <w:rPr>
                <w:rFonts w:ascii="Century Gothic" w:hAnsi="Century Gothic"/>
                <w:sz w:val="22"/>
                <w:szCs w:val="22"/>
              </w:rPr>
            </w:pPr>
            <w:r>
              <w:rPr>
                <w:rFonts w:ascii="Century Gothic" w:hAnsi="Century Gothic"/>
                <w:sz w:val="22"/>
                <w:szCs w:val="22"/>
              </w:rPr>
              <w:t xml:space="preserve">El perjuicio por lucro cesante y daño moral se encuentran plenamente excluidos en la póliza No. AA030117. </w:t>
            </w:r>
          </w:p>
          <w:p w14:paraId="5DDD2A25" w14:textId="711DBE83" w:rsidR="000349FA" w:rsidRDefault="000349FA" w:rsidP="00BA5C16">
            <w:pPr>
              <w:pStyle w:val="Prrafodelista"/>
              <w:numPr>
                <w:ilvl w:val="0"/>
                <w:numId w:val="6"/>
              </w:numPr>
              <w:spacing w:line="276" w:lineRule="auto"/>
              <w:jc w:val="both"/>
              <w:rPr>
                <w:rFonts w:ascii="Century Gothic" w:hAnsi="Century Gothic"/>
                <w:sz w:val="22"/>
                <w:szCs w:val="22"/>
              </w:rPr>
            </w:pPr>
            <w:r>
              <w:rPr>
                <w:rFonts w:ascii="Century Gothic" w:hAnsi="Century Gothic"/>
                <w:sz w:val="22"/>
                <w:szCs w:val="22"/>
              </w:rPr>
              <w:t xml:space="preserve">El seguro contenido en la póliza No. AA030117 emitida por la compañía La Equidad Seguros </w:t>
            </w:r>
            <w:r w:rsidR="006F417D">
              <w:rPr>
                <w:rFonts w:ascii="Century Gothic" w:hAnsi="Century Gothic"/>
                <w:sz w:val="22"/>
                <w:szCs w:val="22"/>
              </w:rPr>
              <w:t>Generales</w:t>
            </w:r>
            <w:r>
              <w:rPr>
                <w:rFonts w:ascii="Century Gothic" w:hAnsi="Century Gothic"/>
                <w:sz w:val="22"/>
                <w:szCs w:val="22"/>
              </w:rPr>
              <w:t xml:space="preserve"> </w:t>
            </w:r>
            <w:r w:rsidR="00367B7A">
              <w:rPr>
                <w:rFonts w:ascii="Century Gothic" w:hAnsi="Century Gothic"/>
                <w:sz w:val="22"/>
                <w:szCs w:val="22"/>
              </w:rPr>
              <w:t>O.C.</w:t>
            </w:r>
            <w:r>
              <w:rPr>
                <w:rFonts w:ascii="Century Gothic" w:hAnsi="Century Gothic"/>
                <w:sz w:val="22"/>
                <w:szCs w:val="22"/>
              </w:rPr>
              <w:t xml:space="preserve"> es de carácter meramente indemnizatorio. </w:t>
            </w:r>
          </w:p>
          <w:p w14:paraId="18693366" w14:textId="255B8406" w:rsidR="006F417D" w:rsidRDefault="006F417D" w:rsidP="00BA5C16">
            <w:pPr>
              <w:pStyle w:val="Prrafodelista"/>
              <w:numPr>
                <w:ilvl w:val="0"/>
                <w:numId w:val="6"/>
              </w:numPr>
              <w:spacing w:line="276" w:lineRule="auto"/>
              <w:jc w:val="both"/>
              <w:rPr>
                <w:rFonts w:ascii="Century Gothic" w:hAnsi="Century Gothic"/>
                <w:sz w:val="22"/>
                <w:szCs w:val="22"/>
              </w:rPr>
            </w:pPr>
            <w:r>
              <w:rPr>
                <w:rFonts w:ascii="Century Gothic" w:hAnsi="Century Gothic"/>
                <w:sz w:val="22"/>
                <w:szCs w:val="22"/>
              </w:rPr>
              <w:t>Riesgos expresamente excluidos en la póliza No. AA030117 emitida por la compañía la equidad seguros generales o.c.</w:t>
            </w:r>
          </w:p>
          <w:p w14:paraId="57379F64" w14:textId="3236EABA" w:rsidR="006F417D" w:rsidRDefault="006F417D" w:rsidP="00BA5C16">
            <w:pPr>
              <w:pStyle w:val="Prrafodelista"/>
              <w:numPr>
                <w:ilvl w:val="0"/>
                <w:numId w:val="6"/>
              </w:numPr>
              <w:spacing w:line="276" w:lineRule="auto"/>
              <w:jc w:val="both"/>
              <w:rPr>
                <w:rFonts w:ascii="Century Gothic" w:hAnsi="Century Gothic"/>
                <w:sz w:val="22"/>
                <w:szCs w:val="22"/>
              </w:rPr>
            </w:pPr>
            <w:r>
              <w:rPr>
                <w:rFonts w:ascii="Century Gothic" w:hAnsi="Century Gothic"/>
                <w:sz w:val="22"/>
                <w:szCs w:val="22"/>
              </w:rPr>
              <w:t xml:space="preserve">En todo caso no se podrá superar el limite asegurado de la póliza No. AA030117 emitida por la compañía La Equidad Seguros Generales O.C. </w:t>
            </w:r>
          </w:p>
          <w:p w14:paraId="11EA2092" w14:textId="22D02069" w:rsidR="006F417D" w:rsidRDefault="006F417D" w:rsidP="00BA5C16">
            <w:pPr>
              <w:pStyle w:val="Prrafodelista"/>
              <w:numPr>
                <w:ilvl w:val="0"/>
                <w:numId w:val="6"/>
              </w:numPr>
              <w:spacing w:line="276" w:lineRule="auto"/>
              <w:jc w:val="both"/>
              <w:rPr>
                <w:rFonts w:ascii="Century Gothic" w:hAnsi="Century Gothic"/>
                <w:sz w:val="22"/>
                <w:szCs w:val="22"/>
              </w:rPr>
            </w:pPr>
            <w:r>
              <w:rPr>
                <w:rFonts w:ascii="Century Gothic" w:hAnsi="Century Gothic"/>
                <w:sz w:val="22"/>
                <w:szCs w:val="22"/>
              </w:rPr>
              <w:t xml:space="preserve">Sujeción a las condiciones particulares y generales del contrato de seguro. </w:t>
            </w:r>
          </w:p>
          <w:p w14:paraId="3197C66E" w14:textId="229C025F" w:rsidR="00960D5D" w:rsidRDefault="00960D5D" w:rsidP="00BA5C16">
            <w:pPr>
              <w:pStyle w:val="Prrafodelista"/>
              <w:numPr>
                <w:ilvl w:val="0"/>
                <w:numId w:val="6"/>
              </w:numPr>
              <w:spacing w:line="276" w:lineRule="auto"/>
              <w:jc w:val="both"/>
              <w:rPr>
                <w:rFonts w:ascii="Century Gothic" w:hAnsi="Century Gothic"/>
                <w:sz w:val="22"/>
                <w:szCs w:val="22"/>
              </w:rPr>
            </w:pPr>
            <w:r>
              <w:rPr>
                <w:rFonts w:ascii="Century Gothic" w:hAnsi="Century Gothic"/>
                <w:sz w:val="22"/>
                <w:szCs w:val="22"/>
              </w:rPr>
              <w:t xml:space="preserve">Disponibilidad del valor asegurado </w:t>
            </w:r>
          </w:p>
          <w:p w14:paraId="4EA8FB56" w14:textId="64529088" w:rsidR="00960D5D" w:rsidRDefault="00960D5D" w:rsidP="00BA5C16">
            <w:pPr>
              <w:pStyle w:val="Prrafodelista"/>
              <w:numPr>
                <w:ilvl w:val="0"/>
                <w:numId w:val="6"/>
              </w:numPr>
              <w:spacing w:line="276" w:lineRule="auto"/>
              <w:jc w:val="both"/>
              <w:rPr>
                <w:rFonts w:ascii="Century Gothic" w:hAnsi="Century Gothic"/>
                <w:sz w:val="22"/>
                <w:szCs w:val="22"/>
              </w:rPr>
            </w:pPr>
            <w:r>
              <w:rPr>
                <w:rFonts w:ascii="Century Gothic" w:hAnsi="Century Gothic"/>
                <w:sz w:val="22"/>
                <w:szCs w:val="22"/>
              </w:rPr>
              <w:t xml:space="preserve">Genérica o innominada. </w:t>
            </w:r>
          </w:p>
          <w:p w14:paraId="17EE1133" w14:textId="77777777" w:rsidR="00C11D6B" w:rsidRDefault="00C11D6B" w:rsidP="00C11D6B">
            <w:pPr>
              <w:spacing w:line="276" w:lineRule="auto"/>
              <w:ind w:left="360"/>
              <w:jc w:val="both"/>
              <w:rPr>
                <w:rFonts w:ascii="Century Gothic" w:hAnsi="Century Gothic"/>
                <w:sz w:val="22"/>
                <w:szCs w:val="22"/>
              </w:rPr>
            </w:pPr>
          </w:p>
          <w:p w14:paraId="64D9CBBF" w14:textId="1AC9A8D3" w:rsidR="00C11D6B" w:rsidRDefault="00C11D6B" w:rsidP="00C11D6B">
            <w:pPr>
              <w:spacing w:line="276" w:lineRule="auto"/>
              <w:jc w:val="both"/>
              <w:rPr>
                <w:rFonts w:ascii="Century Gothic" w:hAnsi="Century Gothic"/>
                <w:b/>
                <w:bCs/>
                <w:sz w:val="22"/>
                <w:szCs w:val="22"/>
              </w:rPr>
            </w:pPr>
            <w:r w:rsidRPr="00BE1A73">
              <w:rPr>
                <w:rFonts w:ascii="Century Gothic" w:hAnsi="Century Gothic"/>
                <w:b/>
                <w:bCs/>
                <w:sz w:val="22"/>
                <w:szCs w:val="22"/>
              </w:rPr>
              <w:t>Excepciones frente al llamamiento en garantía</w:t>
            </w:r>
            <w:r>
              <w:rPr>
                <w:rFonts w:ascii="Century Gothic" w:hAnsi="Century Gothic"/>
                <w:b/>
                <w:bCs/>
                <w:sz w:val="22"/>
                <w:szCs w:val="22"/>
              </w:rPr>
              <w:t xml:space="preserve"> por </w:t>
            </w:r>
            <w:r w:rsidRPr="00C11D6B">
              <w:rPr>
                <w:rFonts w:ascii="Century Gothic" w:hAnsi="Century Gothic"/>
                <w:b/>
                <w:bCs/>
                <w:sz w:val="22"/>
                <w:szCs w:val="22"/>
              </w:rPr>
              <w:t>LUIS EFREN MARIN ZAPATA</w:t>
            </w:r>
          </w:p>
          <w:p w14:paraId="50556E6B" w14:textId="77777777" w:rsidR="00C11D6B" w:rsidRDefault="00C11D6B" w:rsidP="00C11D6B">
            <w:pPr>
              <w:spacing w:line="276" w:lineRule="auto"/>
              <w:jc w:val="both"/>
              <w:rPr>
                <w:rFonts w:ascii="Century Gothic" w:hAnsi="Century Gothic"/>
                <w:b/>
                <w:bCs/>
                <w:sz w:val="22"/>
                <w:szCs w:val="22"/>
              </w:rPr>
            </w:pPr>
          </w:p>
          <w:p w14:paraId="5BCFF26F" w14:textId="1060CDD0" w:rsidR="00B52ACC" w:rsidRDefault="00B52ACC" w:rsidP="00C11D6B">
            <w:pPr>
              <w:pStyle w:val="Prrafodelista"/>
              <w:numPr>
                <w:ilvl w:val="0"/>
                <w:numId w:val="27"/>
              </w:numPr>
              <w:rPr>
                <w:rFonts w:ascii="Century Gothic" w:hAnsi="Century Gothic"/>
                <w:sz w:val="22"/>
                <w:szCs w:val="22"/>
              </w:rPr>
            </w:pPr>
            <w:r>
              <w:rPr>
                <w:rFonts w:ascii="Century Gothic" w:hAnsi="Century Gothic"/>
                <w:sz w:val="22"/>
                <w:szCs w:val="22"/>
              </w:rPr>
              <w:t>Prescripción de las acciones derivadas del contrato de seguro – aplicación a los artículos 1081 y 1131 del Código de Comercio.</w:t>
            </w:r>
          </w:p>
          <w:p w14:paraId="74F95DD2" w14:textId="20B1B094" w:rsidR="00C11D6B" w:rsidRPr="00C11D6B" w:rsidRDefault="00C11D6B" w:rsidP="00C11D6B">
            <w:pPr>
              <w:pStyle w:val="Prrafodelista"/>
              <w:numPr>
                <w:ilvl w:val="0"/>
                <w:numId w:val="27"/>
              </w:numPr>
              <w:rPr>
                <w:rFonts w:ascii="Century Gothic" w:hAnsi="Century Gothic"/>
                <w:sz w:val="22"/>
                <w:szCs w:val="22"/>
              </w:rPr>
            </w:pPr>
            <w:r>
              <w:rPr>
                <w:rFonts w:ascii="Century Gothic" w:hAnsi="Century Gothic"/>
                <w:sz w:val="22"/>
                <w:szCs w:val="22"/>
              </w:rPr>
              <w:t>N</w:t>
            </w:r>
            <w:r w:rsidRPr="00C11D6B">
              <w:rPr>
                <w:rFonts w:ascii="Century Gothic" w:hAnsi="Century Gothic"/>
                <w:sz w:val="22"/>
                <w:szCs w:val="22"/>
              </w:rPr>
              <w:t>o existe obligación indemnizatoria a cargo de equidad seguros generales organismo cooperativo. toda vez que no se ha realizado el riesgo asegurado – artículo 1072 c.co</w:t>
            </w:r>
          </w:p>
          <w:p w14:paraId="12FDD8FA" w14:textId="3E8C3A30" w:rsidR="00C11D6B" w:rsidRPr="00C11D6B" w:rsidRDefault="00C11D6B" w:rsidP="00C11D6B">
            <w:pPr>
              <w:pStyle w:val="Prrafodelista"/>
              <w:numPr>
                <w:ilvl w:val="0"/>
                <w:numId w:val="27"/>
              </w:numPr>
              <w:rPr>
                <w:rFonts w:ascii="Century Gothic" w:hAnsi="Century Gothic"/>
                <w:sz w:val="22"/>
                <w:szCs w:val="22"/>
              </w:rPr>
            </w:pPr>
            <w:r>
              <w:rPr>
                <w:rFonts w:ascii="Century Gothic" w:hAnsi="Century Gothic"/>
                <w:sz w:val="22"/>
                <w:szCs w:val="22"/>
              </w:rPr>
              <w:t>I</w:t>
            </w:r>
            <w:r w:rsidRPr="00C11D6B">
              <w:rPr>
                <w:rFonts w:ascii="Century Gothic" w:hAnsi="Century Gothic"/>
                <w:sz w:val="22"/>
                <w:szCs w:val="22"/>
              </w:rPr>
              <w:t xml:space="preserve">nexistencia de obligación indemnizatoria por cuanto no se ha realizado el riesgo asegurado en la póliza </w:t>
            </w:r>
            <w:r w:rsidR="0078275F">
              <w:rPr>
                <w:rFonts w:ascii="Century Gothic" w:hAnsi="Century Gothic"/>
                <w:sz w:val="22"/>
                <w:szCs w:val="22"/>
              </w:rPr>
              <w:t>AA</w:t>
            </w:r>
            <w:r w:rsidRPr="00C11D6B">
              <w:rPr>
                <w:rFonts w:ascii="Century Gothic" w:hAnsi="Century Gothic"/>
                <w:sz w:val="22"/>
                <w:szCs w:val="22"/>
              </w:rPr>
              <w:t>030117, en lo que respecta al amparo de responsabilidad civil extracontractual</w:t>
            </w:r>
          </w:p>
          <w:p w14:paraId="3CD20B1A" w14:textId="24A12585" w:rsidR="00C11D6B" w:rsidRPr="00C11D6B" w:rsidRDefault="00C11D6B" w:rsidP="00C11D6B">
            <w:pPr>
              <w:pStyle w:val="Prrafodelista"/>
              <w:numPr>
                <w:ilvl w:val="0"/>
                <w:numId w:val="27"/>
              </w:numPr>
              <w:rPr>
                <w:rFonts w:ascii="Century Gothic" w:hAnsi="Century Gothic"/>
                <w:sz w:val="22"/>
                <w:szCs w:val="22"/>
              </w:rPr>
            </w:pPr>
            <w:r>
              <w:rPr>
                <w:rFonts w:ascii="Century Gothic" w:hAnsi="Century Gothic"/>
                <w:sz w:val="22"/>
                <w:szCs w:val="22"/>
              </w:rPr>
              <w:t>E</w:t>
            </w:r>
            <w:r w:rsidRPr="00C11D6B">
              <w:rPr>
                <w:rFonts w:ascii="Century Gothic" w:hAnsi="Century Gothic"/>
                <w:sz w:val="22"/>
                <w:szCs w:val="22"/>
              </w:rPr>
              <w:t xml:space="preserve">l perjuicio por lucro cesante y daño moral se encuentran plenamente excluidos en la </w:t>
            </w:r>
            <w:r>
              <w:rPr>
                <w:rFonts w:ascii="Century Gothic" w:hAnsi="Century Gothic"/>
                <w:sz w:val="22"/>
                <w:szCs w:val="22"/>
              </w:rPr>
              <w:t>P</w:t>
            </w:r>
            <w:r w:rsidRPr="00C11D6B">
              <w:rPr>
                <w:rFonts w:ascii="Century Gothic" w:hAnsi="Century Gothic"/>
                <w:sz w:val="22"/>
                <w:szCs w:val="22"/>
              </w:rPr>
              <w:t xml:space="preserve">óliza </w:t>
            </w:r>
            <w:r w:rsidR="0078275F">
              <w:rPr>
                <w:rFonts w:ascii="Century Gothic" w:hAnsi="Century Gothic"/>
                <w:sz w:val="22"/>
                <w:szCs w:val="22"/>
              </w:rPr>
              <w:t>AA</w:t>
            </w:r>
            <w:r w:rsidRPr="00C11D6B">
              <w:rPr>
                <w:rFonts w:ascii="Century Gothic" w:hAnsi="Century Gothic"/>
                <w:sz w:val="22"/>
                <w:szCs w:val="22"/>
              </w:rPr>
              <w:t>030117.</w:t>
            </w:r>
          </w:p>
          <w:p w14:paraId="330F352C" w14:textId="30FFEDF6" w:rsidR="0078275F" w:rsidRDefault="0078275F" w:rsidP="00C11D6B">
            <w:pPr>
              <w:pStyle w:val="Prrafodelista"/>
              <w:numPr>
                <w:ilvl w:val="0"/>
                <w:numId w:val="27"/>
              </w:numPr>
              <w:rPr>
                <w:rFonts w:ascii="Century Gothic" w:hAnsi="Century Gothic"/>
                <w:sz w:val="22"/>
                <w:szCs w:val="22"/>
              </w:rPr>
            </w:pPr>
            <w:r>
              <w:rPr>
                <w:rFonts w:ascii="Century Gothic" w:hAnsi="Century Gothic"/>
                <w:sz w:val="22"/>
                <w:szCs w:val="22"/>
              </w:rPr>
              <w:t>Falta de cobertura material de la póliza</w:t>
            </w:r>
            <w:r w:rsidR="007E165C">
              <w:rPr>
                <w:rFonts w:ascii="Century Gothic" w:hAnsi="Century Gothic"/>
                <w:sz w:val="22"/>
                <w:szCs w:val="22"/>
              </w:rPr>
              <w:t xml:space="preserve"> de responsabilidad civil contractual No. AA30116</w:t>
            </w:r>
          </w:p>
          <w:p w14:paraId="56E111AA" w14:textId="5529303D" w:rsidR="00C11D6B" w:rsidRPr="00C11D6B" w:rsidRDefault="00C11D6B" w:rsidP="00C11D6B">
            <w:pPr>
              <w:pStyle w:val="Prrafodelista"/>
              <w:numPr>
                <w:ilvl w:val="0"/>
                <w:numId w:val="27"/>
              </w:numPr>
              <w:rPr>
                <w:rFonts w:ascii="Century Gothic" w:hAnsi="Century Gothic"/>
                <w:sz w:val="22"/>
                <w:szCs w:val="22"/>
              </w:rPr>
            </w:pPr>
            <w:r>
              <w:rPr>
                <w:rFonts w:ascii="Century Gothic" w:hAnsi="Century Gothic"/>
                <w:sz w:val="22"/>
                <w:szCs w:val="22"/>
              </w:rPr>
              <w:t>E</w:t>
            </w:r>
            <w:r w:rsidRPr="00C11D6B">
              <w:rPr>
                <w:rFonts w:ascii="Century Gothic" w:hAnsi="Century Gothic"/>
                <w:sz w:val="22"/>
                <w:szCs w:val="22"/>
              </w:rPr>
              <w:t xml:space="preserve">l seguro contenido en la póliza no. </w:t>
            </w:r>
            <w:r w:rsidR="0078275F">
              <w:rPr>
                <w:rFonts w:ascii="Century Gothic" w:hAnsi="Century Gothic"/>
                <w:sz w:val="22"/>
                <w:szCs w:val="22"/>
              </w:rPr>
              <w:t>AA</w:t>
            </w:r>
            <w:r w:rsidRPr="00C11D6B">
              <w:rPr>
                <w:rFonts w:ascii="Century Gothic" w:hAnsi="Century Gothic"/>
                <w:sz w:val="22"/>
                <w:szCs w:val="22"/>
              </w:rPr>
              <w:t>030117 emitida por la compañía la equidad seguros generales o.c. es de carácter meramente indemnizatorio.</w:t>
            </w:r>
          </w:p>
          <w:p w14:paraId="6383344F" w14:textId="282C7498" w:rsidR="00C11D6B" w:rsidRPr="00C11D6B" w:rsidRDefault="00C11D6B" w:rsidP="00C11D6B">
            <w:pPr>
              <w:pStyle w:val="Prrafodelista"/>
              <w:numPr>
                <w:ilvl w:val="0"/>
                <w:numId w:val="27"/>
              </w:numPr>
              <w:rPr>
                <w:rFonts w:ascii="Century Gothic" w:hAnsi="Century Gothic"/>
                <w:sz w:val="22"/>
                <w:szCs w:val="22"/>
              </w:rPr>
            </w:pPr>
            <w:r>
              <w:rPr>
                <w:rFonts w:ascii="Century Gothic" w:hAnsi="Century Gothic"/>
                <w:sz w:val="22"/>
                <w:szCs w:val="22"/>
              </w:rPr>
              <w:t>R</w:t>
            </w:r>
            <w:r w:rsidRPr="00C11D6B">
              <w:rPr>
                <w:rFonts w:ascii="Century Gothic" w:hAnsi="Century Gothic"/>
                <w:sz w:val="22"/>
                <w:szCs w:val="22"/>
              </w:rPr>
              <w:t xml:space="preserve">iesgos expresamente excluidos en la póliza no. </w:t>
            </w:r>
            <w:r w:rsidR="0078275F">
              <w:rPr>
                <w:rFonts w:ascii="Century Gothic" w:hAnsi="Century Gothic"/>
                <w:sz w:val="22"/>
                <w:szCs w:val="22"/>
              </w:rPr>
              <w:t>AA</w:t>
            </w:r>
            <w:r w:rsidRPr="00C11D6B">
              <w:rPr>
                <w:rFonts w:ascii="Century Gothic" w:hAnsi="Century Gothic"/>
                <w:sz w:val="22"/>
                <w:szCs w:val="22"/>
              </w:rPr>
              <w:t xml:space="preserve">030117 emitida por la compañía la equidad seguros generales o.c. </w:t>
            </w:r>
          </w:p>
          <w:p w14:paraId="54F30BB0" w14:textId="4C81BC4A" w:rsidR="00C11D6B" w:rsidRPr="00C11D6B" w:rsidRDefault="00C11D6B" w:rsidP="00C11D6B">
            <w:pPr>
              <w:pStyle w:val="Prrafodelista"/>
              <w:numPr>
                <w:ilvl w:val="0"/>
                <w:numId w:val="27"/>
              </w:numPr>
              <w:rPr>
                <w:rFonts w:ascii="Century Gothic" w:hAnsi="Century Gothic"/>
                <w:sz w:val="22"/>
                <w:szCs w:val="22"/>
              </w:rPr>
            </w:pPr>
            <w:r>
              <w:rPr>
                <w:rFonts w:ascii="Century Gothic" w:hAnsi="Century Gothic"/>
                <w:sz w:val="22"/>
                <w:szCs w:val="22"/>
              </w:rPr>
              <w:t>E</w:t>
            </w:r>
            <w:r w:rsidRPr="00C11D6B">
              <w:rPr>
                <w:rFonts w:ascii="Century Gothic" w:hAnsi="Century Gothic"/>
                <w:sz w:val="22"/>
                <w:szCs w:val="22"/>
              </w:rPr>
              <w:t xml:space="preserve">n todo caso no se podrá superar el límite asegurado de la póliza no. </w:t>
            </w:r>
            <w:r w:rsidR="0078275F">
              <w:rPr>
                <w:rFonts w:ascii="Century Gothic" w:hAnsi="Century Gothic"/>
                <w:sz w:val="22"/>
                <w:szCs w:val="22"/>
              </w:rPr>
              <w:t>AA</w:t>
            </w:r>
            <w:r w:rsidRPr="00C11D6B">
              <w:rPr>
                <w:rFonts w:ascii="Century Gothic" w:hAnsi="Century Gothic"/>
                <w:sz w:val="22"/>
                <w:szCs w:val="22"/>
              </w:rPr>
              <w:t>030117 emitida por la compañía la equidad seguros generales o.c.</w:t>
            </w:r>
          </w:p>
          <w:p w14:paraId="4902402D" w14:textId="253CC392" w:rsidR="00C11D6B" w:rsidRPr="00C11D6B" w:rsidRDefault="00C11D6B" w:rsidP="00C11D6B">
            <w:pPr>
              <w:pStyle w:val="Prrafodelista"/>
              <w:numPr>
                <w:ilvl w:val="0"/>
                <w:numId w:val="27"/>
              </w:numPr>
              <w:rPr>
                <w:rFonts w:ascii="Century Gothic" w:hAnsi="Century Gothic"/>
                <w:sz w:val="22"/>
                <w:szCs w:val="22"/>
              </w:rPr>
            </w:pPr>
            <w:r>
              <w:rPr>
                <w:rFonts w:ascii="Century Gothic" w:hAnsi="Century Gothic"/>
                <w:sz w:val="22"/>
                <w:szCs w:val="22"/>
              </w:rPr>
              <w:t>S</w:t>
            </w:r>
            <w:r w:rsidRPr="00C11D6B">
              <w:rPr>
                <w:rFonts w:ascii="Century Gothic" w:hAnsi="Century Gothic"/>
                <w:sz w:val="22"/>
                <w:szCs w:val="22"/>
              </w:rPr>
              <w:t xml:space="preserve">ujeción a las condiciones particulares y generales del contrato de seguro. </w:t>
            </w:r>
          </w:p>
          <w:p w14:paraId="1C8944F6" w14:textId="20DD9274" w:rsidR="00C11D6B" w:rsidRPr="00C11D6B" w:rsidRDefault="00C11D6B" w:rsidP="00C11D6B">
            <w:pPr>
              <w:pStyle w:val="Prrafodelista"/>
              <w:numPr>
                <w:ilvl w:val="0"/>
                <w:numId w:val="27"/>
              </w:numPr>
              <w:rPr>
                <w:rFonts w:ascii="Century Gothic" w:hAnsi="Century Gothic"/>
                <w:sz w:val="22"/>
                <w:szCs w:val="22"/>
              </w:rPr>
            </w:pPr>
            <w:r>
              <w:rPr>
                <w:rFonts w:ascii="Century Gothic" w:hAnsi="Century Gothic"/>
                <w:sz w:val="22"/>
                <w:szCs w:val="22"/>
              </w:rPr>
              <w:t>D</w:t>
            </w:r>
            <w:r w:rsidRPr="00C11D6B">
              <w:rPr>
                <w:rFonts w:ascii="Century Gothic" w:hAnsi="Century Gothic"/>
                <w:sz w:val="22"/>
                <w:szCs w:val="22"/>
              </w:rPr>
              <w:t>isponibilidad del valor asegurado</w:t>
            </w:r>
          </w:p>
          <w:p w14:paraId="3B4FCDB2" w14:textId="3F47A72C" w:rsidR="00C11D6B" w:rsidRPr="00C11D6B" w:rsidRDefault="00C11D6B" w:rsidP="00C11D6B">
            <w:pPr>
              <w:pStyle w:val="Prrafodelista"/>
              <w:numPr>
                <w:ilvl w:val="0"/>
                <w:numId w:val="27"/>
              </w:numPr>
              <w:rPr>
                <w:rFonts w:ascii="Century Gothic" w:hAnsi="Century Gothic"/>
                <w:sz w:val="22"/>
                <w:szCs w:val="22"/>
              </w:rPr>
            </w:pPr>
            <w:r>
              <w:rPr>
                <w:rFonts w:ascii="Century Gothic" w:hAnsi="Century Gothic"/>
                <w:sz w:val="22"/>
                <w:szCs w:val="22"/>
              </w:rPr>
              <w:t>G</w:t>
            </w:r>
            <w:r w:rsidRPr="00C11D6B">
              <w:rPr>
                <w:rFonts w:ascii="Century Gothic" w:hAnsi="Century Gothic"/>
                <w:sz w:val="22"/>
                <w:szCs w:val="22"/>
              </w:rPr>
              <w:t>enérica o innominada y otras</w:t>
            </w:r>
          </w:p>
          <w:p w14:paraId="75535199" w14:textId="5BB1FEB2" w:rsidR="00C11D6B" w:rsidRPr="00C11D6B" w:rsidRDefault="00C11D6B" w:rsidP="00C11D6B">
            <w:pPr>
              <w:pStyle w:val="Prrafodelista"/>
              <w:spacing w:line="276" w:lineRule="auto"/>
              <w:jc w:val="both"/>
              <w:rPr>
                <w:rFonts w:ascii="Century Gothic" w:hAnsi="Century Gothic"/>
                <w:b/>
                <w:bCs/>
                <w:sz w:val="22"/>
                <w:szCs w:val="22"/>
              </w:rPr>
            </w:pPr>
          </w:p>
          <w:p w14:paraId="1DA1D7A0" w14:textId="77777777" w:rsidR="00C11D6B" w:rsidRPr="00C11D6B" w:rsidRDefault="00C11D6B" w:rsidP="00C11D6B">
            <w:pPr>
              <w:spacing w:line="276" w:lineRule="auto"/>
              <w:jc w:val="both"/>
              <w:rPr>
                <w:rFonts w:ascii="Century Gothic" w:hAnsi="Century Gothic"/>
                <w:sz w:val="22"/>
                <w:szCs w:val="22"/>
              </w:rPr>
            </w:pPr>
          </w:p>
          <w:p w14:paraId="52CE2D52" w14:textId="2B327E4D" w:rsidR="00B21C38" w:rsidRPr="00BE1A73" w:rsidRDefault="00B21C38" w:rsidP="00BA5C16">
            <w:pPr>
              <w:pStyle w:val="Prrafodelista"/>
              <w:spacing w:line="276" w:lineRule="auto"/>
              <w:jc w:val="both"/>
              <w:rPr>
                <w:rFonts w:ascii="Century Gothic" w:hAnsi="Century Gothic"/>
                <w:sz w:val="22"/>
                <w:szCs w:val="22"/>
              </w:rPr>
            </w:pPr>
          </w:p>
        </w:tc>
      </w:tr>
    </w:tbl>
    <w:p w14:paraId="0AA122B4" w14:textId="77777777" w:rsidR="00F67EF8" w:rsidRPr="00BE1A73" w:rsidRDefault="00F67EF8" w:rsidP="00BA5C16">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BE1A73" w:rsidRPr="00BE1A73" w14:paraId="4B531C7D" w14:textId="77777777" w:rsidTr="40F7E47C">
        <w:trPr>
          <w:trHeight w:val="454"/>
        </w:trPr>
        <w:tc>
          <w:tcPr>
            <w:tcW w:w="3266" w:type="dxa"/>
            <w:vAlign w:val="center"/>
            <w:hideMark/>
          </w:tcPr>
          <w:p w14:paraId="3F99B56F" w14:textId="1315CCDB" w:rsidR="00EE687D" w:rsidRPr="00BE1A73" w:rsidRDefault="006F0CAA" w:rsidP="007969FC">
            <w:pPr>
              <w:spacing w:line="276" w:lineRule="auto"/>
              <w:jc w:val="both"/>
              <w:textAlignment w:val="baseline"/>
              <w:rPr>
                <w:rFonts w:ascii="Century Gothic" w:hAnsi="Century Gothic" w:cs="Segoe UI"/>
                <w:sz w:val="22"/>
                <w:szCs w:val="22"/>
                <w:lang w:eastAsia="es-CO"/>
              </w:rPr>
            </w:pPr>
            <w:r w:rsidRPr="007969FC">
              <w:rPr>
                <w:rFonts w:ascii="Century Gothic" w:hAnsi="Century Gothic"/>
                <w:b/>
                <w:bCs/>
                <w:sz w:val="22"/>
                <w:szCs w:val="22"/>
                <w:shd w:val="clear" w:color="auto" w:fill="FFFFFF"/>
                <w:lang w:eastAsia="es-CO"/>
              </w:rPr>
              <w:t>Siniestro</w:t>
            </w:r>
          </w:p>
        </w:tc>
        <w:tc>
          <w:tcPr>
            <w:tcW w:w="6941" w:type="dxa"/>
            <w:vAlign w:val="center"/>
            <w:hideMark/>
          </w:tcPr>
          <w:p w14:paraId="06D242A3" w14:textId="71ECADE5" w:rsidR="00EE687D" w:rsidRPr="00BE1A73" w:rsidRDefault="0066147C" w:rsidP="007969FC">
            <w:pPr>
              <w:spacing w:line="276" w:lineRule="auto"/>
              <w:jc w:val="both"/>
              <w:rPr>
                <w:rFonts w:ascii="Century Gothic" w:hAnsi="Century Gothic" w:cs="Segoe UI"/>
                <w:sz w:val="22"/>
                <w:szCs w:val="22"/>
                <w:lang w:eastAsia="es-CO"/>
              </w:rPr>
            </w:pPr>
            <w:r>
              <w:rPr>
                <w:rFonts w:ascii="Century Gothic" w:hAnsi="Century Gothic" w:cs="Segoe UI"/>
                <w:sz w:val="22"/>
                <w:szCs w:val="22"/>
                <w:lang w:eastAsia="es-CO"/>
              </w:rPr>
              <w:t>10015148</w:t>
            </w:r>
          </w:p>
        </w:tc>
      </w:tr>
      <w:tr w:rsidR="00BE1A73" w:rsidRPr="00BE1A73" w14:paraId="7A21B905" w14:textId="77777777" w:rsidTr="40F7E47C">
        <w:trPr>
          <w:trHeight w:val="454"/>
        </w:trPr>
        <w:tc>
          <w:tcPr>
            <w:tcW w:w="3266" w:type="dxa"/>
            <w:vAlign w:val="center"/>
          </w:tcPr>
          <w:p w14:paraId="533380A9" w14:textId="7103E52D" w:rsidR="006F0CAA" w:rsidRPr="007969FC" w:rsidRDefault="006F0CAA" w:rsidP="007969FC">
            <w:pPr>
              <w:spacing w:line="276" w:lineRule="auto"/>
              <w:jc w:val="both"/>
              <w:textAlignment w:val="baseline"/>
              <w:rPr>
                <w:rFonts w:ascii="Century Gothic" w:hAnsi="Century Gothic"/>
                <w:b/>
                <w:bCs/>
                <w:sz w:val="22"/>
                <w:szCs w:val="22"/>
                <w:shd w:val="clear" w:color="auto" w:fill="FFFFFF"/>
                <w:lang w:val="es-ES" w:eastAsia="es-CO"/>
              </w:rPr>
            </w:pPr>
            <w:r w:rsidRPr="007969FC">
              <w:rPr>
                <w:rFonts w:ascii="Century Gothic" w:hAnsi="Century Gothic"/>
                <w:b/>
                <w:bCs/>
                <w:sz w:val="22"/>
                <w:szCs w:val="22"/>
                <w:shd w:val="clear" w:color="auto" w:fill="FFFFFF"/>
                <w:lang w:val="es-ES" w:eastAsia="es-CO"/>
              </w:rPr>
              <w:t>Caso Onbase</w:t>
            </w:r>
          </w:p>
        </w:tc>
        <w:tc>
          <w:tcPr>
            <w:tcW w:w="6941" w:type="dxa"/>
            <w:vAlign w:val="center"/>
          </w:tcPr>
          <w:p w14:paraId="79DBA3A4" w14:textId="1D228E8B" w:rsidR="006F0CAA" w:rsidRPr="00BE1A73" w:rsidRDefault="006E2683" w:rsidP="007969FC">
            <w:pPr>
              <w:spacing w:line="276" w:lineRule="auto"/>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BE1A73" w:rsidRPr="00BE1A73" w14:paraId="00877764" w14:textId="77777777" w:rsidTr="40F7E47C">
        <w:trPr>
          <w:trHeight w:val="454"/>
        </w:trPr>
        <w:tc>
          <w:tcPr>
            <w:tcW w:w="3266" w:type="dxa"/>
            <w:vAlign w:val="center"/>
            <w:hideMark/>
          </w:tcPr>
          <w:p w14:paraId="749E810E" w14:textId="77777777" w:rsidR="00EE687D" w:rsidRPr="00BE1A73" w:rsidRDefault="00EE687D" w:rsidP="007969FC">
            <w:pPr>
              <w:spacing w:line="276" w:lineRule="auto"/>
              <w:jc w:val="both"/>
              <w:textAlignment w:val="baseline"/>
              <w:rPr>
                <w:rFonts w:ascii="Century Gothic" w:hAnsi="Century Gothic" w:cs="Segoe UI"/>
                <w:sz w:val="22"/>
                <w:szCs w:val="22"/>
                <w:lang w:eastAsia="es-CO"/>
              </w:rPr>
            </w:pPr>
            <w:r w:rsidRPr="007969FC">
              <w:rPr>
                <w:rFonts w:ascii="Century Gothic" w:hAnsi="Century Gothic"/>
                <w:b/>
                <w:bCs/>
                <w:sz w:val="22"/>
                <w:szCs w:val="22"/>
                <w:shd w:val="clear" w:color="auto" w:fill="FFFFFF"/>
                <w:lang w:eastAsia="es-CO"/>
              </w:rPr>
              <w:t>Póliza</w:t>
            </w:r>
          </w:p>
        </w:tc>
        <w:tc>
          <w:tcPr>
            <w:tcW w:w="6941" w:type="dxa"/>
            <w:vAlign w:val="center"/>
          </w:tcPr>
          <w:p w14:paraId="7FC9EC9E" w14:textId="079168DF" w:rsidR="00EE687D" w:rsidRPr="00BE1A73" w:rsidRDefault="00545F22" w:rsidP="007969FC">
            <w:pPr>
              <w:spacing w:line="276" w:lineRule="auto"/>
              <w:jc w:val="both"/>
              <w:rPr>
                <w:rFonts w:ascii="Century Gothic" w:hAnsi="Century Gothic" w:cs="Segoe UI"/>
                <w:sz w:val="22"/>
                <w:szCs w:val="22"/>
                <w:lang w:eastAsia="es-CO"/>
              </w:rPr>
            </w:pPr>
            <w:r w:rsidRPr="00BE1A73">
              <w:rPr>
                <w:rFonts w:ascii="Century Gothic" w:hAnsi="Century Gothic" w:cs="Segoe UI"/>
                <w:sz w:val="22"/>
                <w:szCs w:val="22"/>
                <w:lang w:eastAsia="es-CO"/>
              </w:rPr>
              <w:t>AA0</w:t>
            </w:r>
            <w:r w:rsidR="0066147C">
              <w:rPr>
                <w:rFonts w:ascii="Century Gothic" w:hAnsi="Century Gothic" w:cs="Segoe UI"/>
                <w:sz w:val="22"/>
                <w:szCs w:val="22"/>
                <w:lang w:eastAsia="es-CO"/>
              </w:rPr>
              <w:t>30117</w:t>
            </w:r>
          </w:p>
        </w:tc>
      </w:tr>
      <w:tr w:rsidR="00BE1A73" w:rsidRPr="00BE1A73" w14:paraId="3260B646" w14:textId="77777777" w:rsidTr="40F7E47C">
        <w:trPr>
          <w:trHeight w:val="454"/>
        </w:trPr>
        <w:tc>
          <w:tcPr>
            <w:tcW w:w="3266" w:type="dxa"/>
            <w:vAlign w:val="center"/>
            <w:hideMark/>
          </w:tcPr>
          <w:p w14:paraId="67FBF2E5" w14:textId="77777777" w:rsidR="00EE687D" w:rsidRPr="00BE1A73" w:rsidRDefault="00EE687D" w:rsidP="007969FC">
            <w:pPr>
              <w:spacing w:line="276" w:lineRule="auto"/>
              <w:jc w:val="both"/>
              <w:textAlignment w:val="baseline"/>
              <w:rPr>
                <w:rFonts w:ascii="Century Gothic" w:hAnsi="Century Gothic" w:cs="Segoe UI"/>
                <w:sz w:val="22"/>
                <w:szCs w:val="22"/>
                <w:lang w:eastAsia="es-CO"/>
              </w:rPr>
            </w:pPr>
            <w:r w:rsidRPr="007969FC">
              <w:rPr>
                <w:rFonts w:ascii="Century Gothic" w:hAnsi="Century Gothic"/>
                <w:b/>
                <w:bCs/>
                <w:sz w:val="22"/>
                <w:szCs w:val="22"/>
                <w:shd w:val="clear" w:color="auto" w:fill="FFFFFF"/>
                <w:lang w:eastAsia="es-CO"/>
              </w:rPr>
              <w:t>Certificado</w:t>
            </w:r>
          </w:p>
        </w:tc>
        <w:tc>
          <w:tcPr>
            <w:tcW w:w="6941" w:type="dxa"/>
            <w:vAlign w:val="center"/>
          </w:tcPr>
          <w:p w14:paraId="47A2248B" w14:textId="4C808A31" w:rsidR="00EE687D" w:rsidRPr="00BE1A73" w:rsidRDefault="0066147C" w:rsidP="007969FC">
            <w:pPr>
              <w:spacing w:line="276" w:lineRule="auto"/>
              <w:jc w:val="both"/>
              <w:rPr>
                <w:rFonts w:ascii="Century Gothic" w:hAnsi="Century Gothic" w:cs="Segoe UI"/>
                <w:sz w:val="22"/>
                <w:szCs w:val="22"/>
                <w:lang w:eastAsia="es-CO"/>
              </w:rPr>
            </w:pPr>
            <w:r>
              <w:rPr>
                <w:rFonts w:ascii="Century Gothic" w:hAnsi="Century Gothic" w:cs="Segoe UI"/>
                <w:sz w:val="22"/>
                <w:szCs w:val="22"/>
                <w:lang w:eastAsia="es-CO"/>
              </w:rPr>
              <w:t>AA105954</w:t>
            </w:r>
          </w:p>
        </w:tc>
      </w:tr>
      <w:tr w:rsidR="00BE1A73" w:rsidRPr="00BE1A73" w14:paraId="0BC7C6A3" w14:textId="77777777" w:rsidTr="40F7E47C">
        <w:trPr>
          <w:trHeight w:val="454"/>
        </w:trPr>
        <w:tc>
          <w:tcPr>
            <w:tcW w:w="3266" w:type="dxa"/>
            <w:vAlign w:val="center"/>
            <w:hideMark/>
          </w:tcPr>
          <w:p w14:paraId="433D63BC" w14:textId="77777777" w:rsidR="00EE687D" w:rsidRPr="00BE1A73" w:rsidRDefault="00EE687D" w:rsidP="007969FC">
            <w:pPr>
              <w:spacing w:line="276" w:lineRule="auto"/>
              <w:jc w:val="both"/>
              <w:textAlignment w:val="baseline"/>
              <w:rPr>
                <w:rFonts w:ascii="Century Gothic" w:hAnsi="Century Gothic" w:cs="Segoe UI"/>
                <w:sz w:val="22"/>
                <w:szCs w:val="22"/>
                <w:lang w:eastAsia="es-CO"/>
              </w:rPr>
            </w:pPr>
            <w:r w:rsidRPr="007969FC">
              <w:rPr>
                <w:rFonts w:ascii="Century Gothic" w:hAnsi="Century Gothic"/>
                <w:b/>
                <w:bCs/>
                <w:sz w:val="22"/>
                <w:szCs w:val="22"/>
                <w:shd w:val="clear" w:color="auto" w:fill="FFFFFF"/>
                <w:lang w:eastAsia="es-CO"/>
              </w:rPr>
              <w:t>Orden</w:t>
            </w:r>
          </w:p>
        </w:tc>
        <w:tc>
          <w:tcPr>
            <w:tcW w:w="6941" w:type="dxa"/>
            <w:vAlign w:val="center"/>
          </w:tcPr>
          <w:p w14:paraId="25280801" w14:textId="5CDA7465" w:rsidR="00EE687D" w:rsidRPr="00BE1A73" w:rsidRDefault="0066147C" w:rsidP="007969FC">
            <w:pPr>
              <w:spacing w:line="276" w:lineRule="auto"/>
              <w:jc w:val="both"/>
              <w:rPr>
                <w:rFonts w:ascii="Century Gothic" w:hAnsi="Century Gothic" w:cs="Segoe UI"/>
                <w:sz w:val="22"/>
                <w:szCs w:val="22"/>
                <w:lang w:eastAsia="es-CO"/>
              </w:rPr>
            </w:pPr>
            <w:r>
              <w:rPr>
                <w:rFonts w:ascii="Century Gothic" w:hAnsi="Century Gothic" w:cs="Segoe UI"/>
                <w:sz w:val="22"/>
                <w:szCs w:val="22"/>
                <w:lang w:eastAsia="es-CO"/>
              </w:rPr>
              <w:t>6</w:t>
            </w:r>
          </w:p>
        </w:tc>
      </w:tr>
      <w:tr w:rsidR="00BE1A73" w:rsidRPr="00BE1A73" w14:paraId="3ACEF28A" w14:textId="77777777" w:rsidTr="40F7E47C">
        <w:trPr>
          <w:trHeight w:val="454"/>
        </w:trPr>
        <w:tc>
          <w:tcPr>
            <w:tcW w:w="3266" w:type="dxa"/>
            <w:vAlign w:val="center"/>
          </w:tcPr>
          <w:p w14:paraId="0881BFDC" w14:textId="40C44F4A" w:rsidR="00B90E05" w:rsidRPr="007969FC" w:rsidRDefault="00B90E05" w:rsidP="007969FC">
            <w:pPr>
              <w:spacing w:line="276" w:lineRule="auto"/>
              <w:jc w:val="both"/>
              <w:textAlignment w:val="baseline"/>
              <w:rPr>
                <w:rFonts w:ascii="Century Gothic" w:hAnsi="Century Gothic"/>
                <w:b/>
                <w:bCs/>
                <w:sz w:val="22"/>
                <w:szCs w:val="22"/>
                <w:shd w:val="clear" w:color="auto" w:fill="FFFFFF"/>
                <w:lang w:eastAsia="es-CO"/>
              </w:rPr>
            </w:pPr>
            <w:r w:rsidRPr="007969FC">
              <w:rPr>
                <w:rFonts w:ascii="Century Gothic" w:hAnsi="Century Gothic"/>
                <w:b/>
                <w:bCs/>
                <w:sz w:val="22"/>
                <w:szCs w:val="22"/>
                <w:shd w:val="clear" w:color="auto" w:fill="FFFFFF"/>
                <w:lang w:eastAsia="es-CO"/>
              </w:rPr>
              <w:t>Sucursal</w:t>
            </w:r>
          </w:p>
        </w:tc>
        <w:tc>
          <w:tcPr>
            <w:tcW w:w="6941" w:type="dxa"/>
            <w:vAlign w:val="center"/>
          </w:tcPr>
          <w:p w14:paraId="74AA0D59" w14:textId="0EDF157C" w:rsidR="00B90E05" w:rsidRPr="00BE1A73" w:rsidRDefault="006E2683" w:rsidP="007969FC">
            <w:pPr>
              <w:spacing w:line="276" w:lineRule="auto"/>
              <w:jc w:val="both"/>
              <w:rPr>
                <w:rFonts w:ascii="Century Gothic" w:hAnsi="Century Gothic" w:cs="Segoe UI"/>
                <w:sz w:val="22"/>
                <w:szCs w:val="22"/>
                <w:lang w:eastAsia="es-CO"/>
              </w:rPr>
            </w:pPr>
            <w:r>
              <w:rPr>
                <w:rFonts w:ascii="Century Gothic" w:hAnsi="Century Gothic" w:cs="Segoe UI"/>
                <w:sz w:val="22"/>
                <w:szCs w:val="22"/>
                <w:lang w:eastAsia="es-CO"/>
              </w:rPr>
              <w:t>100005</w:t>
            </w:r>
          </w:p>
        </w:tc>
      </w:tr>
      <w:tr w:rsidR="00BE1A73" w:rsidRPr="00BE1A73" w14:paraId="4BCD09C7" w14:textId="77777777" w:rsidTr="40F7E47C">
        <w:trPr>
          <w:trHeight w:val="454"/>
        </w:trPr>
        <w:tc>
          <w:tcPr>
            <w:tcW w:w="3266" w:type="dxa"/>
            <w:vAlign w:val="center"/>
            <w:hideMark/>
          </w:tcPr>
          <w:p w14:paraId="0A1C1E81" w14:textId="17519C67" w:rsidR="00EE687D" w:rsidRPr="00BE1A73" w:rsidRDefault="001C44B4" w:rsidP="007969FC">
            <w:pPr>
              <w:spacing w:line="276" w:lineRule="auto"/>
              <w:jc w:val="both"/>
              <w:textAlignment w:val="baseline"/>
              <w:rPr>
                <w:rFonts w:ascii="Century Gothic" w:hAnsi="Century Gothic" w:cs="Segoe UI"/>
                <w:sz w:val="22"/>
                <w:szCs w:val="22"/>
                <w:lang w:eastAsia="es-CO"/>
              </w:rPr>
            </w:pPr>
            <w:r w:rsidRPr="007969FC">
              <w:rPr>
                <w:rFonts w:ascii="Century Gothic" w:hAnsi="Century Gothic"/>
                <w:b/>
                <w:bCs/>
                <w:sz w:val="22"/>
                <w:szCs w:val="22"/>
                <w:shd w:val="clear" w:color="auto" w:fill="FFFFFF"/>
                <w:lang w:eastAsia="es-CO"/>
              </w:rPr>
              <w:t>Placa del vehículo</w:t>
            </w:r>
          </w:p>
        </w:tc>
        <w:tc>
          <w:tcPr>
            <w:tcW w:w="6941" w:type="dxa"/>
            <w:vAlign w:val="center"/>
          </w:tcPr>
          <w:p w14:paraId="73CAF2AF" w14:textId="3433C6BA" w:rsidR="00EE687D" w:rsidRPr="00BE1A73" w:rsidRDefault="0066147C" w:rsidP="007969FC">
            <w:pPr>
              <w:spacing w:line="276" w:lineRule="auto"/>
              <w:jc w:val="both"/>
              <w:rPr>
                <w:rFonts w:ascii="Century Gothic" w:hAnsi="Century Gothic" w:cs="Segoe UI"/>
                <w:sz w:val="22"/>
                <w:szCs w:val="22"/>
                <w:lang w:eastAsia="es-CO"/>
              </w:rPr>
            </w:pPr>
            <w:r>
              <w:rPr>
                <w:rFonts w:ascii="Century Gothic" w:hAnsi="Century Gothic" w:cs="Segoe UI"/>
                <w:sz w:val="22"/>
                <w:szCs w:val="22"/>
                <w:lang w:eastAsia="es-CO"/>
              </w:rPr>
              <w:t>TPW400</w:t>
            </w:r>
          </w:p>
        </w:tc>
      </w:tr>
      <w:tr w:rsidR="00BE1A73" w:rsidRPr="00BE1A73" w14:paraId="0BA9ECEE" w14:textId="77777777" w:rsidTr="40F7E47C">
        <w:trPr>
          <w:trHeight w:val="454"/>
        </w:trPr>
        <w:tc>
          <w:tcPr>
            <w:tcW w:w="3266" w:type="dxa"/>
            <w:vAlign w:val="center"/>
          </w:tcPr>
          <w:p w14:paraId="7B70AF59" w14:textId="749D67BE" w:rsidR="001C44B4" w:rsidRPr="007969FC" w:rsidRDefault="001C44B4" w:rsidP="007969FC">
            <w:pPr>
              <w:spacing w:line="276" w:lineRule="auto"/>
              <w:jc w:val="both"/>
              <w:textAlignment w:val="baseline"/>
              <w:rPr>
                <w:rFonts w:ascii="Century Gothic" w:hAnsi="Century Gothic"/>
                <w:b/>
                <w:bCs/>
                <w:sz w:val="22"/>
                <w:szCs w:val="22"/>
                <w:shd w:val="clear" w:color="auto" w:fill="FFFFFF"/>
                <w:lang w:eastAsia="es-CO"/>
              </w:rPr>
            </w:pPr>
            <w:r w:rsidRPr="007969FC">
              <w:rPr>
                <w:rFonts w:ascii="Century Gothic" w:hAnsi="Century Gothic"/>
                <w:b/>
                <w:bCs/>
                <w:sz w:val="22"/>
                <w:szCs w:val="22"/>
                <w:shd w:val="clear" w:color="auto" w:fill="FFFFFF"/>
                <w:lang w:eastAsia="es-CO"/>
              </w:rPr>
              <w:t>Fecha del siniestro</w:t>
            </w:r>
          </w:p>
        </w:tc>
        <w:tc>
          <w:tcPr>
            <w:tcW w:w="6941" w:type="dxa"/>
            <w:vAlign w:val="center"/>
          </w:tcPr>
          <w:p w14:paraId="2D03F3BA" w14:textId="1F47FB35" w:rsidR="001C44B4" w:rsidRPr="00BE1A73" w:rsidRDefault="006E2683" w:rsidP="007969FC">
            <w:pPr>
              <w:spacing w:line="276" w:lineRule="auto"/>
              <w:jc w:val="both"/>
              <w:rPr>
                <w:rFonts w:ascii="Century Gothic" w:hAnsi="Century Gothic" w:cs="Segoe UI"/>
                <w:sz w:val="22"/>
                <w:szCs w:val="22"/>
                <w:lang w:eastAsia="es-CO"/>
              </w:rPr>
            </w:pPr>
            <w:r>
              <w:rPr>
                <w:rFonts w:ascii="Century Gothic" w:hAnsi="Century Gothic" w:cs="Segoe UI"/>
                <w:sz w:val="22"/>
                <w:szCs w:val="22"/>
                <w:lang w:eastAsia="es-CO"/>
              </w:rPr>
              <w:t>11/01/2014</w:t>
            </w:r>
          </w:p>
        </w:tc>
      </w:tr>
      <w:tr w:rsidR="00BE1A73" w:rsidRPr="00BE1A73" w14:paraId="05412033" w14:textId="77777777" w:rsidTr="40F7E47C">
        <w:trPr>
          <w:trHeight w:val="454"/>
        </w:trPr>
        <w:tc>
          <w:tcPr>
            <w:tcW w:w="3266" w:type="dxa"/>
            <w:vAlign w:val="center"/>
          </w:tcPr>
          <w:p w14:paraId="43E688BB" w14:textId="54B02C3E" w:rsidR="001C44B4" w:rsidRPr="007969FC" w:rsidRDefault="001C44B4" w:rsidP="007969FC">
            <w:pPr>
              <w:spacing w:line="276" w:lineRule="auto"/>
              <w:jc w:val="both"/>
              <w:textAlignment w:val="baseline"/>
              <w:rPr>
                <w:rFonts w:ascii="Century Gothic" w:hAnsi="Century Gothic"/>
                <w:b/>
                <w:bCs/>
                <w:sz w:val="22"/>
                <w:szCs w:val="22"/>
                <w:shd w:val="clear" w:color="auto" w:fill="FFFFFF"/>
                <w:lang w:eastAsia="es-CO"/>
              </w:rPr>
            </w:pPr>
            <w:r w:rsidRPr="007969FC">
              <w:rPr>
                <w:rFonts w:ascii="Century Gothic" w:hAnsi="Century Gothic"/>
                <w:b/>
                <w:bCs/>
                <w:sz w:val="22"/>
                <w:szCs w:val="22"/>
                <w:shd w:val="clear" w:color="auto" w:fill="FFFFFF"/>
                <w:lang w:eastAsia="es-CO"/>
              </w:rPr>
              <w:t>Fecha del aviso</w:t>
            </w:r>
          </w:p>
        </w:tc>
        <w:tc>
          <w:tcPr>
            <w:tcW w:w="6941" w:type="dxa"/>
            <w:vAlign w:val="center"/>
          </w:tcPr>
          <w:p w14:paraId="7E184CA4" w14:textId="277CECD5" w:rsidR="001C44B4" w:rsidRPr="00BE1A73" w:rsidRDefault="006E2683" w:rsidP="007969FC">
            <w:pPr>
              <w:spacing w:line="276" w:lineRule="auto"/>
              <w:jc w:val="both"/>
              <w:rPr>
                <w:rFonts w:ascii="Century Gothic" w:hAnsi="Century Gothic" w:cs="Segoe UI"/>
                <w:sz w:val="22"/>
                <w:szCs w:val="22"/>
                <w:lang w:eastAsia="es-CO"/>
              </w:rPr>
            </w:pPr>
            <w:r>
              <w:rPr>
                <w:rFonts w:ascii="Century Gothic" w:hAnsi="Century Gothic" w:cs="Segoe UI"/>
                <w:sz w:val="22"/>
                <w:szCs w:val="22"/>
                <w:lang w:eastAsia="es-CO"/>
              </w:rPr>
              <w:t>03/09/2016</w:t>
            </w:r>
          </w:p>
        </w:tc>
      </w:tr>
      <w:tr w:rsidR="00BE1A73" w:rsidRPr="00BE1A73" w14:paraId="6DB6B020" w14:textId="77777777" w:rsidTr="40F7E47C">
        <w:trPr>
          <w:trHeight w:val="454"/>
        </w:trPr>
        <w:tc>
          <w:tcPr>
            <w:tcW w:w="3266" w:type="dxa"/>
            <w:vAlign w:val="center"/>
          </w:tcPr>
          <w:p w14:paraId="13FCE7D8" w14:textId="6EA7D194" w:rsidR="001C44B4" w:rsidRPr="007969FC" w:rsidRDefault="001C44B4" w:rsidP="007969FC">
            <w:pPr>
              <w:spacing w:line="276" w:lineRule="auto"/>
              <w:jc w:val="both"/>
              <w:textAlignment w:val="baseline"/>
              <w:rPr>
                <w:rFonts w:ascii="Century Gothic" w:hAnsi="Century Gothic"/>
                <w:b/>
                <w:bCs/>
                <w:sz w:val="22"/>
                <w:szCs w:val="22"/>
                <w:shd w:val="clear" w:color="auto" w:fill="FFFFFF"/>
                <w:lang w:eastAsia="es-CO"/>
              </w:rPr>
            </w:pPr>
            <w:r w:rsidRPr="007969FC">
              <w:rPr>
                <w:rFonts w:ascii="Century Gothic" w:hAnsi="Century Gothic"/>
                <w:b/>
                <w:bCs/>
                <w:sz w:val="22"/>
                <w:szCs w:val="22"/>
                <w:shd w:val="clear" w:color="auto" w:fill="FFFFFF"/>
                <w:lang w:eastAsia="es-CO"/>
              </w:rPr>
              <w:t>Colocación de reaseguro</w:t>
            </w:r>
          </w:p>
        </w:tc>
        <w:tc>
          <w:tcPr>
            <w:tcW w:w="6941" w:type="dxa"/>
            <w:vAlign w:val="center"/>
          </w:tcPr>
          <w:p w14:paraId="6857070F" w14:textId="7E967347" w:rsidR="001C44B4" w:rsidRPr="00BE1A73" w:rsidRDefault="006E2683" w:rsidP="007969FC">
            <w:pPr>
              <w:spacing w:line="276" w:lineRule="auto"/>
              <w:jc w:val="both"/>
              <w:rPr>
                <w:rFonts w:ascii="Century Gothic" w:hAnsi="Century Gothic" w:cs="Segoe UI"/>
                <w:sz w:val="22"/>
                <w:szCs w:val="22"/>
                <w:lang w:eastAsia="es-CO"/>
              </w:rPr>
            </w:pPr>
            <w:r>
              <w:rPr>
                <w:rFonts w:ascii="Century Gothic" w:hAnsi="Century Gothic" w:cs="Segoe UI"/>
                <w:sz w:val="22"/>
                <w:szCs w:val="22"/>
                <w:lang w:eastAsia="es-CO"/>
              </w:rPr>
              <w:t>RETENCIÓN</w:t>
            </w:r>
          </w:p>
        </w:tc>
      </w:tr>
      <w:tr w:rsidR="00BE1A73" w:rsidRPr="00BE1A73" w14:paraId="2F1DA9E6" w14:textId="77777777" w:rsidTr="40F7E47C">
        <w:trPr>
          <w:trHeight w:val="454"/>
        </w:trPr>
        <w:tc>
          <w:tcPr>
            <w:tcW w:w="3266" w:type="dxa"/>
            <w:vAlign w:val="center"/>
          </w:tcPr>
          <w:p w14:paraId="3ECF2237" w14:textId="5FB6285C" w:rsidR="001C44B4" w:rsidRPr="007969FC" w:rsidRDefault="008B685D" w:rsidP="007969FC">
            <w:pPr>
              <w:spacing w:line="276" w:lineRule="auto"/>
              <w:jc w:val="both"/>
              <w:textAlignment w:val="baseline"/>
              <w:rPr>
                <w:rFonts w:ascii="Century Gothic" w:hAnsi="Century Gothic"/>
                <w:b/>
                <w:bCs/>
                <w:sz w:val="22"/>
                <w:szCs w:val="22"/>
                <w:shd w:val="clear" w:color="auto" w:fill="FFFFFF"/>
                <w:lang w:eastAsia="es-CO"/>
              </w:rPr>
            </w:pPr>
            <w:r w:rsidRPr="007969FC">
              <w:rPr>
                <w:rFonts w:ascii="Century Gothic" w:hAnsi="Century Gothic"/>
                <w:b/>
                <w:bCs/>
                <w:sz w:val="22"/>
                <w:szCs w:val="22"/>
                <w:shd w:val="clear" w:color="auto" w:fill="FFFFFF"/>
                <w:lang w:eastAsia="es-CO"/>
              </w:rPr>
              <w:t>Tomador</w:t>
            </w:r>
          </w:p>
        </w:tc>
        <w:tc>
          <w:tcPr>
            <w:tcW w:w="6941" w:type="dxa"/>
            <w:vAlign w:val="center"/>
          </w:tcPr>
          <w:p w14:paraId="2B607964" w14:textId="7E15FF10" w:rsidR="001C44B4" w:rsidRPr="00BE1A73" w:rsidRDefault="006E2683" w:rsidP="007969FC">
            <w:pPr>
              <w:spacing w:line="276" w:lineRule="auto"/>
              <w:jc w:val="both"/>
              <w:rPr>
                <w:rFonts w:ascii="Century Gothic" w:hAnsi="Century Gothic" w:cs="Segoe UI"/>
                <w:sz w:val="22"/>
                <w:szCs w:val="22"/>
                <w:lang w:eastAsia="es-CO"/>
              </w:rPr>
            </w:pPr>
            <w:r>
              <w:rPr>
                <w:rFonts w:ascii="Century Gothic" w:hAnsi="Century Gothic" w:cs="Segoe UI"/>
                <w:sz w:val="22"/>
                <w:szCs w:val="22"/>
                <w:lang w:eastAsia="es-CO"/>
              </w:rPr>
              <w:t>COOPERATIVA DE TRANSPORTADORES COLECTIVO DE VILLA HERMOSA</w:t>
            </w:r>
          </w:p>
        </w:tc>
      </w:tr>
      <w:tr w:rsidR="00BE1A73" w:rsidRPr="00BE1A73" w14:paraId="1165CBE1" w14:textId="77777777" w:rsidTr="40F7E47C">
        <w:trPr>
          <w:trHeight w:val="454"/>
        </w:trPr>
        <w:tc>
          <w:tcPr>
            <w:tcW w:w="3266" w:type="dxa"/>
            <w:vAlign w:val="center"/>
          </w:tcPr>
          <w:p w14:paraId="640F2169" w14:textId="4903327C" w:rsidR="001C44B4" w:rsidRPr="00BE1A73" w:rsidRDefault="008B685D" w:rsidP="007969FC">
            <w:pPr>
              <w:spacing w:line="276" w:lineRule="auto"/>
              <w:jc w:val="both"/>
              <w:textAlignment w:val="baseline"/>
              <w:rPr>
                <w:rFonts w:ascii="Century Gothic" w:hAnsi="Century Gothic" w:cs="Segoe UI"/>
                <w:sz w:val="22"/>
                <w:szCs w:val="22"/>
                <w:lang w:eastAsia="es-CO"/>
              </w:rPr>
            </w:pPr>
            <w:r w:rsidRPr="007969FC">
              <w:rPr>
                <w:rFonts w:ascii="Century Gothic" w:hAnsi="Century Gothic"/>
                <w:b/>
                <w:bCs/>
                <w:sz w:val="22"/>
                <w:szCs w:val="22"/>
                <w:shd w:val="clear" w:color="auto" w:fill="FFFFFF"/>
                <w:lang w:eastAsia="es-CO"/>
              </w:rPr>
              <w:t>Asegurado</w:t>
            </w:r>
          </w:p>
        </w:tc>
        <w:tc>
          <w:tcPr>
            <w:tcW w:w="6941" w:type="dxa"/>
            <w:vAlign w:val="center"/>
          </w:tcPr>
          <w:p w14:paraId="3381B0BB" w14:textId="4F28D64D" w:rsidR="001C44B4" w:rsidRPr="00BE1A73" w:rsidRDefault="00F1294B" w:rsidP="007969FC">
            <w:pPr>
              <w:spacing w:line="276" w:lineRule="auto"/>
              <w:jc w:val="both"/>
              <w:rPr>
                <w:rFonts w:ascii="Century Gothic" w:hAnsi="Century Gothic" w:cs="Segoe UI"/>
                <w:sz w:val="22"/>
                <w:szCs w:val="22"/>
                <w:lang w:val="es-AR" w:eastAsia="es-CO"/>
              </w:rPr>
            </w:pPr>
            <w:r>
              <w:rPr>
                <w:rFonts w:ascii="Century Gothic" w:hAnsi="Century Gothic" w:cs="Segoe UI"/>
                <w:sz w:val="22"/>
                <w:szCs w:val="22"/>
                <w:lang w:val="es-AR" w:eastAsia="es-CO"/>
              </w:rPr>
              <w:t>MARÍN</w:t>
            </w:r>
            <w:r w:rsidR="006E2683">
              <w:rPr>
                <w:rFonts w:ascii="Century Gothic" w:hAnsi="Century Gothic" w:cs="Segoe UI"/>
                <w:sz w:val="22"/>
                <w:szCs w:val="22"/>
                <w:lang w:val="es-AR" w:eastAsia="es-CO"/>
              </w:rPr>
              <w:t xml:space="preserve"> ZAPATA LUIS EFREN</w:t>
            </w:r>
          </w:p>
        </w:tc>
      </w:tr>
      <w:tr w:rsidR="00BE1A73" w:rsidRPr="00BE1A73" w14:paraId="513C2A8D" w14:textId="77777777" w:rsidTr="40F7E47C">
        <w:trPr>
          <w:trHeight w:val="454"/>
        </w:trPr>
        <w:tc>
          <w:tcPr>
            <w:tcW w:w="3266" w:type="dxa"/>
            <w:vAlign w:val="center"/>
            <w:hideMark/>
          </w:tcPr>
          <w:p w14:paraId="5E1FDA28" w14:textId="16DB1B8E" w:rsidR="001C44B4" w:rsidRPr="00BE1A73" w:rsidRDefault="008B685D" w:rsidP="007969FC">
            <w:pPr>
              <w:spacing w:line="276" w:lineRule="auto"/>
              <w:jc w:val="both"/>
              <w:textAlignment w:val="baseline"/>
              <w:rPr>
                <w:rFonts w:ascii="Century Gothic" w:hAnsi="Century Gothic" w:cs="Segoe UI"/>
                <w:sz w:val="22"/>
                <w:szCs w:val="22"/>
                <w:lang w:eastAsia="es-CO"/>
              </w:rPr>
            </w:pPr>
            <w:r w:rsidRPr="007969FC">
              <w:rPr>
                <w:rFonts w:ascii="Century Gothic" w:hAnsi="Century Gothic"/>
                <w:b/>
                <w:bCs/>
                <w:sz w:val="22"/>
                <w:szCs w:val="22"/>
                <w:shd w:val="clear" w:color="auto" w:fill="FFFFFF"/>
                <w:lang w:eastAsia="es-CO"/>
              </w:rPr>
              <w:t>Ramo</w:t>
            </w:r>
          </w:p>
        </w:tc>
        <w:tc>
          <w:tcPr>
            <w:tcW w:w="6941" w:type="dxa"/>
            <w:vAlign w:val="center"/>
          </w:tcPr>
          <w:p w14:paraId="0701202E" w14:textId="5C27C64A" w:rsidR="001C44B4" w:rsidRPr="00BE1A73" w:rsidRDefault="00B21C38" w:rsidP="007969FC">
            <w:pPr>
              <w:spacing w:line="276" w:lineRule="auto"/>
              <w:jc w:val="both"/>
              <w:rPr>
                <w:rFonts w:ascii="Century Gothic" w:hAnsi="Century Gothic" w:cs="Segoe UI"/>
                <w:sz w:val="22"/>
                <w:szCs w:val="22"/>
                <w:lang w:eastAsia="es-CO"/>
              </w:rPr>
            </w:pPr>
            <w:r w:rsidRPr="00BE1A73">
              <w:rPr>
                <w:rFonts w:ascii="Century Gothic" w:hAnsi="Century Gothic" w:cs="Segoe UI"/>
                <w:sz w:val="22"/>
                <w:szCs w:val="22"/>
                <w:lang w:eastAsia="es-CO"/>
              </w:rPr>
              <w:t>R</w:t>
            </w:r>
            <w:r w:rsidR="0066147C">
              <w:rPr>
                <w:rFonts w:ascii="Century Gothic" w:hAnsi="Century Gothic" w:cs="Segoe UI"/>
                <w:sz w:val="22"/>
                <w:szCs w:val="22"/>
                <w:lang w:eastAsia="es-CO"/>
              </w:rPr>
              <w:t>CE SERVICIO PÚBLICO</w:t>
            </w:r>
            <w:r w:rsidRPr="00BE1A73">
              <w:rPr>
                <w:rFonts w:ascii="Century Gothic" w:hAnsi="Century Gothic" w:cs="Segoe UI"/>
                <w:sz w:val="22"/>
                <w:szCs w:val="22"/>
                <w:lang w:eastAsia="es-CO"/>
              </w:rPr>
              <w:t xml:space="preserve"> </w:t>
            </w:r>
          </w:p>
        </w:tc>
      </w:tr>
      <w:tr w:rsidR="00BE1A73" w:rsidRPr="00BE1A73" w14:paraId="2F8ECFA3" w14:textId="77777777" w:rsidTr="40F7E47C">
        <w:trPr>
          <w:trHeight w:val="454"/>
        </w:trPr>
        <w:tc>
          <w:tcPr>
            <w:tcW w:w="3266" w:type="dxa"/>
            <w:vAlign w:val="center"/>
            <w:hideMark/>
          </w:tcPr>
          <w:p w14:paraId="0C3932A6" w14:textId="2792643B" w:rsidR="001C44B4" w:rsidRPr="00BE1A73" w:rsidRDefault="008B685D" w:rsidP="007969FC">
            <w:pPr>
              <w:spacing w:line="276" w:lineRule="auto"/>
              <w:jc w:val="both"/>
              <w:textAlignment w:val="baseline"/>
              <w:rPr>
                <w:rFonts w:ascii="Century Gothic" w:hAnsi="Century Gothic" w:cs="Segoe UI"/>
                <w:sz w:val="22"/>
                <w:szCs w:val="22"/>
                <w:lang w:eastAsia="es-CO"/>
              </w:rPr>
            </w:pPr>
            <w:r w:rsidRPr="007969FC">
              <w:rPr>
                <w:rFonts w:ascii="Century Gothic" w:hAnsi="Century Gothic"/>
                <w:b/>
                <w:bCs/>
                <w:sz w:val="22"/>
                <w:szCs w:val="22"/>
                <w:shd w:val="clear" w:color="auto" w:fill="FFFFFF"/>
                <w:lang w:eastAsia="es-CO"/>
              </w:rPr>
              <w:t>Cobertura</w:t>
            </w:r>
          </w:p>
        </w:tc>
        <w:tc>
          <w:tcPr>
            <w:tcW w:w="6941" w:type="dxa"/>
            <w:vAlign w:val="center"/>
          </w:tcPr>
          <w:p w14:paraId="0958D277" w14:textId="03D78865" w:rsidR="001C44B4" w:rsidRPr="00BE1A73" w:rsidRDefault="00EF33E8" w:rsidP="007969FC">
            <w:pPr>
              <w:spacing w:line="276" w:lineRule="auto"/>
              <w:jc w:val="both"/>
              <w:rPr>
                <w:rFonts w:ascii="Century Gothic" w:hAnsi="Century Gothic" w:cs="Segoe UI"/>
                <w:sz w:val="22"/>
                <w:szCs w:val="22"/>
                <w:lang w:eastAsia="es-CO"/>
              </w:rPr>
            </w:pPr>
            <w:r>
              <w:rPr>
                <w:rFonts w:ascii="Century Gothic" w:hAnsi="Century Gothic" w:cs="Segoe UI"/>
                <w:sz w:val="22"/>
                <w:szCs w:val="22"/>
                <w:lang w:eastAsia="es-CO"/>
              </w:rPr>
              <w:t xml:space="preserve">DAÑO A BIENES DE TERCEROS – Pero es: </w:t>
            </w:r>
            <w:r w:rsidR="0066147C">
              <w:rPr>
                <w:rFonts w:ascii="Century Gothic" w:hAnsi="Century Gothic" w:cs="Segoe UI"/>
                <w:sz w:val="22"/>
                <w:szCs w:val="22"/>
                <w:lang w:eastAsia="es-CO"/>
              </w:rPr>
              <w:t>Lesiones o muerte a una persona</w:t>
            </w:r>
          </w:p>
        </w:tc>
      </w:tr>
      <w:tr w:rsidR="00BE1A73" w:rsidRPr="00BE1A73" w14:paraId="59B4A554" w14:textId="77777777" w:rsidTr="40F7E47C">
        <w:trPr>
          <w:trHeight w:val="454"/>
        </w:trPr>
        <w:tc>
          <w:tcPr>
            <w:tcW w:w="3266" w:type="dxa"/>
            <w:vAlign w:val="center"/>
            <w:hideMark/>
          </w:tcPr>
          <w:p w14:paraId="0412A958" w14:textId="77777777" w:rsidR="001C44B4" w:rsidRPr="00BE1A73" w:rsidRDefault="001C44B4" w:rsidP="007969FC">
            <w:pPr>
              <w:spacing w:line="276" w:lineRule="auto"/>
              <w:jc w:val="both"/>
              <w:textAlignment w:val="baseline"/>
              <w:rPr>
                <w:rFonts w:ascii="Century Gothic" w:hAnsi="Century Gothic" w:cs="Segoe UI"/>
                <w:sz w:val="22"/>
                <w:szCs w:val="22"/>
                <w:lang w:eastAsia="es-CO"/>
              </w:rPr>
            </w:pPr>
            <w:r w:rsidRPr="007969FC">
              <w:rPr>
                <w:rFonts w:ascii="Century Gothic" w:hAnsi="Century Gothic"/>
                <w:b/>
                <w:bCs/>
                <w:sz w:val="22"/>
                <w:szCs w:val="22"/>
                <w:shd w:val="clear" w:color="auto" w:fill="FFFFFF"/>
                <w:lang w:eastAsia="es-CO"/>
              </w:rPr>
              <w:t>Valor asegurado</w:t>
            </w:r>
          </w:p>
        </w:tc>
        <w:tc>
          <w:tcPr>
            <w:tcW w:w="6941" w:type="dxa"/>
            <w:vAlign w:val="center"/>
          </w:tcPr>
          <w:p w14:paraId="5AF73B8E" w14:textId="3957BAA8" w:rsidR="001C44B4" w:rsidRPr="00BE1A73" w:rsidRDefault="0066147C" w:rsidP="007969FC">
            <w:pPr>
              <w:spacing w:line="276" w:lineRule="auto"/>
              <w:jc w:val="both"/>
              <w:rPr>
                <w:rFonts w:ascii="Century Gothic" w:hAnsi="Century Gothic" w:cs="Segoe UI"/>
                <w:sz w:val="22"/>
                <w:szCs w:val="22"/>
                <w:lang w:eastAsia="es-CO"/>
              </w:rPr>
            </w:pPr>
            <w:r>
              <w:rPr>
                <w:rFonts w:ascii="Century Gothic" w:hAnsi="Century Gothic" w:cs="Segoe UI"/>
                <w:sz w:val="22"/>
                <w:szCs w:val="22"/>
                <w:lang w:eastAsia="es-CO"/>
              </w:rPr>
              <w:t xml:space="preserve">60 </w:t>
            </w:r>
            <w:r w:rsidR="00EF33E8" w:rsidRPr="00BE1A73">
              <w:rPr>
                <w:rFonts w:ascii="Century Gothic" w:hAnsi="Century Gothic" w:cs="Segoe UI"/>
                <w:sz w:val="22"/>
                <w:szCs w:val="22"/>
                <w:lang w:eastAsia="es-CO"/>
              </w:rPr>
              <w:t>SMLMV</w:t>
            </w:r>
          </w:p>
        </w:tc>
      </w:tr>
      <w:tr w:rsidR="00BE1A73" w:rsidRPr="00BE1A73" w14:paraId="2F24D88E" w14:textId="77777777" w:rsidTr="40F7E47C">
        <w:trPr>
          <w:trHeight w:val="454"/>
        </w:trPr>
        <w:tc>
          <w:tcPr>
            <w:tcW w:w="3266" w:type="dxa"/>
            <w:vAlign w:val="center"/>
          </w:tcPr>
          <w:p w14:paraId="0E72F2CD" w14:textId="1A6BE851" w:rsidR="001129B6" w:rsidRPr="007969FC" w:rsidRDefault="001129B6" w:rsidP="007969FC">
            <w:pPr>
              <w:spacing w:line="276" w:lineRule="auto"/>
              <w:jc w:val="both"/>
              <w:textAlignment w:val="baseline"/>
              <w:rPr>
                <w:rFonts w:ascii="Century Gothic" w:hAnsi="Century Gothic"/>
                <w:b/>
                <w:bCs/>
                <w:sz w:val="22"/>
                <w:szCs w:val="22"/>
                <w:shd w:val="clear" w:color="auto" w:fill="FFFFFF"/>
                <w:lang w:eastAsia="es-CO"/>
              </w:rPr>
            </w:pPr>
            <w:r w:rsidRPr="007969FC">
              <w:rPr>
                <w:rFonts w:ascii="Century Gothic" w:hAnsi="Century Gothic"/>
                <w:b/>
                <w:bCs/>
                <w:sz w:val="22"/>
                <w:szCs w:val="22"/>
                <w:shd w:val="clear" w:color="auto" w:fill="FFFFFF"/>
                <w:lang w:eastAsia="es-CO"/>
              </w:rPr>
              <w:t>Audiencia prejudicial</w:t>
            </w:r>
          </w:p>
        </w:tc>
        <w:tc>
          <w:tcPr>
            <w:tcW w:w="6941" w:type="dxa"/>
            <w:vAlign w:val="center"/>
          </w:tcPr>
          <w:p w14:paraId="6AD9587E" w14:textId="75A08323" w:rsidR="001129B6" w:rsidRPr="00BE1A73" w:rsidRDefault="00EF33E8" w:rsidP="007969FC">
            <w:pPr>
              <w:spacing w:line="276" w:lineRule="auto"/>
              <w:jc w:val="both"/>
              <w:rPr>
                <w:rFonts w:ascii="Century Gothic" w:hAnsi="Century Gothic" w:cs="Segoe UI"/>
                <w:sz w:val="22"/>
                <w:szCs w:val="22"/>
                <w:lang w:eastAsia="es-CO"/>
              </w:rPr>
            </w:pPr>
            <w:r>
              <w:rPr>
                <w:rFonts w:ascii="Century Gothic" w:hAnsi="Century Gothic" w:cs="Segoe UI"/>
                <w:sz w:val="22"/>
                <w:szCs w:val="22"/>
                <w:lang w:eastAsia="es-CO"/>
              </w:rPr>
              <w:t xml:space="preserve">SI </w:t>
            </w:r>
          </w:p>
        </w:tc>
      </w:tr>
      <w:tr w:rsidR="00BE1A73" w:rsidRPr="00BE1A73" w14:paraId="658B9E4D" w14:textId="77777777" w:rsidTr="40F7E47C">
        <w:trPr>
          <w:trHeight w:val="454"/>
        </w:trPr>
        <w:tc>
          <w:tcPr>
            <w:tcW w:w="3266" w:type="dxa"/>
            <w:vAlign w:val="center"/>
            <w:hideMark/>
          </w:tcPr>
          <w:p w14:paraId="02377331" w14:textId="79A3F98F" w:rsidR="001C44B4" w:rsidRPr="00BE1A73" w:rsidRDefault="002633C0" w:rsidP="007969FC">
            <w:pPr>
              <w:spacing w:line="276" w:lineRule="auto"/>
              <w:jc w:val="both"/>
              <w:textAlignment w:val="baseline"/>
              <w:rPr>
                <w:rFonts w:ascii="Century Gothic" w:hAnsi="Century Gothic" w:cs="Segoe UI"/>
                <w:sz w:val="22"/>
                <w:szCs w:val="22"/>
                <w:lang w:eastAsia="es-CO"/>
              </w:rPr>
            </w:pPr>
            <w:r w:rsidRPr="007969FC">
              <w:rPr>
                <w:rFonts w:ascii="Century Gothic" w:hAnsi="Century Gothic"/>
                <w:b/>
                <w:bCs/>
                <w:sz w:val="22"/>
                <w:szCs w:val="22"/>
                <w:shd w:val="clear" w:color="auto" w:fill="FFFFFF"/>
                <w:lang w:eastAsia="es-CO"/>
              </w:rPr>
              <w:t>Ofrecimiento previo</w:t>
            </w:r>
          </w:p>
        </w:tc>
        <w:tc>
          <w:tcPr>
            <w:tcW w:w="6941" w:type="dxa"/>
            <w:vAlign w:val="center"/>
          </w:tcPr>
          <w:p w14:paraId="244AD2F4" w14:textId="29D3DA31" w:rsidR="00B21C38" w:rsidRPr="00BE1A73" w:rsidRDefault="0066147C" w:rsidP="007969FC">
            <w:pPr>
              <w:spacing w:line="276" w:lineRule="auto"/>
              <w:jc w:val="both"/>
              <w:rPr>
                <w:rFonts w:ascii="Century Gothic" w:hAnsi="Century Gothic" w:cs="Segoe UI"/>
                <w:sz w:val="22"/>
                <w:szCs w:val="22"/>
                <w:lang w:eastAsia="es-CO"/>
              </w:rPr>
            </w:pPr>
            <w:r>
              <w:rPr>
                <w:rFonts w:ascii="Century Gothic" w:hAnsi="Century Gothic" w:cs="Segoe UI"/>
                <w:sz w:val="22"/>
                <w:szCs w:val="22"/>
                <w:lang w:eastAsia="es-CO"/>
              </w:rPr>
              <w:t xml:space="preserve"> </w:t>
            </w:r>
            <w:r w:rsidR="00EF33E8">
              <w:rPr>
                <w:rFonts w:ascii="Century Gothic" w:hAnsi="Century Gothic" w:cs="Segoe UI"/>
                <w:sz w:val="22"/>
                <w:szCs w:val="22"/>
                <w:lang w:eastAsia="es-CO"/>
              </w:rPr>
              <w:t>$0</w:t>
            </w:r>
          </w:p>
        </w:tc>
      </w:tr>
    </w:tbl>
    <w:p w14:paraId="397A1D68" w14:textId="77777777" w:rsidR="003B44CB" w:rsidRPr="00BE1A73" w:rsidRDefault="003B44CB" w:rsidP="007969FC">
      <w:pPr>
        <w:spacing w:line="276" w:lineRule="auto"/>
        <w:rPr>
          <w:rFonts w:ascii="Century Gothic" w:hAnsi="Century Gothic"/>
          <w:sz w:val="22"/>
          <w:szCs w:val="22"/>
        </w:rPr>
      </w:pPr>
    </w:p>
    <w:p w14:paraId="61F56879" w14:textId="64B175E4" w:rsidR="0095378E" w:rsidRPr="00BE1A73" w:rsidRDefault="0095378E" w:rsidP="007969FC">
      <w:pPr>
        <w:spacing w:line="276" w:lineRule="auto"/>
      </w:pPr>
    </w:p>
    <w:tbl>
      <w:tblPr>
        <w:tblStyle w:val="Tablaconcuadrcula"/>
        <w:tblW w:w="10207" w:type="dxa"/>
        <w:tblInd w:w="-431" w:type="dxa"/>
        <w:tblLook w:val="04A0" w:firstRow="1" w:lastRow="0" w:firstColumn="1" w:lastColumn="0" w:noHBand="0" w:noVBand="1"/>
      </w:tblPr>
      <w:tblGrid>
        <w:gridCol w:w="3687"/>
        <w:gridCol w:w="6520"/>
      </w:tblGrid>
      <w:tr w:rsidR="00BE1A73" w:rsidRPr="00BE1A73" w14:paraId="49B1F103" w14:textId="77777777" w:rsidTr="00BA1E5F">
        <w:tc>
          <w:tcPr>
            <w:tcW w:w="3687" w:type="dxa"/>
          </w:tcPr>
          <w:p w14:paraId="673B76C6" w14:textId="23992614" w:rsidR="002633C0" w:rsidRPr="00BE1A73" w:rsidRDefault="00BA1E5F" w:rsidP="007969FC">
            <w:pPr>
              <w:spacing w:line="276" w:lineRule="auto"/>
              <w:rPr>
                <w:rFonts w:ascii="Century Gothic" w:hAnsi="Century Gothic"/>
                <w:sz w:val="22"/>
                <w:szCs w:val="22"/>
              </w:rPr>
            </w:pPr>
            <w:r w:rsidRPr="00BE1A73">
              <w:rPr>
                <w:rFonts w:ascii="Century Gothic" w:hAnsi="Century Gothic"/>
                <w:b/>
                <w:bCs/>
                <w:sz w:val="22"/>
                <w:szCs w:val="22"/>
              </w:rPr>
              <w:t>Calificación de la contingencia</w:t>
            </w:r>
          </w:p>
        </w:tc>
        <w:tc>
          <w:tcPr>
            <w:tcW w:w="6520" w:type="dxa"/>
          </w:tcPr>
          <w:p w14:paraId="6F4874B3" w14:textId="0A3BC4F0" w:rsidR="002633C0" w:rsidRPr="00BE1A73" w:rsidRDefault="001646BE" w:rsidP="007969FC">
            <w:pPr>
              <w:spacing w:line="276" w:lineRule="auto"/>
              <w:rPr>
                <w:rFonts w:ascii="Century Gothic" w:hAnsi="Century Gothic"/>
                <w:sz w:val="22"/>
                <w:szCs w:val="22"/>
              </w:rPr>
            </w:pPr>
            <w:r>
              <w:rPr>
                <w:rFonts w:ascii="Century Gothic" w:hAnsi="Century Gothic"/>
                <w:sz w:val="22"/>
                <w:szCs w:val="22"/>
              </w:rPr>
              <w:t>PROBABLE</w:t>
            </w:r>
          </w:p>
        </w:tc>
      </w:tr>
      <w:tr w:rsidR="00BE1A73" w:rsidRPr="00BE1A73" w14:paraId="47B026EC" w14:textId="77777777" w:rsidTr="00BA1E5F">
        <w:tc>
          <w:tcPr>
            <w:tcW w:w="3687" w:type="dxa"/>
          </w:tcPr>
          <w:p w14:paraId="4A77CED7" w14:textId="00C97735" w:rsidR="002633C0" w:rsidRPr="00BE1A73" w:rsidRDefault="00BA1E5F" w:rsidP="007969FC">
            <w:pPr>
              <w:spacing w:line="276" w:lineRule="auto"/>
              <w:rPr>
                <w:rFonts w:ascii="Century Gothic" w:hAnsi="Century Gothic"/>
                <w:b/>
                <w:bCs/>
                <w:sz w:val="22"/>
                <w:szCs w:val="22"/>
              </w:rPr>
            </w:pPr>
            <w:r w:rsidRPr="00BE1A73">
              <w:rPr>
                <w:rFonts w:ascii="Century Gothic" w:hAnsi="Century Gothic"/>
                <w:b/>
                <w:bCs/>
                <w:sz w:val="22"/>
                <w:szCs w:val="22"/>
              </w:rPr>
              <w:t xml:space="preserve">Reserva sugerida: </w:t>
            </w:r>
          </w:p>
        </w:tc>
        <w:tc>
          <w:tcPr>
            <w:tcW w:w="6520" w:type="dxa"/>
          </w:tcPr>
          <w:p w14:paraId="7146E445" w14:textId="00D4FE15" w:rsidR="002633C0" w:rsidRPr="00C13976" w:rsidRDefault="00322F9C" w:rsidP="00C13976">
            <w:pPr>
              <w:spacing w:line="276" w:lineRule="auto"/>
              <w:jc w:val="both"/>
              <w:rPr>
                <w:rFonts w:ascii="Century Gothic" w:hAnsi="Century Gothic"/>
                <w:sz w:val="22"/>
                <w:szCs w:val="22"/>
                <w:lang w:val="es-CO"/>
              </w:rPr>
            </w:pPr>
            <w:r w:rsidRPr="00F1294B">
              <w:rPr>
                <w:rFonts w:ascii="Century Gothic" w:hAnsi="Century Gothic"/>
                <w:sz w:val="22"/>
                <w:szCs w:val="22"/>
                <w:lang w:val="es-CO"/>
              </w:rPr>
              <w:t>$</w:t>
            </w:r>
            <w:r w:rsidR="002134BE">
              <w:rPr>
                <w:rFonts w:ascii="Century Gothic" w:hAnsi="Century Gothic"/>
                <w:sz w:val="22"/>
                <w:szCs w:val="22"/>
                <w:lang w:val="es-CO"/>
              </w:rPr>
              <w:t>50.000.000</w:t>
            </w:r>
          </w:p>
        </w:tc>
      </w:tr>
      <w:tr w:rsidR="00BE1A73" w:rsidRPr="00BE1A73" w14:paraId="22F780E0" w14:textId="77777777" w:rsidTr="008B59F4">
        <w:tc>
          <w:tcPr>
            <w:tcW w:w="10207" w:type="dxa"/>
            <w:gridSpan w:val="2"/>
            <w:shd w:val="clear" w:color="auto" w:fill="C5E0B3" w:themeFill="accent6" w:themeFillTint="66"/>
            <w:vAlign w:val="center"/>
          </w:tcPr>
          <w:p w14:paraId="2E984764" w14:textId="51214522" w:rsidR="00BA1E5F" w:rsidRPr="00BE1A73" w:rsidRDefault="00BA1E5F" w:rsidP="007969FC">
            <w:pPr>
              <w:spacing w:line="276" w:lineRule="auto"/>
              <w:jc w:val="center"/>
              <w:rPr>
                <w:rFonts w:ascii="Century Gothic" w:hAnsi="Century Gothic"/>
                <w:sz w:val="22"/>
                <w:szCs w:val="22"/>
              </w:rPr>
            </w:pPr>
            <w:r w:rsidRPr="00BE1A73">
              <w:rPr>
                <w:rFonts w:ascii="Century Gothic" w:hAnsi="Century Gothic"/>
                <w:b/>
                <w:bCs/>
                <w:sz w:val="22"/>
                <w:szCs w:val="22"/>
              </w:rPr>
              <w:t>Concepto del apoderado</w:t>
            </w:r>
          </w:p>
        </w:tc>
      </w:tr>
      <w:tr w:rsidR="00BE1A73" w:rsidRPr="00BE1A73" w14:paraId="4C51FAC2" w14:textId="77777777" w:rsidTr="00BA1E5F">
        <w:trPr>
          <w:trHeight w:val="3401"/>
        </w:trPr>
        <w:tc>
          <w:tcPr>
            <w:tcW w:w="10207" w:type="dxa"/>
            <w:gridSpan w:val="2"/>
            <w:vAlign w:val="center"/>
          </w:tcPr>
          <w:p w14:paraId="361665C8" w14:textId="77777777" w:rsidR="00BD7A54" w:rsidRPr="00BE1A73" w:rsidRDefault="00BD7A54" w:rsidP="007969FC">
            <w:pPr>
              <w:spacing w:line="276" w:lineRule="auto"/>
              <w:jc w:val="both"/>
              <w:rPr>
                <w:lang w:val="es-CO"/>
              </w:rPr>
            </w:pPr>
          </w:p>
          <w:p w14:paraId="3F559527" w14:textId="24DEA10B" w:rsidR="00BD7A54" w:rsidRPr="00BE1A73" w:rsidRDefault="00BD7A54" w:rsidP="007969FC">
            <w:pPr>
              <w:spacing w:line="276" w:lineRule="auto"/>
              <w:jc w:val="both"/>
              <w:rPr>
                <w:rFonts w:ascii="Century Gothic" w:hAnsi="Century Gothic"/>
                <w:sz w:val="22"/>
                <w:szCs w:val="22"/>
                <w:lang w:val="es-CO"/>
              </w:rPr>
            </w:pPr>
            <w:r w:rsidRPr="00BE1A73">
              <w:rPr>
                <w:rFonts w:ascii="Century Gothic" w:hAnsi="Century Gothic"/>
                <w:sz w:val="22"/>
                <w:szCs w:val="22"/>
                <w:lang w:val="es-CO"/>
              </w:rPr>
              <w:t>La contingencia en el presente asunto se califica como</w:t>
            </w:r>
            <w:r w:rsidR="001646BE">
              <w:rPr>
                <w:rFonts w:ascii="Century Gothic" w:hAnsi="Century Gothic"/>
                <w:sz w:val="22"/>
                <w:szCs w:val="22"/>
                <w:lang w:val="es-CO"/>
              </w:rPr>
              <w:t xml:space="preserve"> PROBABLE</w:t>
            </w:r>
            <w:r w:rsidRPr="00BE1A73">
              <w:rPr>
                <w:rFonts w:ascii="Century Gothic" w:hAnsi="Century Gothic"/>
                <w:sz w:val="22"/>
                <w:szCs w:val="22"/>
                <w:lang w:val="es-CO"/>
              </w:rPr>
              <w:t xml:space="preserve">, </w:t>
            </w:r>
            <w:r w:rsidR="00945D2A" w:rsidRPr="00BE1A73">
              <w:rPr>
                <w:rFonts w:ascii="Century Gothic" w:hAnsi="Century Gothic"/>
                <w:sz w:val="22"/>
                <w:szCs w:val="22"/>
                <w:lang w:val="es-CO"/>
              </w:rPr>
              <w:t>toda vez que</w:t>
            </w:r>
            <w:r w:rsidR="00367B7A">
              <w:rPr>
                <w:rFonts w:ascii="Century Gothic" w:hAnsi="Century Gothic"/>
                <w:sz w:val="22"/>
                <w:szCs w:val="22"/>
                <w:lang w:val="es-CO"/>
              </w:rPr>
              <w:t xml:space="preserve">, </w:t>
            </w:r>
            <w:r w:rsidRPr="00BE1A73">
              <w:rPr>
                <w:rFonts w:ascii="Century Gothic" w:hAnsi="Century Gothic"/>
                <w:sz w:val="22"/>
                <w:szCs w:val="22"/>
                <w:lang w:val="es-CO"/>
              </w:rPr>
              <w:t xml:space="preserve">la póliza </w:t>
            </w:r>
            <w:r w:rsidR="00945D2A" w:rsidRPr="00BE1A73">
              <w:rPr>
                <w:rFonts w:ascii="Century Gothic" w:hAnsi="Century Gothic"/>
                <w:sz w:val="22"/>
                <w:szCs w:val="22"/>
                <w:lang w:val="es-CO"/>
              </w:rPr>
              <w:t xml:space="preserve">de Responsabilidad </w:t>
            </w:r>
            <w:r w:rsidR="0066147C">
              <w:rPr>
                <w:rFonts w:ascii="Century Gothic" w:hAnsi="Century Gothic"/>
                <w:sz w:val="22"/>
                <w:szCs w:val="22"/>
                <w:lang w:val="es-CO"/>
              </w:rPr>
              <w:t xml:space="preserve">Civil Extracontractual No. </w:t>
            </w:r>
            <w:r w:rsidRPr="00BE1A73">
              <w:rPr>
                <w:rFonts w:ascii="Century Gothic" w:hAnsi="Century Gothic"/>
                <w:sz w:val="22"/>
                <w:szCs w:val="22"/>
                <w:lang w:val="es-CO"/>
              </w:rPr>
              <w:t>AA0</w:t>
            </w:r>
            <w:r w:rsidR="0066147C">
              <w:rPr>
                <w:rFonts w:ascii="Century Gothic" w:hAnsi="Century Gothic"/>
                <w:sz w:val="22"/>
                <w:szCs w:val="22"/>
                <w:lang w:val="es-CO"/>
              </w:rPr>
              <w:t xml:space="preserve">30117 </w:t>
            </w:r>
            <w:r w:rsidR="00D02179">
              <w:rPr>
                <w:rFonts w:ascii="Century Gothic" w:hAnsi="Century Gothic"/>
                <w:sz w:val="22"/>
                <w:szCs w:val="22"/>
                <w:lang w:val="es-CO"/>
              </w:rPr>
              <w:t xml:space="preserve">presta cobertura temporal </w:t>
            </w:r>
            <w:r w:rsidR="00367B7A">
              <w:rPr>
                <w:rFonts w:ascii="Century Gothic" w:hAnsi="Century Gothic"/>
                <w:sz w:val="22"/>
                <w:szCs w:val="22"/>
                <w:lang w:val="es-CO"/>
              </w:rPr>
              <w:t>y material</w:t>
            </w:r>
            <w:r w:rsidR="005F5B4A">
              <w:rPr>
                <w:rFonts w:ascii="Century Gothic" w:hAnsi="Century Gothic"/>
                <w:sz w:val="22"/>
                <w:szCs w:val="22"/>
                <w:lang w:val="es-CO"/>
              </w:rPr>
              <w:t>. No obstante, dependerá del debate probatorio</w:t>
            </w:r>
            <w:r w:rsidR="0067756E">
              <w:rPr>
                <w:rFonts w:ascii="Century Gothic" w:hAnsi="Century Gothic"/>
                <w:sz w:val="22"/>
                <w:szCs w:val="22"/>
                <w:lang w:val="es-CO"/>
              </w:rPr>
              <w:t xml:space="preserve"> </w:t>
            </w:r>
            <w:r w:rsidR="002502CF">
              <w:rPr>
                <w:rFonts w:ascii="Century Gothic" w:hAnsi="Century Gothic"/>
                <w:sz w:val="22"/>
                <w:szCs w:val="22"/>
                <w:lang w:val="es-CO"/>
              </w:rPr>
              <w:t>acredit</w:t>
            </w:r>
            <w:r w:rsidR="005F5B4A">
              <w:rPr>
                <w:rFonts w:ascii="Century Gothic" w:hAnsi="Century Gothic"/>
                <w:sz w:val="22"/>
                <w:szCs w:val="22"/>
                <w:lang w:val="es-CO"/>
              </w:rPr>
              <w:t>ar</w:t>
            </w:r>
            <w:r w:rsidR="002502CF">
              <w:rPr>
                <w:rFonts w:ascii="Century Gothic" w:hAnsi="Century Gothic"/>
                <w:sz w:val="22"/>
                <w:szCs w:val="22"/>
                <w:lang w:val="es-CO"/>
              </w:rPr>
              <w:t xml:space="preserve"> la responsabilidad civil extracontractual del asegurado.</w:t>
            </w:r>
          </w:p>
          <w:p w14:paraId="14CF40BF" w14:textId="77777777" w:rsidR="00BD7A54" w:rsidRPr="00BE1A73" w:rsidRDefault="00BD7A54" w:rsidP="007969FC">
            <w:pPr>
              <w:spacing w:line="276" w:lineRule="auto"/>
              <w:jc w:val="both"/>
              <w:rPr>
                <w:rFonts w:ascii="Century Gothic" w:hAnsi="Century Gothic"/>
                <w:sz w:val="22"/>
                <w:szCs w:val="22"/>
                <w:lang w:val="es-CO"/>
              </w:rPr>
            </w:pPr>
          </w:p>
          <w:p w14:paraId="5147CD76" w14:textId="3B5AAD45" w:rsidR="00BD7A54" w:rsidRDefault="00811EDC" w:rsidP="007969FC">
            <w:pPr>
              <w:spacing w:line="276" w:lineRule="auto"/>
              <w:jc w:val="both"/>
              <w:rPr>
                <w:rFonts w:ascii="Century Gothic" w:hAnsi="Century Gothic"/>
                <w:sz w:val="22"/>
                <w:szCs w:val="22"/>
                <w:lang w:val="es-CO"/>
              </w:rPr>
            </w:pPr>
            <w:r>
              <w:rPr>
                <w:rFonts w:ascii="Century Gothic" w:hAnsi="Century Gothic"/>
                <w:sz w:val="22"/>
                <w:szCs w:val="22"/>
                <w:lang w:val="es-CO"/>
              </w:rPr>
              <w:t>Lo primero que debe tenerse en consideración es que la compañía fue llamada en garantía por la P</w:t>
            </w:r>
            <w:r w:rsidRPr="00BE1A73">
              <w:rPr>
                <w:rFonts w:ascii="Century Gothic" w:hAnsi="Century Gothic"/>
                <w:sz w:val="22"/>
                <w:szCs w:val="22"/>
                <w:lang w:val="es-CO"/>
              </w:rPr>
              <w:t xml:space="preserve">óliza de Responsabilidad </w:t>
            </w:r>
            <w:r>
              <w:rPr>
                <w:rFonts w:ascii="Century Gothic" w:hAnsi="Century Gothic"/>
                <w:sz w:val="22"/>
                <w:szCs w:val="22"/>
                <w:lang w:val="es-CO"/>
              </w:rPr>
              <w:t xml:space="preserve">Civil Extracontractual No. </w:t>
            </w:r>
            <w:r w:rsidRPr="00BE1A73">
              <w:rPr>
                <w:rFonts w:ascii="Century Gothic" w:hAnsi="Century Gothic"/>
                <w:sz w:val="22"/>
                <w:szCs w:val="22"/>
                <w:lang w:val="es-CO"/>
              </w:rPr>
              <w:t>AA0</w:t>
            </w:r>
            <w:r>
              <w:rPr>
                <w:rFonts w:ascii="Century Gothic" w:hAnsi="Century Gothic"/>
                <w:sz w:val="22"/>
                <w:szCs w:val="22"/>
                <w:lang w:val="es-CO"/>
              </w:rPr>
              <w:t>30117 y la Póliza</w:t>
            </w:r>
            <w:r w:rsidRPr="000F37DD">
              <w:rPr>
                <w:rFonts w:ascii="Century Gothic" w:hAnsi="Century Gothic"/>
                <w:sz w:val="22"/>
                <w:szCs w:val="22"/>
              </w:rPr>
              <w:t xml:space="preserve"> </w:t>
            </w:r>
            <w:r>
              <w:rPr>
                <w:rFonts w:ascii="Century Gothic" w:hAnsi="Century Gothic"/>
                <w:sz w:val="22"/>
                <w:szCs w:val="22"/>
              </w:rPr>
              <w:t xml:space="preserve">de R. Civil Contractual </w:t>
            </w:r>
            <w:r w:rsidRPr="000F37DD">
              <w:rPr>
                <w:rFonts w:ascii="Century Gothic" w:hAnsi="Century Gothic"/>
                <w:sz w:val="22"/>
                <w:szCs w:val="22"/>
              </w:rPr>
              <w:t xml:space="preserve">No. </w:t>
            </w:r>
            <w:r>
              <w:rPr>
                <w:rFonts w:ascii="Century Gothic" w:hAnsi="Century Gothic"/>
                <w:sz w:val="22"/>
                <w:szCs w:val="22"/>
              </w:rPr>
              <w:t>AA030116. Respecto de la</w:t>
            </w:r>
            <w:r>
              <w:rPr>
                <w:rFonts w:ascii="Century Gothic" w:hAnsi="Century Gothic"/>
                <w:sz w:val="22"/>
                <w:szCs w:val="22"/>
                <w:lang w:val="es-CO"/>
              </w:rPr>
              <w:t xml:space="preserve"> P</w:t>
            </w:r>
            <w:r w:rsidRPr="00BE1A73">
              <w:rPr>
                <w:rFonts w:ascii="Century Gothic" w:hAnsi="Century Gothic"/>
                <w:sz w:val="22"/>
                <w:szCs w:val="22"/>
                <w:lang w:val="es-CO"/>
              </w:rPr>
              <w:t xml:space="preserve">óliza de Responsabilidad </w:t>
            </w:r>
            <w:r>
              <w:rPr>
                <w:rFonts w:ascii="Century Gothic" w:hAnsi="Century Gothic"/>
                <w:sz w:val="22"/>
                <w:szCs w:val="22"/>
                <w:lang w:val="es-CO"/>
              </w:rPr>
              <w:t xml:space="preserve">Civil Extracontractual No. </w:t>
            </w:r>
            <w:r w:rsidRPr="00BE1A73">
              <w:rPr>
                <w:rFonts w:ascii="Century Gothic" w:hAnsi="Century Gothic"/>
                <w:sz w:val="22"/>
                <w:szCs w:val="22"/>
                <w:lang w:val="es-CO"/>
              </w:rPr>
              <w:t>AA0</w:t>
            </w:r>
            <w:r>
              <w:rPr>
                <w:rFonts w:ascii="Century Gothic" w:hAnsi="Century Gothic"/>
                <w:sz w:val="22"/>
                <w:szCs w:val="22"/>
                <w:lang w:val="es-CO"/>
              </w:rPr>
              <w:t xml:space="preserve">30117 debe advertirse que esta presta </w:t>
            </w:r>
            <w:r w:rsidR="00BD7A54" w:rsidRPr="00BE1A73">
              <w:rPr>
                <w:rFonts w:ascii="Century Gothic" w:hAnsi="Century Gothic"/>
                <w:sz w:val="22"/>
                <w:szCs w:val="22"/>
                <w:lang w:val="es-CO"/>
              </w:rPr>
              <w:t>cobertura temporal y material</w:t>
            </w:r>
            <w:r>
              <w:rPr>
                <w:rFonts w:ascii="Century Gothic" w:hAnsi="Century Gothic"/>
                <w:sz w:val="22"/>
                <w:szCs w:val="22"/>
                <w:lang w:val="es-CO"/>
              </w:rPr>
              <w:t>. F</w:t>
            </w:r>
            <w:r w:rsidR="00D02179">
              <w:rPr>
                <w:rFonts w:ascii="Century Gothic" w:hAnsi="Century Gothic"/>
                <w:sz w:val="22"/>
                <w:szCs w:val="22"/>
                <w:lang w:val="es-CO"/>
              </w:rPr>
              <w:t>rente a la cobertura temporal, téngase en cuenta que la póliza tuvo una vigencia pactada entre el 19 de julio de 2014 y el 19 de julio de 2015 y los hechos ocurrieron el 01 de noviembre de 2014, es decir, dentro del periodo de vigencia de la póliza</w:t>
            </w:r>
            <w:r w:rsidR="00367B7A">
              <w:rPr>
                <w:rFonts w:ascii="Century Gothic" w:hAnsi="Century Gothic"/>
                <w:sz w:val="22"/>
                <w:szCs w:val="22"/>
                <w:lang w:val="es-CO"/>
              </w:rPr>
              <w:t xml:space="preserve"> en su modalidad “</w:t>
            </w:r>
            <w:r w:rsidR="00367B7A" w:rsidRPr="00F1294B">
              <w:rPr>
                <w:rFonts w:ascii="Century Gothic" w:hAnsi="Century Gothic"/>
                <w:i/>
                <w:iCs/>
                <w:sz w:val="22"/>
                <w:szCs w:val="22"/>
                <w:lang w:val="es-CO"/>
              </w:rPr>
              <w:t>ocurrencia</w:t>
            </w:r>
            <w:r w:rsidR="00367B7A">
              <w:rPr>
                <w:rFonts w:ascii="Century Gothic" w:hAnsi="Century Gothic"/>
                <w:sz w:val="22"/>
                <w:szCs w:val="22"/>
                <w:lang w:val="es-CO"/>
              </w:rPr>
              <w:t>”</w:t>
            </w:r>
            <w:r w:rsidR="00D02179">
              <w:rPr>
                <w:rFonts w:ascii="Century Gothic" w:hAnsi="Century Gothic"/>
                <w:sz w:val="22"/>
                <w:szCs w:val="22"/>
                <w:lang w:val="es-CO"/>
              </w:rPr>
              <w:t xml:space="preserve">. </w:t>
            </w:r>
            <w:r w:rsidR="00367B7A">
              <w:rPr>
                <w:rFonts w:ascii="Century Gothic" w:hAnsi="Century Gothic"/>
                <w:sz w:val="22"/>
                <w:szCs w:val="22"/>
                <w:lang w:val="es-CO"/>
              </w:rPr>
              <w:t xml:space="preserve">Respecto de la </w:t>
            </w:r>
            <w:r w:rsidR="00D02179">
              <w:rPr>
                <w:rFonts w:ascii="Century Gothic" w:hAnsi="Century Gothic"/>
                <w:sz w:val="22"/>
                <w:szCs w:val="22"/>
                <w:lang w:val="es-CO"/>
              </w:rPr>
              <w:t xml:space="preserve">cobertura material </w:t>
            </w:r>
            <w:r w:rsidR="00367B7A">
              <w:rPr>
                <w:rFonts w:ascii="Century Gothic" w:hAnsi="Century Gothic"/>
                <w:sz w:val="22"/>
                <w:szCs w:val="22"/>
                <w:lang w:val="es-CO"/>
              </w:rPr>
              <w:t>debe decirse que, est</w:t>
            </w:r>
            <w:r w:rsidR="008D13BD">
              <w:rPr>
                <w:rFonts w:ascii="Century Gothic" w:hAnsi="Century Gothic"/>
                <w:sz w:val="22"/>
                <w:szCs w:val="22"/>
                <w:lang w:val="es-CO"/>
              </w:rPr>
              <w:t>e seguro</w:t>
            </w:r>
            <w:r w:rsidR="00367B7A">
              <w:rPr>
                <w:rFonts w:ascii="Century Gothic" w:hAnsi="Century Gothic"/>
                <w:sz w:val="22"/>
                <w:szCs w:val="22"/>
                <w:lang w:val="es-CO"/>
              </w:rPr>
              <w:t xml:space="preserve"> cuenta con un amparo de Responsabilidad </w:t>
            </w:r>
            <w:r w:rsidR="00FD1467">
              <w:rPr>
                <w:rFonts w:ascii="Century Gothic" w:hAnsi="Century Gothic"/>
                <w:sz w:val="22"/>
                <w:szCs w:val="22"/>
                <w:lang w:val="es-CO"/>
              </w:rPr>
              <w:t>Civil</w:t>
            </w:r>
            <w:r w:rsidR="008D13BD">
              <w:rPr>
                <w:rFonts w:ascii="Century Gothic" w:hAnsi="Century Gothic"/>
                <w:sz w:val="22"/>
                <w:szCs w:val="22"/>
                <w:lang w:val="es-CO"/>
              </w:rPr>
              <w:t xml:space="preserve">, responsabilidad que </w:t>
            </w:r>
            <w:r w:rsidR="008D13BD" w:rsidRPr="008D13BD">
              <w:rPr>
                <w:rFonts w:ascii="Century Gothic" w:hAnsi="Century Gothic"/>
                <w:sz w:val="22"/>
                <w:szCs w:val="22"/>
                <w:lang w:val="es-CO"/>
              </w:rPr>
              <w:t>se pretende con la demanda</w:t>
            </w:r>
            <w:r w:rsidR="00E61830">
              <w:rPr>
                <w:rFonts w:ascii="Century Gothic" w:hAnsi="Century Gothic"/>
                <w:sz w:val="22"/>
                <w:szCs w:val="22"/>
                <w:lang w:val="es-CO"/>
              </w:rPr>
              <w:t>.</w:t>
            </w:r>
          </w:p>
          <w:p w14:paraId="727AFB2C" w14:textId="77777777" w:rsidR="000F37DD" w:rsidRDefault="000F37DD" w:rsidP="007969FC">
            <w:pPr>
              <w:spacing w:line="276" w:lineRule="auto"/>
              <w:jc w:val="both"/>
              <w:rPr>
                <w:rFonts w:ascii="Century Gothic" w:hAnsi="Century Gothic"/>
                <w:sz w:val="22"/>
                <w:szCs w:val="22"/>
                <w:lang w:val="es-CO"/>
              </w:rPr>
            </w:pPr>
          </w:p>
          <w:p w14:paraId="0667196F" w14:textId="6F48BF62" w:rsidR="000F37DD" w:rsidRDefault="000F37DD" w:rsidP="007969FC">
            <w:pPr>
              <w:spacing w:line="276" w:lineRule="auto"/>
              <w:jc w:val="both"/>
              <w:rPr>
                <w:rFonts w:ascii="Century Gothic" w:hAnsi="Century Gothic"/>
                <w:sz w:val="22"/>
                <w:szCs w:val="22"/>
                <w:lang w:val="es-CO"/>
              </w:rPr>
            </w:pPr>
            <w:r w:rsidRPr="000F37DD">
              <w:rPr>
                <w:rFonts w:ascii="Century Gothic" w:hAnsi="Century Gothic"/>
                <w:sz w:val="22"/>
                <w:szCs w:val="22"/>
              </w:rPr>
              <w:t xml:space="preserve">Finalmente, frente a la póliza </w:t>
            </w:r>
            <w:r>
              <w:rPr>
                <w:rFonts w:ascii="Century Gothic" w:hAnsi="Century Gothic"/>
                <w:sz w:val="22"/>
                <w:szCs w:val="22"/>
              </w:rPr>
              <w:t xml:space="preserve">de R. Civil Contractual </w:t>
            </w:r>
            <w:r w:rsidRPr="000F37DD">
              <w:rPr>
                <w:rFonts w:ascii="Century Gothic" w:hAnsi="Century Gothic"/>
                <w:sz w:val="22"/>
                <w:szCs w:val="22"/>
              </w:rPr>
              <w:t xml:space="preserve">No. </w:t>
            </w:r>
            <w:r>
              <w:rPr>
                <w:rFonts w:ascii="Century Gothic" w:hAnsi="Century Gothic"/>
                <w:sz w:val="22"/>
                <w:szCs w:val="22"/>
              </w:rPr>
              <w:t>AA030116</w:t>
            </w:r>
            <w:r w:rsidRPr="000F37DD">
              <w:rPr>
                <w:rFonts w:ascii="Century Gothic" w:hAnsi="Century Gothic"/>
                <w:sz w:val="22"/>
                <w:szCs w:val="22"/>
              </w:rPr>
              <w:t xml:space="preserve">, esta presta cobertura temporal, pero no presta cobertura material. Respecto a la cobertura temporal, debe señalarse que estuvo vigente entre el </w:t>
            </w:r>
            <w:r w:rsidR="00AE2B15">
              <w:rPr>
                <w:rFonts w:ascii="Century Gothic" w:hAnsi="Century Gothic"/>
                <w:sz w:val="22"/>
                <w:szCs w:val="22"/>
              </w:rPr>
              <w:t>19 de julio de 2014</w:t>
            </w:r>
            <w:r w:rsidRPr="000F37DD">
              <w:rPr>
                <w:rFonts w:ascii="Century Gothic" w:hAnsi="Century Gothic"/>
                <w:sz w:val="22"/>
                <w:szCs w:val="22"/>
              </w:rPr>
              <w:t xml:space="preserve"> y el </w:t>
            </w:r>
            <w:r w:rsidR="00AE2B15">
              <w:rPr>
                <w:rFonts w:ascii="Century Gothic" w:hAnsi="Century Gothic"/>
                <w:sz w:val="22"/>
                <w:szCs w:val="22"/>
              </w:rPr>
              <w:t>19 de julio de 2025</w:t>
            </w:r>
            <w:r w:rsidRPr="000F37DD">
              <w:rPr>
                <w:rFonts w:ascii="Century Gothic" w:hAnsi="Century Gothic"/>
                <w:sz w:val="22"/>
                <w:szCs w:val="22"/>
              </w:rPr>
              <w:t xml:space="preserve">, y el accidente acaeció el </w:t>
            </w:r>
            <w:r w:rsidR="00AE2B15">
              <w:rPr>
                <w:rFonts w:ascii="Century Gothic" w:hAnsi="Century Gothic"/>
                <w:sz w:val="22"/>
                <w:szCs w:val="22"/>
                <w:lang w:val="es-CO"/>
              </w:rPr>
              <w:t>01 de noviembre de 2014</w:t>
            </w:r>
            <w:r w:rsidRPr="000F37DD">
              <w:rPr>
                <w:rFonts w:ascii="Century Gothic" w:hAnsi="Century Gothic"/>
                <w:sz w:val="22"/>
                <w:szCs w:val="22"/>
              </w:rPr>
              <w:t xml:space="preserve">, es decir, dentro de la vigencia de la póliza. Sin embargo, no presta cobertura material para los hechos materia de litigio pues según el condicionado general esta solo ampara la muerte, lesiones personales y/o daños causados </w:t>
            </w:r>
            <w:r w:rsidR="00AE2B15">
              <w:rPr>
                <w:rFonts w:ascii="Century Gothic" w:hAnsi="Century Gothic"/>
                <w:sz w:val="22"/>
                <w:szCs w:val="22"/>
              </w:rPr>
              <w:t>a pasajeros</w:t>
            </w:r>
            <w:r w:rsidRPr="000F37DD">
              <w:rPr>
                <w:rFonts w:ascii="Century Gothic" w:hAnsi="Century Gothic"/>
                <w:sz w:val="22"/>
                <w:szCs w:val="22"/>
              </w:rPr>
              <w:t xml:space="preserve"> transportados y el hecho que da base a la acción tiene como fuente </w:t>
            </w:r>
            <w:r w:rsidR="00AE2B15">
              <w:rPr>
                <w:rFonts w:ascii="Century Gothic" w:hAnsi="Century Gothic"/>
                <w:sz w:val="22"/>
                <w:szCs w:val="22"/>
              </w:rPr>
              <w:t xml:space="preserve">unas lesiones a quien no ostentaba dicha calidad de pasajera. </w:t>
            </w:r>
          </w:p>
          <w:p w14:paraId="4168F91B" w14:textId="77777777" w:rsidR="00BD7A54" w:rsidRPr="00BE1A73" w:rsidRDefault="00BD7A54" w:rsidP="007969FC">
            <w:pPr>
              <w:spacing w:line="276" w:lineRule="auto"/>
              <w:jc w:val="both"/>
              <w:rPr>
                <w:rFonts w:ascii="Century Gothic" w:hAnsi="Century Gothic"/>
                <w:sz w:val="22"/>
                <w:szCs w:val="22"/>
                <w:lang w:val="es-CO"/>
              </w:rPr>
            </w:pPr>
          </w:p>
          <w:p w14:paraId="1048B605" w14:textId="77777777" w:rsidR="00F35F7E" w:rsidRDefault="00226EF5" w:rsidP="007969FC">
            <w:pPr>
              <w:spacing w:line="276" w:lineRule="auto"/>
              <w:jc w:val="both"/>
              <w:rPr>
                <w:rFonts w:ascii="Century Gothic" w:hAnsi="Century Gothic"/>
                <w:i/>
                <w:iCs/>
                <w:sz w:val="22"/>
                <w:szCs w:val="22"/>
                <w:lang w:val="es-CO"/>
              </w:rPr>
            </w:pPr>
            <w:r>
              <w:rPr>
                <w:rFonts w:ascii="Century Gothic" w:hAnsi="Century Gothic"/>
                <w:sz w:val="22"/>
                <w:szCs w:val="22"/>
                <w:lang w:val="es-CO"/>
              </w:rPr>
              <w:t>En</w:t>
            </w:r>
            <w:r w:rsidR="00D02179">
              <w:rPr>
                <w:rFonts w:ascii="Century Gothic" w:hAnsi="Century Gothic"/>
                <w:sz w:val="22"/>
                <w:szCs w:val="22"/>
                <w:lang w:val="es-CO"/>
              </w:rPr>
              <w:t xml:space="preserve"> lo que respecta a la responsabilidad del asegurado, </w:t>
            </w:r>
            <w:r w:rsidR="00AE2B15">
              <w:rPr>
                <w:rFonts w:ascii="Century Gothic" w:hAnsi="Century Gothic"/>
                <w:sz w:val="22"/>
                <w:szCs w:val="22"/>
                <w:lang w:val="es-CO"/>
              </w:rPr>
              <w:t xml:space="preserve">debe decirse que </w:t>
            </w:r>
            <w:r w:rsidR="00901FEC">
              <w:rPr>
                <w:rFonts w:ascii="Century Gothic" w:hAnsi="Century Gothic"/>
                <w:sz w:val="22"/>
                <w:szCs w:val="22"/>
                <w:lang w:val="es-CO"/>
              </w:rPr>
              <w:t xml:space="preserve">dependerá del debate probatorio </w:t>
            </w:r>
            <w:r w:rsidR="00AE2B15">
              <w:rPr>
                <w:rFonts w:ascii="Century Gothic" w:hAnsi="Century Gothic"/>
                <w:sz w:val="22"/>
                <w:szCs w:val="22"/>
                <w:lang w:val="es-CO"/>
              </w:rPr>
              <w:t>acredita</w:t>
            </w:r>
            <w:r w:rsidR="00901FEC">
              <w:rPr>
                <w:rFonts w:ascii="Century Gothic" w:hAnsi="Century Gothic"/>
                <w:sz w:val="22"/>
                <w:szCs w:val="22"/>
                <w:lang w:val="es-CO"/>
              </w:rPr>
              <w:t>r la misma,</w:t>
            </w:r>
            <w:r w:rsidR="00AE2B15">
              <w:rPr>
                <w:rFonts w:ascii="Century Gothic" w:hAnsi="Century Gothic"/>
                <w:sz w:val="22"/>
                <w:szCs w:val="22"/>
                <w:lang w:val="es-CO"/>
              </w:rPr>
              <w:t xml:space="preserve"> en razón a que</w:t>
            </w:r>
            <w:r w:rsidR="00047BB0">
              <w:rPr>
                <w:rFonts w:ascii="Century Gothic" w:hAnsi="Century Gothic"/>
                <w:sz w:val="22"/>
                <w:szCs w:val="22"/>
                <w:lang w:val="es-CO"/>
              </w:rPr>
              <w:t xml:space="preserve"> si bien </w:t>
            </w:r>
            <w:r w:rsidR="00AE2B15">
              <w:rPr>
                <w:rFonts w:ascii="Century Gothic" w:hAnsi="Century Gothic"/>
                <w:sz w:val="22"/>
                <w:szCs w:val="22"/>
                <w:lang w:val="es-CO"/>
              </w:rPr>
              <w:t xml:space="preserve"> se allegó con los anexos de la demanda</w:t>
            </w:r>
            <w:r w:rsidR="005F5B4A">
              <w:rPr>
                <w:rFonts w:ascii="Century Gothic" w:hAnsi="Century Gothic"/>
                <w:sz w:val="22"/>
                <w:szCs w:val="22"/>
                <w:lang w:val="es-CO"/>
              </w:rPr>
              <w:t>,</w:t>
            </w:r>
            <w:r w:rsidR="00AE2B15">
              <w:rPr>
                <w:rFonts w:ascii="Century Gothic" w:hAnsi="Century Gothic"/>
                <w:sz w:val="22"/>
                <w:szCs w:val="22"/>
                <w:lang w:val="es-CO"/>
              </w:rPr>
              <w:t xml:space="preserve"> Historia Clínica de Clínica León del 01 de noviembre de 2014 en la que se describe </w:t>
            </w:r>
            <w:r w:rsidR="00AE2B15" w:rsidRPr="00F1294B">
              <w:rPr>
                <w:rFonts w:ascii="Century Gothic" w:hAnsi="Century Gothic"/>
                <w:i/>
                <w:iCs/>
                <w:sz w:val="22"/>
                <w:szCs w:val="22"/>
                <w:lang w:val="es-CO"/>
              </w:rPr>
              <w:t>“Se certifica que la causa de los daños sufridos por la persona fue un accidente de tránsito – la golpeó un bus y se rodó por un barranco”</w:t>
            </w:r>
            <w:r w:rsidR="00047BB0">
              <w:rPr>
                <w:rFonts w:ascii="Century Gothic" w:hAnsi="Century Gothic"/>
                <w:sz w:val="22"/>
                <w:szCs w:val="22"/>
                <w:lang w:val="es-CO"/>
              </w:rPr>
              <w:t xml:space="preserve"> y</w:t>
            </w:r>
            <w:r w:rsidR="00AE2B15">
              <w:rPr>
                <w:rFonts w:ascii="Century Gothic" w:hAnsi="Century Gothic"/>
                <w:sz w:val="22"/>
                <w:szCs w:val="22"/>
                <w:lang w:val="es-CO"/>
              </w:rPr>
              <w:t xml:space="preserve"> se allegó Resolución 2015050256 del 16 de junio de 2015 en el que se describe declaración tanto del conductor como de la peatón</w:t>
            </w:r>
            <w:r w:rsidR="00047BB0">
              <w:rPr>
                <w:rFonts w:ascii="Century Gothic" w:hAnsi="Century Gothic"/>
                <w:sz w:val="22"/>
                <w:szCs w:val="22"/>
                <w:lang w:val="es-CO"/>
              </w:rPr>
              <w:t>, en donde</w:t>
            </w:r>
            <w:r w:rsidR="00AE2B15">
              <w:rPr>
                <w:rFonts w:ascii="Century Gothic" w:hAnsi="Century Gothic"/>
                <w:sz w:val="22"/>
                <w:szCs w:val="22"/>
                <w:lang w:val="es-CO"/>
              </w:rPr>
              <w:t xml:space="preserve"> la peatón narró: “</w:t>
            </w:r>
            <w:r w:rsidR="00AE2B15" w:rsidRPr="00F1294B">
              <w:rPr>
                <w:rFonts w:ascii="Century Gothic" w:hAnsi="Century Gothic"/>
                <w:i/>
                <w:iCs/>
                <w:sz w:val="22"/>
                <w:szCs w:val="22"/>
                <w:lang w:val="es-CO"/>
              </w:rPr>
              <w:t>(…) nos pasamos por la parte de adelante del vehículo, le pusimos las manos, él nos paró y nos pasamos por la parte de adelante, estábamos muy al borde del abismo y el señor conductor arranco y me desestabilizó</w:t>
            </w:r>
            <w:r>
              <w:rPr>
                <w:rFonts w:ascii="Century Gothic" w:hAnsi="Century Gothic"/>
                <w:i/>
                <w:iCs/>
                <w:sz w:val="22"/>
                <w:szCs w:val="22"/>
                <w:lang w:val="es-CO"/>
              </w:rPr>
              <w:t>.</w:t>
            </w:r>
          </w:p>
          <w:p w14:paraId="2EEC42A5" w14:textId="77777777" w:rsidR="00F35F7E" w:rsidRDefault="00F35F7E" w:rsidP="007969FC">
            <w:pPr>
              <w:spacing w:line="276" w:lineRule="auto"/>
              <w:jc w:val="both"/>
              <w:rPr>
                <w:rFonts w:ascii="Century Gothic" w:hAnsi="Century Gothic"/>
                <w:i/>
                <w:iCs/>
                <w:sz w:val="22"/>
                <w:szCs w:val="22"/>
                <w:lang w:val="es-CO"/>
              </w:rPr>
            </w:pPr>
          </w:p>
          <w:p w14:paraId="0B6A5F86" w14:textId="77777777" w:rsidR="00F35F7E" w:rsidRDefault="00226EF5" w:rsidP="007969FC">
            <w:pPr>
              <w:spacing w:line="276" w:lineRule="auto"/>
              <w:jc w:val="both"/>
              <w:rPr>
                <w:rFonts w:ascii="Century Gothic" w:hAnsi="Century Gothic"/>
                <w:sz w:val="22"/>
                <w:szCs w:val="22"/>
                <w:lang w:val="es-CO"/>
              </w:rPr>
            </w:pPr>
            <w:r>
              <w:rPr>
                <w:rFonts w:ascii="Century Gothic" w:hAnsi="Century Gothic"/>
                <w:i/>
                <w:iCs/>
                <w:sz w:val="22"/>
                <w:szCs w:val="22"/>
                <w:lang w:val="es-CO"/>
              </w:rPr>
              <w:t xml:space="preserve"> </w:t>
            </w:r>
            <w:r w:rsidR="0003508F" w:rsidRPr="00FF797E">
              <w:rPr>
                <w:rFonts w:ascii="Century Gothic" w:hAnsi="Century Gothic"/>
                <w:sz w:val="22"/>
                <w:szCs w:val="22"/>
                <w:lang w:val="es-CO"/>
              </w:rPr>
              <w:t>Lo cierto es que</w:t>
            </w:r>
            <w:r w:rsidR="0003508F">
              <w:rPr>
                <w:rFonts w:ascii="Century Gothic" w:hAnsi="Century Gothic"/>
                <w:sz w:val="22"/>
                <w:szCs w:val="22"/>
                <w:lang w:val="es-CO"/>
              </w:rPr>
              <w:t>, dentro del expediente se evidencia el Informe Policial de Accidente de Tránsito No. A000110537, el cual codificó a la peatón con la hipótesis probable No. 409 “Cruzar sin observar”. No obstante, el mismo fue relacionado como prueba en la</w:t>
            </w:r>
            <w:r w:rsidR="0067756E">
              <w:rPr>
                <w:rFonts w:ascii="Century Gothic" w:hAnsi="Century Gothic"/>
                <w:sz w:val="22"/>
                <w:szCs w:val="22"/>
                <w:lang w:val="es-CO"/>
              </w:rPr>
              <w:t xml:space="preserve"> Resolución </w:t>
            </w:r>
            <w:r w:rsidR="0003508F">
              <w:rPr>
                <w:rFonts w:ascii="Century Gothic" w:hAnsi="Century Gothic"/>
                <w:sz w:val="22"/>
                <w:szCs w:val="22"/>
                <w:lang w:val="es-CO"/>
              </w:rPr>
              <w:t xml:space="preserve">2015050256 y </w:t>
            </w:r>
            <w:r w:rsidR="0067756E">
              <w:rPr>
                <w:rFonts w:ascii="Century Gothic" w:hAnsi="Century Gothic"/>
                <w:sz w:val="22"/>
                <w:szCs w:val="22"/>
                <w:lang w:val="es-CO"/>
              </w:rPr>
              <w:t xml:space="preserve">se concluyó que no </w:t>
            </w:r>
            <w:r w:rsidR="00741663">
              <w:rPr>
                <w:rFonts w:ascii="Century Gothic" w:hAnsi="Century Gothic"/>
                <w:sz w:val="22"/>
                <w:szCs w:val="22"/>
                <w:lang w:val="es-CO"/>
              </w:rPr>
              <w:t>sería posible i</w:t>
            </w:r>
            <w:r w:rsidR="00D465AF">
              <w:rPr>
                <w:rFonts w:ascii="Century Gothic" w:hAnsi="Century Gothic"/>
                <w:sz w:val="22"/>
                <w:szCs w:val="22"/>
                <w:lang w:val="es-CO"/>
              </w:rPr>
              <w:t>mputar responsabilidad</w:t>
            </w:r>
            <w:r w:rsidR="009D3C28">
              <w:rPr>
                <w:rFonts w:ascii="Century Gothic" w:hAnsi="Century Gothic"/>
                <w:sz w:val="22"/>
                <w:szCs w:val="22"/>
                <w:lang w:val="es-CO"/>
              </w:rPr>
              <w:t xml:space="preserve"> en materia contravencional</w:t>
            </w:r>
            <w:r w:rsidR="00A05CC3">
              <w:rPr>
                <w:rFonts w:ascii="Century Gothic" w:hAnsi="Century Gothic"/>
                <w:sz w:val="22"/>
                <w:szCs w:val="22"/>
                <w:lang w:val="es-CO"/>
              </w:rPr>
              <w:t xml:space="preserve"> debido a que no contó con los suficiente</w:t>
            </w:r>
            <w:r w:rsidR="00CF45A8">
              <w:rPr>
                <w:rFonts w:ascii="Century Gothic" w:hAnsi="Century Gothic"/>
                <w:sz w:val="22"/>
                <w:szCs w:val="22"/>
                <w:lang w:val="es-CO"/>
              </w:rPr>
              <w:t>s</w:t>
            </w:r>
            <w:r w:rsidR="00A05CC3">
              <w:rPr>
                <w:rFonts w:ascii="Century Gothic" w:hAnsi="Century Gothic"/>
                <w:sz w:val="22"/>
                <w:szCs w:val="22"/>
                <w:lang w:val="es-CO"/>
              </w:rPr>
              <w:t xml:space="preserve"> elemento</w:t>
            </w:r>
            <w:r w:rsidR="00A719EB">
              <w:rPr>
                <w:rFonts w:ascii="Century Gothic" w:hAnsi="Century Gothic"/>
                <w:sz w:val="22"/>
                <w:szCs w:val="22"/>
                <w:lang w:val="es-CO"/>
              </w:rPr>
              <w:t>s</w:t>
            </w:r>
            <w:r w:rsidR="00A05CC3">
              <w:rPr>
                <w:rFonts w:ascii="Century Gothic" w:hAnsi="Century Gothic"/>
                <w:sz w:val="22"/>
                <w:szCs w:val="22"/>
                <w:lang w:val="es-CO"/>
              </w:rPr>
              <w:t xml:space="preserve"> de juicio</w:t>
            </w:r>
            <w:r w:rsidR="00CF45A8">
              <w:rPr>
                <w:rFonts w:ascii="Century Gothic" w:hAnsi="Century Gothic"/>
                <w:sz w:val="22"/>
                <w:szCs w:val="22"/>
                <w:lang w:val="es-CO"/>
              </w:rPr>
              <w:t xml:space="preserve"> para endilgar la responsabilidad</w:t>
            </w:r>
            <w:r w:rsidR="0003508F">
              <w:rPr>
                <w:rFonts w:ascii="Century Gothic" w:hAnsi="Century Gothic"/>
                <w:sz w:val="22"/>
                <w:szCs w:val="22"/>
                <w:lang w:val="es-CO"/>
              </w:rPr>
              <w:t>, sin tener en consideración la codificación en mención</w:t>
            </w:r>
            <w:r w:rsidR="00A05CC3">
              <w:rPr>
                <w:rFonts w:ascii="Century Gothic" w:hAnsi="Century Gothic"/>
                <w:sz w:val="22"/>
                <w:szCs w:val="22"/>
                <w:lang w:val="es-CO"/>
              </w:rPr>
              <w:t>.</w:t>
            </w:r>
            <w:r w:rsidR="009D3C28">
              <w:rPr>
                <w:rFonts w:ascii="Century Gothic" w:hAnsi="Century Gothic"/>
                <w:sz w:val="22"/>
                <w:szCs w:val="22"/>
                <w:lang w:val="es-CO"/>
              </w:rPr>
              <w:t xml:space="preserve"> </w:t>
            </w:r>
          </w:p>
          <w:p w14:paraId="35A8F44E" w14:textId="77777777" w:rsidR="00F35F7E" w:rsidRDefault="00F35F7E" w:rsidP="007969FC">
            <w:pPr>
              <w:spacing w:line="276" w:lineRule="auto"/>
              <w:jc w:val="both"/>
              <w:rPr>
                <w:rFonts w:ascii="Century Gothic" w:hAnsi="Century Gothic"/>
                <w:sz w:val="22"/>
                <w:szCs w:val="22"/>
                <w:lang w:val="es-CO"/>
              </w:rPr>
            </w:pPr>
          </w:p>
          <w:p w14:paraId="128DCE63" w14:textId="0ADF5ABE" w:rsidR="00BA1E5F" w:rsidRDefault="00A719EB" w:rsidP="007969FC">
            <w:pPr>
              <w:spacing w:line="276" w:lineRule="auto"/>
              <w:jc w:val="both"/>
              <w:rPr>
                <w:rFonts w:ascii="Century Gothic" w:hAnsi="Century Gothic"/>
                <w:sz w:val="22"/>
                <w:szCs w:val="22"/>
                <w:lang w:val="es-CO"/>
              </w:rPr>
            </w:pPr>
            <w:r>
              <w:rPr>
                <w:rFonts w:ascii="Century Gothic" w:hAnsi="Century Gothic"/>
                <w:sz w:val="22"/>
                <w:szCs w:val="22"/>
                <w:lang w:val="es-CO"/>
              </w:rPr>
              <w:t>Sin perjuicio de lo anterior, es menester señalar que</w:t>
            </w:r>
            <w:r w:rsidR="00D15FAA">
              <w:rPr>
                <w:rFonts w:ascii="Century Gothic" w:hAnsi="Century Gothic"/>
                <w:sz w:val="22"/>
                <w:szCs w:val="22"/>
                <w:lang w:val="es-CO"/>
              </w:rPr>
              <w:t xml:space="preserve"> </w:t>
            </w:r>
            <w:r>
              <w:rPr>
                <w:rFonts w:ascii="Century Gothic" w:hAnsi="Century Gothic"/>
                <w:sz w:val="22"/>
                <w:szCs w:val="22"/>
                <w:lang w:val="es-CO"/>
              </w:rPr>
              <w:t xml:space="preserve"> </w:t>
            </w:r>
            <w:r w:rsidR="00D02179">
              <w:rPr>
                <w:rFonts w:ascii="Century Gothic" w:hAnsi="Century Gothic"/>
                <w:sz w:val="22"/>
                <w:szCs w:val="22"/>
                <w:lang w:val="es-CO"/>
              </w:rPr>
              <w:t xml:space="preserve">estamos en un escenario de responsabilidad civil extracontractual por actividades peligrosas, regladas por el artículo 2356 del Código Civil, y en donde se presume la responsabilidad del agente que causa el daño en ejercicio de la actividad peligrosa, en </w:t>
            </w:r>
            <w:r>
              <w:rPr>
                <w:rFonts w:ascii="Century Gothic" w:hAnsi="Century Gothic"/>
                <w:sz w:val="22"/>
                <w:szCs w:val="22"/>
                <w:lang w:val="es-CO"/>
              </w:rPr>
              <w:t xml:space="preserve">tal virtud en </w:t>
            </w:r>
            <w:r w:rsidR="00D02179">
              <w:rPr>
                <w:rFonts w:ascii="Century Gothic" w:hAnsi="Century Gothic"/>
                <w:sz w:val="22"/>
                <w:szCs w:val="22"/>
                <w:lang w:val="es-CO"/>
              </w:rPr>
              <w:t xml:space="preserve">el presente asunto de momento no se cuenta con una prueba que de manera fehaciente acredite una causal eximente de responsabilidad, tal como lo podría ser el hecho de la víctima. </w:t>
            </w:r>
            <w:r w:rsidR="00F82768">
              <w:rPr>
                <w:rFonts w:ascii="Century Gothic" w:hAnsi="Century Gothic"/>
                <w:sz w:val="22"/>
                <w:szCs w:val="22"/>
                <w:lang w:val="es-CO"/>
              </w:rPr>
              <w:t xml:space="preserve">Sin embargo y debido a las pruebas que obran en el expediente se recomienda esperar a la audiencia </w:t>
            </w:r>
            <w:r w:rsidR="00F502AF">
              <w:rPr>
                <w:rFonts w:ascii="Century Gothic" w:hAnsi="Century Gothic"/>
                <w:sz w:val="22"/>
                <w:szCs w:val="22"/>
                <w:lang w:val="es-CO"/>
              </w:rPr>
              <w:t>inicial</w:t>
            </w:r>
            <w:r w:rsidR="00F82768">
              <w:rPr>
                <w:rFonts w:ascii="Century Gothic" w:hAnsi="Century Gothic"/>
                <w:sz w:val="22"/>
                <w:szCs w:val="22"/>
                <w:lang w:val="es-CO"/>
              </w:rPr>
              <w:t xml:space="preserve"> a fin de escuchar los interrogatorios</w:t>
            </w:r>
            <w:r w:rsidR="00F502AF">
              <w:rPr>
                <w:rFonts w:ascii="Century Gothic" w:hAnsi="Century Gothic"/>
                <w:sz w:val="22"/>
                <w:szCs w:val="22"/>
                <w:lang w:val="es-CO"/>
              </w:rPr>
              <w:t xml:space="preserve"> de parte</w:t>
            </w:r>
            <w:r w:rsidR="00F82768">
              <w:rPr>
                <w:rFonts w:ascii="Century Gothic" w:hAnsi="Century Gothic"/>
                <w:sz w:val="22"/>
                <w:szCs w:val="22"/>
                <w:lang w:val="es-CO"/>
              </w:rPr>
              <w:t xml:space="preserve"> para determinar </w:t>
            </w:r>
            <w:r w:rsidR="00F502AF">
              <w:rPr>
                <w:rFonts w:ascii="Century Gothic" w:hAnsi="Century Gothic"/>
                <w:sz w:val="22"/>
                <w:szCs w:val="22"/>
                <w:lang w:val="es-CO"/>
              </w:rPr>
              <w:t>si la versión que otorguen los implicados concuerda con l</w:t>
            </w:r>
            <w:r w:rsidR="00B37D5B">
              <w:rPr>
                <w:rFonts w:ascii="Century Gothic" w:hAnsi="Century Gothic"/>
                <w:sz w:val="22"/>
                <w:szCs w:val="22"/>
                <w:lang w:val="es-CO"/>
              </w:rPr>
              <w:t>o codificado y diagramado por la agente de tránsito.</w:t>
            </w:r>
            <w:r w:rsidR="00F502AF">
              <w:rPr>
                <w:rFonts w:ascii="Century Gothic" w:hAnsi="Century Gothic"/>
                <w:sz w:val="22"/>
                <w:szCs w:val="22"/>
                <w:lang w:val="es-CO"/>
              </w:rPr>
              <w:t xml:space="preserve"> </w:t>
            </w:r>
            <w:r w:rsidR="00811EDC">
              <w:rPr>
                <w:rFonts w:ascii="Century Gothic" w:hAnsi="Century Gothic"/>
                <w:sz w:val="22"/>
                <w:szCs w:val="22"/>
                <w:lang w:val="es-CO"/>
              </w:rPr>
              <w:t>Por dicha circunstancia es dable advertir responsabilidad</w:t>
            </w:r>
            <w:r w:rsidR="00CE1CDF">
              <w:rPr>
                <w:rFonts w:ascii="Century Gothic" w:hAnsi="Century Gothic"/>
                <w:sz w:val="22"/>
                <w:szCs w:val="22"/>
                <w:lang w:val="es-CO"/>
              </w:rPr>
              <w:t xml:space="preserve"> en el proceso</w:t>
            </w:r>
            <w:r w:rsidR="00811EDC">
              <w:rPr>
                <w:rFonts w:ascii="Century Gothic" w:hAnsi="Century Gothic"/>
                <w:sz w:val="22"/>
                <w:szCs w:val="22"/>
                <w:lang w:val="es-CO"/>
              </w:rPr>
              <w:t xml:space="preserve">. </w:t>
            </w:r>
          </w:p>
          <w:p w14:paraId="7E7128C3" w14:textId="77777777" w:rsidR="00283290" w:rsidRDefault="00283290" w:rsidP="007969FC">
            <w:pPr>
              <w:spacing w:line="276" w:lineRule="auto"/>
              <w:jc w:val="both"/>
              <w:rPr>
                <w:rFonts w:ascii="Century Gothic" w:hAnsi="Century Gothic"/>
                <w:sz w:val="22"/>
                <w:szCs w:val="22"/>
                <w:lang w:val="es-CO"/>
              </w:rPr>
            </w:pPr>
          </w:p>
          <w:p w14:paraId="58FF1192" w14:textId="3A640499" w:rsidR="00283290" w:rsidRPr="00BE1A73" w:rsidRDefault="00283290" w:rsidP="007969FC">
            <w:pPr>
              <w:spacing w:line="276" w:lineRule="auto"/>
              <w:jc w:val="both"/>
              <w:rPr>
                <w:rFonts w:ascii="Century Gothic" w:hAnsi="Century Gothic"/>
                <w:sz w:val="22"/>
                <w:szCs w:val="22"/>
                <w:lang w:val="es-CO"/>
              </w:rPr>
            </w:pPr>
            <w:r>
              <w:rPr>
                <w:rFonts w:ascii="Century Gothic" w:hAnsi="Century Gothic"/>
                <w:sz w:val="22"/>
                <w:szCs w:val="22"/>
                <w:lang w:val="es-CO"/>
              </w:rPr>
              <w:t xml:space="preserve">Lo anterior sin perjuicio del carácter contingente del proceso. </w:t>
            </w:r>
          </w:p>
        </w:tc>
      </w:tr>
      <w:tr w:rsidR="00BE1A73" w:rsidRPr="00BE1A73" w14:paraId="6A3F4D91" w14:textId="77777777" w:rsidTr="008B59F4">
        <w:trPr>
          <w:trHeight w:val="1361"/>
        </w:trPr>
        <w:tc>
          <w:tcPr>
            <w:tcW w:w="10207" w:type="dxa"/>
            <w:gridSpan w:val="2"/>
            <w:vAlign w:val="center"/>
          </w:tcPr>
          <w:p w14:paraId="3ED417E1" w14:textId="72164789" w:rsidR="00600622" w:rsidRPr="00BE1A73" w:rsidRDefault="00600622" w:rsidP="007969FC">
            <w:pPr>
              <w:spacing w:line="276" w:lineRule="auto"/>
              <w:jc w:val="center"/>
              <w:rPr>
                <w:rFonts w:ascii="Century Gothic" w:hAnsi="Century Gothic"/>
                <w:sz w:val="22"/>
                <w:szCs w:val="22"/>
              </w:rPr>
            </w:pPr>
          </w:p>
          <w:p w14:paraId="6040AB60" w14:textId="77777777" w:rsidR="005B7995" w:rsidRPr="00BE1A73" w:rsidRDefault="005B7995" w:rsidP="00513D69">
            <w:pPr>
              <w:spacing w:line="276" w:lineRule="auto"/>
              <w:rPr>
                <w:rFonts w:ascii="Century Gothic" w:hAnsi="Century Gothic"/>
                <w:sz w:val="22"/>
                <w:szCs w:val="22"/>
              </w:rPr>
            </w:pPr>
          </w:p>
          <w:p w14:paraId="3A806213" w14:textId="0C94259B" w:rsidR="005B7995" w:rsidRPr="003529AA" w:rsidRDefault="001D2830" w:rsidP="007969FC">
            <w:pPr>
              <w:spacing w:line="276" w:lineRule="auto"/>
              <w:jc w:val="center"/>
              <w:rPr>
                <w:rFonts w:ascii="Century Gothic" w:hAnsi="Century Gothic"/>
                <w:b/>
                <w:bCs/>
                <w:sz w:val="22"/>
                <w:szCs w:val="22"/>
              </w:rPr>
            </w:pPr>
            <w:r w:rsidRPr="003529AA">
              <w:rPr>
                <w:rFonts w:ascii="Century Gothic" w:hAnsi="Century Gothic"/>
                <w:b/>
                <w:bCs/>
                <w:sz w:val="22"/>
                <w:szCs w:val="22"/>
              </w:rPr>
              <w:t>NOS</w:t>
            </w:r>
          </w:p>
        </w:tc>
      </w:tr>
    </w:tbl>
    <w:p w14:paraId="66CA6B89" w14:textId="2A735499" w:rsidR="002633C0" w:rsidRPr="00BE1A73" w:rsidRDefault="002633C0" w:rsidP="007969FC">
      <w:pPr>
        <w:spacing w:line="276" w:lineRule="auto"/>
        <w:rPr>
          <w:rFonts w:ascii="Century Gothic" w:hAnsi="Century Gothic"/>
          <w:sz w:val="22"/>
          <w:szCs w:val="22"/>
        </w:rPr>
      </w:pPr>
    </w:p>
    <w:sectPr w:rsidR="002633C0" w:rsidRPr="00BE1A73" w:rsidSect="00D33414">
      <w:headerReference w:type="even" r:id="rId11"/>
      <w:headerReference w:type="default" r:id="rId12"/>
      <w:head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E5C9F" w14:textId="77777777" w:rsidR="00935185" w:rsidRDefault="00935185" w:rsidP="00E7033F">
      <w:r>
        <w:separator/>
      </w:r>
    </w:p>
  </w:endnote>
  <w:endnote w:type="continuationSeparator" w:id="0">
    <w:p w14:paraId="1A6F2855" w14:textId="77777777" w:rsidR="00935185" w:rsidRDefault="00935185"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A6711" w14:textId="77777777" w:rsidR="00935185" w:rsidRDefault="00935185" w:rsidP="00E7033F">
      <w:r>
        <w:separator/>
      </w:r>
    </w:p>
  </w:footnote>
  <w:footnote w:type="continuationSeparator" w:id="0">
    <w:p w14:paraId="3D3C6373" w14:textId="77777777" w:rsidR="00935185" w:rsidRDefault="00935185"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600pt;height:776.4pt;z-index:-251657216;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600pt;height:776.4pt;z-index:-251658240;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00pt;height:776.4pt;z-index:-251656192;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37F20"/>
    <w:multiLevelType w:val="hybridMultilevel"/>
    <w:tmpl w:val="4B14C2F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8F844ED"/>
    <w:multiLevelType w:val="hybridMultilevel"/>
    <w:tmpl w:val="BDBEAE20"/>
    <w:lvl w:ilvl="0" w:tplc="2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C61F3D"/>
    <w:multiLevelType w:val="hybridMultilevel"/>
    <w:tmpl w:val="42FE5F3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0B38027C"/>
    <w:multiLevelType w:val="hybridMultilevel"/>
    <w:tmpl w:val="A664D48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0B5455BC"/>
    <w:multiLevelType w:val="hybridMultilevel"/>
    <w:tmpl w:val="AE36D836"/>
    <w:lvl w:ilvl="0" w:tplc="42146338">
      <w:start w:val="1"/>
      <w:numFmt w:val="decimal"/>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57C6F04"/>
    <w:multiLevelType w:val="hybridMultilevel"/>
    <w:tmpl w:val="5DEEDE70"/>
    <w:lvl w:ilvl="0" w:tplc="EC4E2432">
      <w:start w:val="100"/>
      <w:numFmt w:val="bullet"/>
      <w:lvlText w:val="-"/>
      <w:lvlJc w:val="left"/>
      <w:pPr>
        <w:ind w:left="1440" w:hanging="360"/>
      </w:pPr>
      <w:rPr>
        <w:rFonts w:ascii="Century Gothic" w:eastAsiaTheme="minorHAnsi" w:hAnsi="Century Gothic" w:cstheme="minorBidi"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15:restartNumberingAfterBreak="0">
    <w:nsid w:val="16F90B7F"/>
    <w:multiLevelType w:val="hybridMultilevel"/>
    <w:tmpl w:val="1FF4570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250F5EE3"/>
    <w:multiLevelType w:val="hybridMultilevel"/>
    <w:tmpl w:val="0988FB5E"/>
    <w:lvl w:ilvl="0" w:tplc="EC4E2432">
      <w:start w:val="100"/>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6E84508"/>
    <w:multiLevelType w:val="hybridMultilevel"/>
    <w:tmpl w:val="12CA0C1E"/>
    <w:lvl w:ilvl="0" w:tplc="355C7E76">
      <w:numFmt w:val="bullet"/>
      <w:lvlText w:val="-"/>
      <w:lvlJc w:val="left"/>
      <w:pPr>
        <w:ind w:left="720" w:hanging="360"/>
      </w:pPr>
      <w:rPr>
        <w:rFonts w:ascii="Century Gothic" w:eastAsiaTheme="minorHAnsi" w:hAnsi="Century Gothic"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29D4747F"/>
    <w:multiLevelType w:val="hybridMultilevel"/>
    <w:tmpl w:val="F25AE5F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309C11C1"/>
    <w:multiLevelType w:val="hybridMultilevel"/>
    <w:tmpl w:val="9A9CBC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3895D8A"/>
    <w:multiLevelType w:val="hybridMultilevel"/>
    <w:tmpl w:val="65D4D246"/>
    <w:lvl w:ilvl="0" w:tplc="F864D1A6">
      <w:start w:val="2024"/>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38F376F8"/>
    <w:multiLevelType w:val="hybridMultilevel"/>
    <w:tmpl w:val="DE5E6458"/>
    <w:lvl w:ilvl="0" w:tplc="240A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EC83052"/>
    <w:multiLevelType w:val="hybridMultilevel"/>
    <w:tmpl w:val="0BEE0E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F095357"/>
    <w:multiLevelType w:val="hybridMultilevel"/>
    <w:tmpl w:val="BB485B66"/>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4F3E46B0"/>
    <w:multiLevelType w:val="hybridMultilevel"/>
    <w:tmpl w:val="B928AD8C"/>
    <w:lvl w:ilvl="0" w:tplc="24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4FAC2D6E"/>
    <w:multiLevelType w:val="hybridMultilevel"/>
    <w:tmpl w:val="F17EFB6C"/>
    <w:lvl w:ilvl="0" w:tplc="240A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5F30DDF"/>
    <w:multiLevelType w:val="hybridMultilevel"/>
    <w:tmpl w:val="257A25D4"/>
    <w:lvl w:ilvl="0" w:tplc="EC4E2432">
      <w:start w:val="100"/>
      <w:numFmt w:val="bullet"/>
      <w:lvlText w:val="-"/>
      <w:lvlJc w:val="left"/>
      <w:pPr>
        <w:ind w:left="720" w:hanging="360"/>
      </w:pPr>
      <w:rPr>
        <w:rFonts w:ascii="Century Gothic" w:eastAsiaTheme="minorHAnsi" w:hAnsi="Century Gothic"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6955650"/>
    <w:multiLevelType w:val="hybridMultilevel"/>
    <w:tmpl w:val="00B8DF80"/>
    <w:lvl w:ilvl="0" w:tplc="EC4E2432">
      <w:start w:val="100"/>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D444F6E"/>
    <w:multiLevelType w:val="hybridMultilevel"/>
    <w:tmpl w:val="00CCF768"/>
    <w:lvl w:ilvl="0" w:tplc="EC4E2432">
      <w:start w:val="100"/>
      <w:numFmt w:val="bullet"/>
      <w:lvlText w:val="-"/>
      <w:lvlJc w:val="left"/>
      <w:pPr>
        <w:ind w:left="1440" w:hanging="360"/>
      </w:pPr>
      <w:rPr>
        <w:rFonts w:ascii="Century Gothic" w:eastAsiaTheme="minorHAnsi" w:hAnsi="Century Gothic" w:cstheme="minorBidi"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0" w15:restartNumberingAfterBreak="0">
    <w:nsid w:val="63255A1B"/>
    <w:multiLevelType w:val="hybridMultilevel"/>
    <w:tmpl w:val="A150E12A"/>
    <w:lvl w:ilvl="0" w:tplc="AE48984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3266F43"/>
    <w:multiLevelType w:val="hybridMultilevel"/>
    <w:tmpl w:val="EB825E38"/>
    <w:lvl w:ilvl="0" w:tplc="2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D507829"/>
    <w:multiLevelType w:val="hybridMultilevel"/>
    <w:tmpl w:val="6F6C1D20"/>
    <w:lvl w:ilvl="0" w:tplc="EC4E2432">
      <w:start w:val="100"/>
      <w:numFmt w:val="bullet"/>
      <w:lvlText w:val="-"/>
      <w:lvlJc w:val="left"/>
      <w:pPr>
        <w:ind w:left="720" w:hanging="360"/>
      </w:pPr>
      <w:rPr>
        <w:rFonts w:ascii="Century Gothic" w:eastAsiaTheme="minorHAnsi" w:hAnsi="Century Gothic"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1E06753"/>
    <w:multiLevelType w:val="hybridMultilevel"/>
    <w:tmpl w:val="068A2A24"/>
    <w:lvl w:ilvl="0" w:tplc="EC4E2432">
      <w:start w:val="100"/>
      <w:numFmt w:val="bullet"/>
      <w:lvlText w:val="-"/>
      <w:lvlJc w:val="left"/>
      <w:pPr>
        <w:ind w:left="720" w:hanging="360"/>
      </w:pPr>
      <w:rPr>
        <w:rFonts w:ascii="Century Gothic" w:eastAsiaTheme="minorHAnsi" w:hAnsi="Century Gothic"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8507374"/>
    <w:multiLevelType w:val="hybridMultilevel"/>
    <w:tmpl w:val="C32E4FE4"/>
    <w:lvl w:ilvl="0" w:tplc="EC4E2432">
      <w:start w:val="100"/>
      <w:numFmt w:val="bullet"/>
      <w:lvlText w:val="-"/>
      <w:lvlJc w:val="left"/>
      <w:pPr>
        <w:ind w:left="720" w:hanging="360"/>
      </w:pPr>
      <w:rPr>
        <w:rFonts w:ascii="Century Gothic" w:eastAsiaTheme="minorHAnsi" w:hAnsi="Century Gothic"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91857E4"/>
    <w:multiLevelType w:val="hybridMultilevel"/>
    <w:tmpl w:val="3E4A2014"/>
    <w:lvl w:ilvl="0" w:tplc="EC4E2432">
      <w:start w:val="100"/>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DAE50E4"/>
    <w:multiLevelType w:val="hybridMultilevel"/>
    <w:tmpl w:val="91340C5E"/>
    <w:lvl w:ilvl="0" w:tplc="30C20720">
      <w:numFmt w:val="bullet"/>
      <w:lvlText w:val="-"/>
      <w:lvlJc w:val="left"/>
      <w:pPr>
        <w:ind w:left="720" w:hanging="360"/>
      </w:pPr>
      <w:rPr>
        <w:rFonts w:ascii="Century Gothic" w:eastAsiaTheme="minorHAnsi" w:hAnsi="Century Gothic"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2126460732">
    <w:abstractNumId w:val="9"/>
  </w:num>
  <w:num w:numId="2" w16cid:durableId="1506438576">
    <w:abstractNumId w:val="14"/>
  </w:num>
  <w:num w:numId="3" w16cid:durableId="1277366239">
    <w:abstractNumId w:val="0"/>
  </w:num>
  <w:num w:numId="4" w16cid:durableId="998389009">
    <w:abstractNumId w:val="11"/>
  </w:num>
  <w:num w:numId="5" w16cid:durableId="126242359">
    <w:abstractNumId w:val="3"/>
  </w:num>
  <w:num w:numId="6" w16cid:durableId="1318873648">
    <w:abstractNumId w:val="6"/>
  </w:num>
  <w:num w:numId="7" w16cid:durableId="774131167">
    <w:abstractNumId w:val="20"/>
  </w:num>
  <w:num w:numId="8" w16cid:durableId="1842500929">
    <w:abstractNumId w:val="15"/>
  </w:num>
  <w:num w:numId="9" w16cid:durableId="1627195232">
    <w:abstractNumId w:val="26"/>
  </w:num>
  <w:num w:numId="10" w16cid:durableId="1360543351">
    <w:abstractNumId w:val="2"/>
  </w:num>
  <w:num w:numId="11" w16cid:durableId="691035140">
    <w:abstractNumId w:val="13"/>
  </w:num>
  <w:num w:numId="12" w16cid:durableId="116608303">
    <w:abstractNumId w:val="10"/>
  </w:num>
  <w:num w:numId="13" w16cid:durableId="469398458">
    <w:abstractNumId w:val="16"/>
  </w:num>
  <w:num w:numId="14" w16cid:durableId="1294292419">
    <w:abstractNumId w:val="12"/>
  </w:num>
  <w:num w:numId="15" w16cid:durableId="890264004">
    <w:abstractNumId w:val="21"/>
  </w:num>
  <w:num w:numId="16" w16cid:durableId="2071344366">
    <w:abstractNumId w:val="1"/>
  </w:num>
  <w:num w:numId="17" w16cid:durableId="558712724">
    <w:abstractNumId w:val="23"/>
  </w:num>
  <w:num w:numId="18" w16cid:durableId="1990087420">
    <w:abstractNumId w:val="24"/>
  </w:num>
  <w:num w:numId="19" w16cid:durableId="1556309822">
    <w:abstractNumId w:val="17"/>
  </w:num>
  <w:num w:numId="20" w16cid:durableId="224221491">
    <w:abstractNumId w:val="22"/>
  </w:num>
  <w:num w:numId="21" w16cid:durableId="1588732700">
    <w:abstractNumId w:val="7"/>
  </w:num>
  <w:num w:numId="22" w16cid:durableId="484052374">
    <w:abstractNumId w:val="18"/>
  </w:num>
  <w:num w:numId="23" w16cid:durableId="522599621">
    <w:abstractNumId w:val="5"/>
  </w:num>
  <w:num w:numId="24" w16cid:durableId="613364571">
    <w:abstractNumId w:val="19"/>
  </w:num>
  <w:num w:numId="25" w16cid:durableId="1902135336">
    <w:abstractNumId w:val="25"/>
  </w:num>
  <w:num w:numId="26" w16cid:durableId="1183665184">
    <w:abstractNumId w:val="8"/>
  </w:num>
  <w:num w:numId="27" w16cid:durableId="20961209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05A62"/>
    <w:rsid w:val="000079B0"/>
    <w:rsid w:val="00010646"/>
    <w:rsid w:val="00013A9D"/>
    <w:rsid w:val="00015115"/>
    <w:rsid w:val="00020C96"/>
    <w:rsid w:val="00026222"/>
    <w:rsid w:val="000310D0"/>
    <w:rsid w:val="00031322"/>
    <w:rsid w:val="000349FA"/>
    <w:rsid w:val="0003508F"/>
    <w:rsid w:val="00046D83"/>
    <w:rsid w:val="00047BB0"/>
    <w:rsid w:val="00053075"/>
    <w:rsid w:val="000554F9"/>
    <w:rsid w:val="000572B7"/>
    <w:rsid w:val="00060489"/>
    <w:rsid w:val="00065554"/>
    <w:rsid w:val="00072BFC"/>
    <w:rsid w:val="000745B3"/>
    <w:rsid w:val="000812D7"/>
    <w:rsid w:val="0009144E"/>
    <w:rsid w:val="000A7799"/>
    <w:rsid w:val="000B3C85"/>
    <w:rsid w:val="000B5416"/>
    <w:rsid w:val="000B7DC1"/>
    <w:rsid w:val="000C7CFC"/>
    <w:rsid w:val="000D23FC"/>
    <w:rsid w:val="000F37DD"/>
    <w:rsid w:val="000F3FAE"/>
    <w:rsid w:val="00106AAE"/>
    <w:rsid w:val="001129B6"/>
    <w:rsid w:val="001173A1"/>
    <w:rsid w:val="001232AE"/>
    <w:rsid w:val="00132A8D"/>
    <w:rsid w:val="00150514"/>
    <w:rsid w:val="00151356"/>
    <w:rsid w:val="00152289"/>
    <w:rsid w:val="00154D0F"/>
    <w:rsid w:val="00164169"/>
    <w:rsid w:val="001646BE"/>
    <w:rsid w:val="00165F6C"/>
    <w:rsid w:val="00166DC3"/>
    <w:rsid w:val="001741E9"/>
    <w:rsid w:val="001776B1"/>
    <w:rsid w:val="00177E8E"/>
    <w:rsid w:val="00181E11"/>
    <w:rsid w:val="00183846"/>
    <w:rsid w:val="001B310B"/>
    <w:rsid w:val="001B5D60"/>
    <w:rsid w:val="001C44B4"/>
    <w:rsid w:val="001C46A3"/>
    <w:rsid w:val="001C4A9F"/>
    <w:rsid w:val="001D2830"/>
    <w:rsid w:val="001E096B"/>
    <w:rsid w:val="001E1616"/>
    <w:rsid w:val="001E5C79"/>
    <w:rsid w:val="001E5D9D"/>
    <w:rsid w:val="001E7FAA"/>
    <w:rsid w:val="001F6A50"/>
    <w:rsid w:val="00206A51"/>
    <w:rsid w:val="002134BE"/>
    <w:rsid w:val="002260E3"/>
    <w:rsid w:val="00226EF5"/>
    <w:rsid w:val="00237265"/>
    <w:rsid w:val="0024606E"/>
    <w:rsid w:val="002502CF"/>
    <w:rsid w:val="00263011"/>
    <w:rsid w:val="002633C0"/>
    <w:rsid w:val="0026673C"/>
    <w:rsid w:val="00283290"/>
    <w:rsid w:val="00291C46"/>
    <w:rsid w:val="00292504"/>
    <w:rsid w:val="00292BA1"/>
    <w:rsid w:val="002A0E98"/>
    <w:rsid w:val="002B08C6"/>
    <w:rsid w:val="002B5689"/>
    <w:rsid w:val="002E5777"/>
    <w:rsid w:val="00311097"/>
    <w:rsid w:val="00311A6A"/>
    <w:rsid w:val="00314CAF"/>
    <w:rsid w:val="00322F9C"/>
    <w:rsid w:val="003235A6"/>
    <w:rsid w:val="00324E27"/>
    <w:rsid w:val="00327E02"/>
    <w:rsid w:val="003314A2"/>
    <w:rsid w:val="003341E3"/>
    <w:rsid w:val="003529AA"/>
    <w:rsid w:val="00360E8A"/>
    <w:rsid w:val="00363A7D"/>
    <w:rsid w:val="00367B7A"/>
    <w:rsid w:val="003738D9"/>
    <w:rsid w:val="003827E1"/>
    <w:rsid w:val="00396F31"/>
    <w:rsid w:val="003A2E3B"/>
    <w:rsid w:val="003B38A7"/>
    <w:rsid w:val="003B44CB"/>
    <w:rsid w:val="003B7F1A"/>
    <w:rsid w:val="003D4DF9"/>
    <w:rsid w:val="003D6640"/>
    <w:rsid w:val="003E021A"/>
    <w:rsid w:val="003E68EC"/>
    <w:rsid w:val="003F4C8A"/>
    <w:rsid w:val="003F6405"/>
    <w:rsid w:val="003F6912"/>
    <w:rsid w:val="00403BFC"/>
    <w:rsid w:val="00415603"/>
    <w:rsid w:val="00423431"/>
    <w:rsid w:val="004250D2"/>
    <w:rsid w:val="00427488"/>
    <w:rsid w:val="00437455"/>
    <w:rsid w:val="00442835"/>
    <w:rsid w:val="00446ED7"/>
    <w:rsid w:val="00477F17"/>
    <w:rsid w:val="004850F2"/>
    <w:rsid w:val="004916AC"/>
    <w:rsid w:val="00493936"/>
    <w:rsid w:val="004A3DD3"/>
    <w:rsid w:val="004B3FEC"/>
    <w:rsid w:val="004C50A8"/>
    <w:rsid w:val="004C7D4E"/>
    <w:rsid w:val="004D1DFC"/>
    <w:rsid w:val="004D2C8F"/>
    <w:rsid w:val="004D7E92"/>
    <w:rsid w:val="004F4209"/>
    <w:rsid w:val="004F79B7"/>
    <w:rsid w:val="004F7F9B"/>
    <w:rsid w:val="00504FFB"/>
    <w:rsid w:val="00505DEE"/>
    <w:rsid w:val="0051296A"/>
    <w:rsid w:val="00513D69"/>
    <w:rsid w:val="0051641F"/>
    <w:rsid w:val="005335D7"/>
    <w:rsid w:val="00541089"/>
    <w:rsid w:val="00545F22"/>
    <w:rsid w:val="0055537F"/>
    <w:rsid w:val="005627C6"/>
    <w:rsid w:val="00565C63"/>
    <w:rsid w:val="00570CC7"/>
    <w:rsid w:val="00580CDD"/>
    <w:rsid w:val="005943E9"/>
    <w:rsid w:val="005B50FC"/>
    <w:rsid w:val="005B7995"/>
    <w:rsid w:val="005C2597"/>
    <w:rsid w:val="005D012C"/>
    <w:rsid w:val="005D34CF"/>
    <w:rsid w:val="005E135F"/>
    <w:rsid w:val="005F5457"/>
    <w:rsid w:val="005F5B4A"/>
    <w:rsid w:val="005F61D3"/>
    <w:rsid w:val="00600622"/>
    <w:rsid w:val="006055A3"/>
    <w:rsid w:val="006056E7"/>
    <w:rsid w:val="006217D7"/>
    <w:rsid w:val="00625971"/>
    <w:rsid w:val="00637DBA"/>
    <w:rsid w:val="0065511B"/>
    <w:rsid w:val="0066147C"/>
    <w:rsid w:val="0067756E"/>
    <w:rsid w:val="00683394"/>
    <w:rsid w:val="006925B1"/>
    <w:rsid w:val="00693D9E"/>
    <w:rsid w:val="00694306"/>
    <w:rsid w:val="006A1563"/>
    <w:rsid w:val="006B2948"/>
    <w:rsid w:val="006B2E64"/>
    <w:rsid w:val="006D0A66"/>
    <w:rsid w:val="006D1C6F"/>
    <w:rsid w:val="006D795C"/>
    <w:rsid w:val="006E2683"/>
    <w:rsid w:val="006F0CAA"/>
    <w:rsid w:val="006F417D"/>
    <w:rsid w:val="006F5AEC"/>
    <w:rsid w:val="00700D96"/>
    <w:rsid w:val="00740576"/>
    <w:rsid w:val="00741663"/>
    <w:rsid w:val="00747A1C"/>
    <w:rsid w:val="0075483C"/>
    <w:rsid w:val="00761B63"/>
    <w:rsid w:val="00762D8E"/>
    <w:rsid w:val="0076592E"/>
    <w:rsid w:val="0078275F"/>
    <w:rsid w:val="007969FC"/>
    <w:rsid w:val="007A3D68"/>
    <w:rsid w:val="007B230C"/>
    <w:rsid w:val="007C37D7"/>
    <w:rsid w:val="007C4E87"/>
    <w:rsid w:val="007C5A68"/>
    <w:rsid w:val="007D422D"/>
    <w:rsid w:val="007D68C5"/>
    <w:rsid w:val="007D7124"/>
    <w:rsid w:val="007D714C"/>
    <w:rsid w:val="007E165C"/>
    <w:rsid w:val="007E1C88"/>
    <w:rsid w:val="007F6191"/>
    <w:rsid w:val="008035A9"/>
    <w:rsid w:val="00811EDC"/>
    <w:rsid w:val="00816F80"/>
    <w:rsid w:val="00846F74"/>
    <w:rsid w:val="00847FEA"/>
    <w:rsid w:val="00850BAD"/>
    <w:rsid w:val="00850DB7"/>
    <w:rsid w:val="00867194"/>
    <w:rsid w:val="008773C3"/>
    <w:rsid w:val="008778CA"/>
    <w:rsid w:val="008875BC"/>
    <w:rsid w:val="008A291F"/>
    <w:rsid w:val="008A3E78"/>
    <w:rsid w:val="008B59F4"/>
    <w:rsid w:val="008B61E5"/>
    <w:rsid w:val="008B685D"/>
    <w:rsid w:val="008D13BD"/>
    <w:rsid w:val="008E0D83"/>
    <w:rsid w:val="008E249B"/>
    <w:rsid w:val="008E3086"/>
    <w:rsid w:val="008F3AD4"/>
    <w:rsid w:val="008F6B57"/>
    <w:rsid w:val="00901FEC"/>
    <w:rsid w:val="0091167D"/>
    <w:rsid w:val="00912A16"/>
    <w:rsid w:val="009138A8"/>
    <w:rsid w:val="0092461B"/>
    <w:rsid w:val="00926B64"/>
    <w:rsid w:val="00935185"/>
    <w:rsid w:val="00936751"/>
    <w:rsid w:val="00945D2A"/>
    <w:rsid w:val="00946924"/>
    <w:rsid w:val="00950291"/>
    <w:rsid w:val="009502E2"/>
    <w:rsid w:val="0095378E"/>
    <w:rsid w:val="00953A7A"/>
    <w:rsid w:val="00953E12"/>
    <w:rsid w:val="00960D5D"/>
    <w:rsid w:val="00965776"/>
    <w:rsid w:val="00967125"/>
    <w:rsid w:val="009820E4"/>
    <w:rsid w:val="00987619"/>
    <w:rsid w:val="00991B36"/>
    <w:rsid w:val="00992368"/>
    <w:rsid w:val="00996B7A"/>
    <w:rsid w:val="00997AF0"/>
    <w:rsid w:val="00997D06"/>
    <w:rsid w:val="009A06ED"/>
    <w:rsid w:val="009A464D"/>
    <w:rsid w:val="009B3685"/>
    <w:rsid w:val="009B66B1"/>
    <w:rsid w:val="009C4D98"/>
    <w:rsid w:val="009C6FC9"/>
    <w:rsid w:val="009D3C28"/>
    <w:rsid w:val="009D7C88"/>
    <w:rsid w:val="009E26BE"/>
    <w:rsid w:val="009F217E"/>
    <w:rsid w:val="009F395C"/>
    <w:rsid w:val="00A01F06"/>
    <w:rsid w:val="00A04995"/>
    <w:rsid w:val="00A05CC3"/>
    <w:rsid w:val="00A07916"/>
    <w:rsid w:val="00A111E8"/>
    <w:rsid w:val="00A168E0"/>
    <w:rsid w:val="00A2297C"/>
    <w:rsid w:val="00A52A9C"/>
    <w:rsid w:val="00A6326E"/>
    <w:rsid w:val="00A719EB"/>
    <w:rsid w:val="00A76BC5"/>
    <w:rsid w:val="00A80814"/>
    <w:rsid w:val="00AC3C70"/>
    <w:rsid w:val="00AC5641"/>
    <w:rsid w:val="00AD2219"/>
    <w:rsid w:val="00AD2D3F"/>
    <w:rsid w:val="00AD5492"/>
    <w:rsid w:val="00AE2B15"/>
    <w:rsid w:val="00AF4217"/>
    <w:rsid w:val="00B037B9"/>
    <w:rsid w:val="00B06B63"/>
    <w:rsid w:val="00B12BC1"/>
    <w:rsid w:val="00B21C38"/>
    <w:rsid w:val="00B24680"/>
    <w:rsid w:val="00B257D0"/>
    <w:rsid w:val="00B263E3"/>
    <w:rsid w:val="00B2787D"/>
    <w:rsid w:val="00B37D5B"/>
    <w:rsid w:val="00B51EDA"/>
    <w:rsid w:val="00B52ACC"/>
    <w:rsid w:val="00B52CD3"/>
    <w:rsid w:val="00B57482"/>
    <w:rsid w:val="00B60710"/>
    <w:rsid w:val="00B7448D"/>
    <w:rsid w:val="00B749CA"/>
    <w:rsid w:val="00B75D70"/>
    <w:rsid w:val="00B76441"/>
    <w:rsid w:val="00B830DB"/>
    <w:rsid w:val="00B87C8A"/>
    <w:rsid w:val="00B901D2"/>
    <w:rsid w:val="00B90E05"/>
    <w:rsid w:val="00B90F2B"/>
    <w:rsid w:val="00BA0472"/>
    <w:rsid w:val="00BA1E5F"/>
    <w:rsid w:val="00BA27C5"/>
    <w:rsid w:val="00BA5C16"/>
    <w:rsid w:val="00BB0ADF"/>
    <w:rsid w:val="00BD3583"/>
    <w:rsid w:val="00BD7A54"/>
    <w:rsid w:val="00BE1A73"/>
    <w:rsid w:val="00BE46D4"/>
    <w:rsid w:val="00BE61BB"/>
    <w:rsid w:val="00BF5531"/>
    <w:rsid w:val="00C0595B"/>
    <w:rsid w:val="00C11D6B"/>
    <w:rsid w:val="00C13976"/>
    <w:rsid w:val="00C20BE0"/>
    <w:rsid w:val="00C37012"/>
    <w:rsid w:val="00C41EAB"/>
    <w:rsid w:val="00C422FF"/>
    <w:rsid w:val="00C5393B"/>
    <w:rsid w:val="00C92E1E"/>
    <w:rsid w:val="00C94C0E"/>
    <w:rsid w:val="00CA0253"/>
    <w:rsid w:val="00CA1C2C"/>
    <w:rsid w:val="00CA3E58"/>
    <w:rsid w:val="00CA643D"/>
    <w:rsid w:val="00CA78EA"/>
    <w:rsid w:val="00CB20F7"/>
    <w:rsid w:val="00CB64F8"/>
    <w:rsid w:val="00CC35DF"/>
    <w:rsid w:val="00CC5CEB"/>
    <w:rsid w:val="00CC69E2"/>
    <w:rsid w:val="00CE1CDF"/>
    <w:rsid w:val="00CF21A4"/>
    <w:rsid w:val="00CF45A8"/>
    <w:rsid w:val="00D02179"/>
    <w:rsid w:val="00D10F95"/>
    <w:rsid w:val="00D14B7F"/>
    <w:rsid w:val="00D15FAA"/>
    <w:rsid w:val="00D2151F"/>
    <w:rsid w:val="00D23BF0"/>
    <w:rsid w:val="00D25AD9"/>
    <w:rsid w:val="00D31CBF"/>
    <w:rsid w:val="00D33414"/>
    <w:rsid w:val="00D35F0D"/>
    <w:rsid w:val="00D3629A"/>
    <w:rsid w:val="00D42EAB"/>
    <w:rsid w:val="00D465AF"/>
    <w:rsid w:val="00D50744"/>
    <w:rsid w:val="00D92EDE"/>
    <w:rsid w:val="00DA71AE"/>
    <w:rsid w:val="00DB6973"/>
    <w:rsid w:val="00DC27BA"/>
    <w:rsid w:val="00DC61E6"/>
    <w:rsid w:val="00DC6392"/>
    <w:rsid w:val="00DD6A64"/>
    <w:rsid w:val="00DE2052"/>
    <w:rsid w:val="00DE2CA1"/>
    <w:rsid w:val="00DE5BEB"/>
    <w:rsid w:val="00DF07B5"/>
    <w:rsid w:val="00DF0CED"/>
    <w:rsid w:val="00DF6879"/>
    <w:rsid w:val="00DF68B1"/>
    <w:rsid w:val="00E07EB6"/>
    <w:rsid w:val="00E24777"/>
    <w:rsid w:val="00E4151F"/>
    <w:rsid w:val="00E56C19"/>
    <w:rsid w:val="00E61830"/>
    <w:rsid w:val="00E7033F"/>
    <w:rsid w:val="00E71789"/>
    <w:rsid w:val="00E7332E"/>
    <w:rsid w:val="00E7630E"/>
    <w:rsid w:val="00E76B7E"/>
    <w:rsid w:val="00E802BC"/>
    <w:rsid w:val="00E94538"/>
    <w:rsid w:val="00EA7D4F"/>
    <w:rsid w:val="00EB30A2"/>
    <w:rsid w:val="00EB5FFB"/>
    <w:rsid w:val="00EC0B3B"/>
    <w:rsid w:val="00EC21A4"/>
    <w:rsid w:val="00ED0FA8"/>
    <w:rsid w:val="00ED252E"/>
    <w:rsid w:val="00ED5B2C"/>
    <w:rsid w:val="00EE687D"/>
    <w:rsid w:val="00EF2A9D"/>
    <w:rsid w:val="00EF33E8"/>
    <w:rsid w:val="00EF4E05"/>
    <w:rsid w:val="00EF5382"/>
    <w:rsid w:val="00F00BB1"/>
    <w:rsid w:val="00F03779"/>
    <w:rsid w:val="00F07D03"/>
    <w:rsid w:val="00F07F9B"/>
    <w:rsid w:val="00F1294B"/>
    <w:rsid w:val="00F25C6B"/>
    <w:rsid w:val="00F35F7E"/>
    <w:rsid w:val="00F47B30"/>
    <w:rsid w:val="00F502AF"/>
    <w:rsid w:val="00F555BB"/>
    <w:rsid w:val="00F62D63"/>
    <w:rsid w:val="00F65BFC"/>
    <w:rsid w:val="00F6735C"/>
    <w:rsid w:val="00F67EF8"/>
    <w:rsid w:val="00F80AD6"/>
    <w:rsid w:val="00F82768"/>
    <w:rsid w:val="00F856C2"/>
    <w:rsid w:val="00F86470"/>
    <w:rsid w:val="00F90650"/>
    <w:rsid w:val="00FA1D96"/>
    <w:rsid w:val="00FA70E7"/>
    <w:rsid w:val="00FB22AC"/>
    <w:rsid w:val="00FC01A7"/>
    <w:rsid w:val="00FC1BA6"/>
    <w:rsid w:val="00FD0FD5"/>
    <w:rsid w:val="00FD1467"/>
    <w:rsid w:val="00FD53B3"/>
    <w:rsid w:val="00FD6D08"/>
    <w:rsid w:val="00FD6DBF"/>
    <w:rsid w:val="00FE3887"/>
    <w:rsid w:val="00FF4CDD"/>
    <w:rsid w:val="00FF797E"/>
    <w:rsid w:val="3DE6980C"/>
    <w:rsid w:val="40F7E47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A3DD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53075"/>
    <w:pPr>
      <w:ind w:left="720"/>
      <w:contextualSpacing/>
    </w:pPr>
  </w:style>
  <w:style w:type="paragraph" w:styleId="Revisin">
    <w:name w:val="Revision"/>
    <w:hidden/>
    <w:uiPriority w:val="99"/>
    <w:semiHidden/>
    <w:rsid w:val="00C0595B"/>
  </w:style>
  <w:style w:type="character" w:styleId="Refdecomentario">
    <w:name w:val="annotation reference"/>
    <w:basedOn w:val="Fuentedeprrafopredeter"/>
    <w:uiPriority w:val="99"/>
    <w:semiHidden/>
    <w:unhideWhenUsed/>
    <w:rsid w:val="000B7DC1"/>
    <w:rPr>
      <w:sz w:val="16"/>
      <w:szCs w:val="16"/>
    </w:rPr>
  </w:style>
  <w:style w:type="paragraph" w:styleId="Textocomentario">
    <w:name w:val="annotation text"/>
    <w:basedOn w:val="Normal"/>
    <w:link w:val="TextocomentarioCar"/>
    <w:uiPriority w:val="99"/>
    <w:unhideWhenUsed/>
    <w:rsid w:val="000B7DC1"/>
    <w:rPr>
      <w:sz w:val="20"/>
      <w:szCs w:val="20"/>
    </w:rPr>
  </w:style>
  <w:style w:type="character" w:customStyle="1" w:styleId="TextocomentarioCar">
    <w:name w:val="Texto comentario Car"/>
    <w:basedOn w:val="Fuentedeprrafopredeter"/>
    <w:link w:val="Textocomentario"/>
    <w:uiPriority w:val="99"/>
    <w:rsid w:val="000B7DC1"/>
    <w:rPr>
      <w:sz w:val="20"/>
      <w:szCs w:val="20"/>
    </w:rPr>
  </w:style>
  <w:style w:type="paragraph" w:styleId="Asuntodelcomentario">
    <w:name w:val="annotation subject"/>
    <w:basedOn w:val="Textocomentario"/>
    <w:next w:val="Textocomentario"/>
    <w:link w:val="AsuntodelcomentarioCar"/>
    <w:uiPriority w:val="99"/>
    <w:semiHidden/>
    <w:unhideWhenUsed/>
    <w:rsid w:val="000B7DC1"/>
    <w:rPr>
      <w:b/>
      <w:bCs/>
    </w:rPr>
  </w:style>
  <w:style w:type="character" w:customStyle="1" w:styleId="AsuntodelcomentarioCar">
    <w:name w:val="Asunto del comentario Car"/>
    <w:basedOn w:val="TextocomentarioCar"/>
    <w:link w:val="Asuntodelcomentario"/>
    <w:uiPriority w:val="99"/>
    <w:semiHidden/>
    <w:rsid w:val="000B7D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698576">
      <w:bodyDiv w:val="1"/>
      <w:marLeft w:val="0"/>
      <w:marRight w:val="0"/>
      <w:marTop w:val="0"/>
      <w:marBottom w:val="0"/>
      <w:divBdr>
        <w:top w:val="none" w:sz="0" w:space="0" w:color="auto"/>
        <w:left w:val="none" w:sz="0" w:space="0" w:color="auto"/>
        <w:bottom w:val="none" w:sz="0" w:space="0" w:color="auto"/>
        <w:right w:val="none" w:sz="0" w:space="0" w:color="auto"/>
      </w:divBdr>
    </w:div>
    <w:div w:id="323052908">
      <w:bodyDiv w:val="1"/>
      <w:marLeft w:val="0"/>
      <w:marRight w:val="0"/>
      <w:marTop w:val="0"/>
      <w:marBottom w:val="0"/>
      <w:divBdr>
        <w:top w:val="none" w:sz="0" w:space="0" w:color="auto"/>
        <w:left w:val="none" w:sz="0" w:space="0" w:color="auto"/>
        <w:bottom w:val="none" w:sz="0" w:space="0" w:color="auto"/>
        <w:right w:val="none" w:sz="0" w:space="0" w:color="auto"/>
      </w:divBdr>
    </w:div>
    <w:div w:id="486097817">
      <w:bodyDiv w:val="1"/>
      <w:marLeft w:val="0"/>
      <w:marRight w:val="0"/>
      <w:marTop w:val="0"/>
      <w:marBottom w:val="0"/>
      <w:divBdr>
        <w:top w:val="none" w:sz="0" w:space="0" w:color="auto"/>
        <w:left w:val="none" w:sz="0" w:space="0" w:color="auto"/>
        <w:bottom w:val="none" w:sz="0" w:space="0" w:color="auto"/>
        <w:right w:val="none" w:sz="0" w:space="0" w:color="auto"/>
      </w:divBdr>
    </w:div>
    <w:div w:id="677735934">
      <w:bodyDiv w:val="1"/>
      <w:marLeft w:val="0"/>
      <w:marRight w:val="0"/>
      <w:marTop w:val="0"/>
      <w:marBottom w:val="0"/>
      <w:divBdr>
        <w:top w:val="none" w:sz="0" w:space="0" w:color="auto"/>
        <w:left w:val="none" w:sz="0" w:space="0" w:color="auto"/>
        <w:bottom w:val="none" w:sz="0" w:space="0" w:color="auto"/>
        <w:right w:val="none" w:sz="0" w:space="0" w:color="auto"/>
      </w:divBdr>
    </w:div>
    <w:div w:id="770854347">
      <w:bodyDiv w:val="1"/>
      <w:marLeft w:val="0"/>
      <w:marRight w:val="0"/>
      <w:marTop w:val="0"/>
      <w:marBottom w:val="0"/>
      <w:divBdr>
        <w:top w:val="none" w:sz="0" w:space="0" w:color="auto"/>
        <w:left w:val="none" w:sz="0" w:space="0" w:color="auto"/>
        <w:bottom w:val="none" w:sz="0" w:space="0" w:color="auto"/>
        <w:right w:val="none" w:sz="0" w:space="0" w:color="auto"/>
      </w:divBdr>
    </w:div>
    <w:div w:id="880747994">
      <w:bodyDiv w:val="1"/>
      <w:marLeft w:val="0"/>
      <w:marRight w:val="0"/>
      <w:marTop w:val="0"/>
      <w:marBottom w:val="0"/>
      <w:divBdr>
        <w:top w:val="none" w:sz="0" w:space="0" w:color="auto"/>
        <w:left w:val="none" w:sz="0" w:space="0" w:color="auto"/>
        <w:bottom w:val="none" w:sz="0" w:space="0" w:color="auto"/>
        <w:right w:val="none" w:sz="0" w:space="0" w:color="auto"/>
      </w:divBdr>
    </w:div>
    <w:div w:id="1057241073">
      <w:bodyDiv w:val="1"/>
      <w:marLeft w:val="0"/>
      <w:marRight w:val="0"/>
      <w:marTop w:val="0"/>
      <w:marBottom w:val="0"/>
      <w:divBdr>
        <w:top w:val="none" w:sz="0" w:space="0" w:color="auto"/>
        <w:left w:val="none" w:sz="0" w:space="0" w:color="auto"/>
        <w:bottom w:val="none" w:sz="0" w:space="0" w:color="auto"/>
        <w:right w:val="none" w:sz="0" w:space="0" w:color="auto"/>
      </w:divBdr>
    </w:div>
    <w:div w:id="1527594516">
      <w:bodyDiv w:val="1"/>
      <w:marLeft w:val="0"/>
      <w:marRight w:val="0"/>
      <w:marTop w:val="0"/>
      <w:marBottom w:val="0"/>
      <w:divBdr>
        <w:top w:val="none" w:sz="0" w:space="0" w:color="auto"/>
        <w:left w:val="none" w:sz="0" w:space="0" w:color="auto"/>
        <w:bottom w:val="none" w:sz="0" w:space="0" w:color="auto"/>
        <w:right w:val="none" w:sz="0" w:space="0" w:color="auto"/>
      </w:divBdr>
    </w:div>
    <w:div w:id="1617175604">
      <w:bodyDiv w:val="1"/>
      <w:marLeft w:val="0"/>
      <w:marRight w:val="0"/>
      <w:marTop w:val="0"/>
      <w:marBottom w:val="0"/>
      <w:divBdr>
        <w:top w:val="none" w:sz="0" w:space="0" w:color="auto"/>
        <w:left w:val="none" w:sz="0" w:space="0" w:color="auto"/>
        <w:bottom w:val="none" w:sz="0" w:space="0" w:color="auto"/>
        <w:right w:val="none" w:sz="0" w:space="0" w:color="auto"/>
      </w:divBdr>
    </w:div>
    <w:div w:id="1851721466">
      <w:bodyDiv w:val="1"/>
      <w:marLeft w:val="0"/>
      <w:marRight w:val="0"/>
      <w:marTop w:val="0"/>
      <w:marBottom w:val="0"/>
      <w:divBdr>
        <w:top w:val="none" w:sz="0" w:space="0" w:color="auto"/>
        <w:left w:val="none" w:sz="0" w:space="0" w:color="auto"/>
        <w:bottom w:val="none" w:sz="0" w:space="0" w:color="auto"/>
        <w:right w:val="none" w:sz="0" w:space="0" w:color="auto"/>
      </w:divBdr>
    </w:div>
    <w:div w:id="1947224335">
      <w:bodyDiv w:val="1"/>
      <w:marLeft w:val="0"/>
      <w:marRight w:val="0"/>
      <w:marTop w:val="0"/>
      <w:marBottom w:val="0"/>
      <w:divBdr>
        <w:top w:val="none" w:sz="0" w:space="0" w:color="auto"/>
        <w:left w:val="none" w:sz="0" w:space="0" w:color="auto"/>
        <w:bottom w:val="none" w:sz="0" w:space="0" w:color="auto"/>
        <w:right w:val="none" w:sz="0" w:space="0" w:color="auto"/>
      </w:divBdr>
    </w:div>
    <w:div w:id="20881862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2.xml><?xml version="1.0" encoding="utf-8"?>
<ds:datastoreItem xmlns:ds="http://schemas.openxmlformats.org/officeDocument/2006/customXml" ds:itemID="{3B193DA9-7773-4836-AF9B-301B31840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4.xml><?xml version="1.0" encoding="utf-8"?>
<ds:datastoreItem xmlns:ds="http://schemas.openxmlformats.org/officeDocument/2006/customXml" ds:itemID="{467EB10E-A00F-4F23-AE01-7918D2CA6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2216</Words>
  <Characters>12192</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Joseph Esneyder Pinto Gonzalez</cp:lastModifiedBy>
  <cp:revision>4</cp:revision>
  <cp:lastPrinted>2025-06-24T16:28:00Z</cp:lastPrinted>
  <dcterms:created xsi:type="dcterms:W3CDTF">2025-09-01T10:55:00Z</dcterms:created>
  <dcterms:modified xsi:type="dcterms:W3CDTF">2025-09-04T14:07:00Z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2025-07-01T16:04:06Z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3bfb38a9-80c7-46ae-96ba-0ba74714d0ce</vt:lpwstr>
  </property>
  <property fmtid="{D5CDD505-2E9C-101B-9397-08002B2CF9AE}" pid="9" name="MSIP_Label_defa4170-0d19-0005-0004-bc88714345d2_ActionId">
    <vt:lpwstr>e83311a3-c722-4582-9698-fc23dc57e891</vt:lpwstr>
  </property>
  <property fmtid="{D5CDD505-2E9C-101B-9397-08002B2CF9AE}" pid="10" name="MSIP_Label_defa4170-0d19-0005-0004-bc88714345d2_ContentBits">
    <vt:lpwstr>0</vt:lpwstr>
  </property>
  <property fmtid="{D5CDD505-2E9C-101B-9397-08002B2CF9AE}" pid="11" name="MSIP_Label_defa4170-0d19-0005-0004-bc88714345d2_Tag">
    <vt:lpwstr>10, 3, 0, 1</vt:lpwstr>
  </property>
</Properties>
</file>