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val="es-CO"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06A8F1C" w:rsidR="00F67EF8" w:rsidRPr="00BA1E5F" w:rsidRDefault="00633E50" w:rsidP="00F67EF8">
            <w:pPr>
              <w:spacing w:line="276" w:lineRule="auto"/>
              <w:jc w:val="both"/>
              <w:rPr>
                <w:rFonts w:ascii="Century Gothic" w:hAnsi="Century Gothic"/>
                <w:sz w:val="22"/>
                <w:szCs w:val="22"/>
              </w:rPr>
            </w:pPr>
            <w:r>
              <w:rPr>
                <w:rFonts w:ascii="Century Gothic" w:hAnsi="Century Gothic"/>
                <w:sz w:val="22"/>
                <w:szCs w:val="22"/>
              </w:rPr>
              <w:t>03/06/2025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13236995" w:rsidR="00F67EF8"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E</w:t>
            </w:r>
            <w:r w:rsidR="001B58A2">
              <w:rPr>
                <w:rFonts w:ascii="Century Gothic" w:hAnsi="Century Gothic"/>
                <w:sz w:val="22"/>
                <w:szCs w:val="22"/>
              </w:rPr>
              <w:t xml:space="preserve">XTERNO </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44EC0396" w:rsidR="00F67EF8" w:rsidRPr="00BA1E5F" w:rsidRDefault="00B67D31" w:rsidP="00F67EF8">
            <w:pPr>
              <w:spacing w:line="276" w:lineRule="auto"/>
              <w:jc w:val="both"/>
              <w:rPr>
                <w:rFonts w:ascii="Century Gothic" w:hAnsi="Century Gothic"/>
                <w:sz w:val="22"/>
                <w:szCs w:val="22"/>
              </w:rPr>
            </w:pPr>
            <w:r>
              <w:rPr>
                <w:rFonts w:ascii="Century Gothic" w:hAnsi="Century Gothic"/>
                <w:sz w:val="22"/>
                <w:szCs w:val="22"/>
              </w:rPr>
              <w:t>LA EQUIDAD SEGUROS 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531D1CB" w:rsidR="00F67EF8" w:rsidRPr="00BA1E5F" w:rsidRDefault="006F14C6" w:rsidP="00F67EF8">
            <w:pPr>
              <w:spacing w:line="276" w:lineRule="auto"/>
              <w:jc w:val="both"/>
              <w:rPr>
                <w:rFonts w:ascii="Century Gothic" w:hAnsi="Century Gothic"/>
                <w:sz w:val="22"/>
                <w:szCs w:val="22"/>
              </w:rPr>
            </w:pPr>
            <w:r>
              <w:rPr>
                <w:rFonts w:ascii="Century Gothic" w:hAnsi="Century Gothic"/>
                <w:sz w:val="22"/>
                <w:szCs w:val="22"/>
              </w:rPr>
              <w:t>9404</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5EBCEBDC" w:rsidR="00F67EF8" w:rsidRPr="00BA1E5F" w:rsidRDefault="00B67D31" w:rsidP="00633E50">
            <w:pPr>
              <w:spacing w:line="276" w:lineRule="auto"/>
              <w:jc w:val="both"/>
              <w:rPr>
                <w:rFonts w:ascii="Century Gothic" w:hAnsi="Century Gothic"/>
                <w:sz w:val="22"/>
                <w:szCs w:val="22"/>
              </w:rPr>
            </w:pPr>
            <w:r w:rsidRPr="003B298F">
              <w:rPr>
                <w:rFonts w:ascii="Century Gothic" w:hAnsi="Century Gothic"/>
              </w:rPr>
              <w:t xml:space="preserve">JUZGADO </w:t>
            </w:r>
            <w:r w:rsidR="00633E50">
              <w:rPr>
                <w:rFonts w:ascii="Century Gothic" w:hAnsi="Century Gothic"/>
              </w:rPr>
              <w:t>NOVENO ADMINISTRATIVO DEL CIRCUITO DE CALI</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285E8150" w:rsidR="00F67EF8" w:rsidRPr="00BA1E5F" w:rsidRDefault="00633E50" w:rsidP="00F67EF8">
            <w:pPr>
              <w:spacing w:line="276" w:lineRule="auto"/>
              <w:jc w:val="both"/>
              <w:rPr>
                <w:rFonts w:ascii="Century Gothic" w:hAnsi="Century Gothic"/>
                <w:sz w:val="22"/>
                <w:szCs w:val="22"/>
              </w:rPr>
            </w:pPr>
            <w:r>
              <w:rPr>
                <w:rFonts w:ascii="Century Gothic" w:hAnsi="Century Gothic"/>
                <w:sz w:val="22"/>
                <w:szCs w:val="22"/>
              </w:rPr>
              <w:t>CALI</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6A23E473" w:rsidR="00992368" w:rsidRPr="00B67D31" w:rsidRDefault="006F14C6" w:rsidP="00F67EF8">
            <w:pPr>
              <w:spacing w:line="276" w:lineRule="auto"/>
              <w:jc w:val="both"/>
              <w:rPr>
                <w:rFonts w:ascii="Century Gothic" w:hAnsi="Century Gothic"/>
                <w:sz w:val="22"/>
                <w:szCs w:val="22"/>
              </w:rPr>
            </w:pPr>
            <w:sdt>
              <w:sdtPr>
                <w:rPr>
                  <w:rFonts w:ascii="Century Gothic" w:hAnsi="Century Gothic"/>
                  <w:caps/>
                </w:rPr>
                <w:alias w:val="RADICADO"/>
                <w:tag w:val="RADICADO"/>
                <w:id w:val="-31735373"/>
                <w:placeholder>
                  <w:docPart w:val="52AA3D8A2D834748B50C169349E2D9CE"/>
                </w:placeholder>
                <w:text/>
              </w:sdtPr>
              <w:sdtContent>
                <w:r w:rsidRPr="006F14C6">
                  <w:rPr>
                    <w:rFonts w:ascii="Century Gothic" w:hAnsi="Century Gothic"/>
                    <w:caps/>
                  </w:rPr>
                  <w:t>76001333300920220026000</w:t>
                </w:r>
                <w:r>
                  <w:rPr>
                    <w:rFonts w:ascii="Century Gothic" w:hAnsi="Century Gothic"/>
                    <w:caps/>
                  </w:rPr>
                  <w:t>*</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3A8AD145" w:rsidR="00B67D31" w:rsidRPr="00BA1E5F" w:rsidRDefault="00633E50" w:rsidP="00F67EF8">
            <w:pPr>
              <w:spacing w:line="276" w:lineRule="auto"/>
              <w:jc w:val="both"/>
              <w:rPr>
                <w:rFonts w:ascii="Century Gothic" w:hAnsi="Century Gothic"/>
                <w:sz w:val="22"/>
                <w:szCs w:val="22"/>
              </w:rPr>
            </w:pPr>
            <w:r>
              <w:rPr>
                <w:rFonts w:ascii="Century Gothic" w:hAnsi="Century Gothic"/>
                <w:sz w:val="22"/>
                <w:szCs w:val="22"/>
              </w:rPr>
              <w:t>25/10</w:t>
            </w:r>
            <w:r w:rsidR="00B67D31">
              <w:rPr>
                <w:rFonts w:ascii="Century Gothic" w:hAnsi="Century Gothic"/>
                <w:sz w:val="22"/>
                <w:szCs w:val="22"/>
              </w:rPr>
              <w:t>/2023</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E0B5DE7" w:rsidR="00992368" w:rsidRPr="00BA1E5F" w:rsidRDefault="00633E50" w:rsidP="00F67EF8">
            <w:pPr>
              <w:spacing w:line="276" w:lineRule="auto"/>
              <w:jc w:val="both"/>
              <w:rPr>
                <w:rFonts w:ascii="Century Gothic" w:hAnsi="Century Gothic"/>
                <w:sz w:val="22"/>
                <w:szCs w:val="22"/>
              </w:rPr>
            </w:pPr>
            <w:r>
              <w:rPr>
                <w:rFonts w:ascii="Century Gothic" w:hAnsi="Century Gothic"/>
                <w:sz w:val="22"/>
                <w:szCs w:val="22"/>
              </w:rPr>
              <w:t>12/06/2025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58F19623" w14:textId="2510490E" w:rsidR="00B67D31" w:rsidRPr="00633E50" w:rsidRDefault="00000000" w:rsidP="00B67D31">
            <w:pPr>
              <w:spacing w:line="360" w:lineRule="auto"/>
              <w:jc w:val="both"/>
              <w:rPr>
                <w:rFonts w:ascii="Century Gothic" w:hAnsi="Century Gothic"/>
              </w:rPr>
            </w:pPr>
            <w:sdt>
              <w:sdtPr>
                <w:rPr>
                  <w:rFonts w:ascii="Century Gothic" w:hAnsi="Century Gothic"/>
                </w:rPr>
                <w:alias w:val="HECHOS"/>
                <w:tag w:val="HECHOS"/>
                <w:id w:val="-654141650"/>
                <w:placeholder>
                  <w:docPart w:val="A379C63969BE400ABC7245E35FB50400"/>
                </w:placeholder>
                <w:text/>
              </w:sdtPr>
              <w:sdtContent>
                <w:r w:rsidR="00633E50" w:rsidRPr="00633E50">
                  <w:rPr>
                    <w:rFonts w:ascii="Century Gothic" w:hAnsi="Century Gothic"/>
                  </w:rPr>
                  <w:t xml:space="preserve">El 20 de mayo de 2020, Luisa María acudió a la sala de urgencias del Hospital Carlos Holmes Trujillo, donde consultó nuevamente por dolor abdominal, sensación de masa y fiebre intermitente. Dos días después, el 22 de mayo a las 10:51 de la mañana, regresó al mismo centro hospitalario por persistencia de los mismos síntomas. Debido al gran tamaño de la masa identificada, ese mismo día a las 5:32 de la tarde fue remitida al Hospital Universitario del Valle para valoración por el servicio de Ginecología. Posteriormente, el 24 de mayo de 2020, fue intervenida quirúrgicamente en el Hospital San Juan de Dios, donde se le realizó una operación para extirpar quistes del ovario derecho. Durante el procedimiento se extrajo una masa que fue remitida al laboratorio para su análisis, conforme consta en la historia clínica del centro asistencial. El informe de patología quirúrgica del 22 de junio de 2020 concluyó que la masa extraída correspondía a un tumor maligno, y se recomendó la realización de estudios inmunohistoquímicos adicionales. El 2 de julio de 2020, Luisa María fue ingresada nuevamente a urgencias, esta vez por reaparición del dolor en el hipogastrio, sensación de masa, obstrucción intestinal y falla renal. Para el 15 de julio de 2020, </w:t>
                </w:r>
                <w:r w:rsidR="00633E50" w:rsidRPr="00633E50">
                  <w:rPr>
                    <w:rFonts w:ascii="Century Gothic" w:hAnsi="Century Gothic"/>
                  </w:rPr>
                  <w:lastRenderedPageBreak/>
                  <w:t>cuando contaba con apenas 18 años de edad, los galenos que la atendían consideraron que su estado era irreversible, dada la avanzada progresión de la enfermedad. Lamentablemente, Luisa María Portocarrero falleció el 1 de agosto de 2020 a causa de múltiples patologías derivadas del cáncer que padecía</w:t>
                </w:r>
              </w:sdtContent>
            </w:sdt>
            <w:r w:rsidR="00B67D31" w:rsidRPr="00633E50">
              <w:rPr>
                <w:rFonts w:ascii="Century Gothic" w:hAnsi="Century Gothic"/>
              </w:rPr>
              <w:t xml:space="preserve"> </w:t>
            </w:r>
          </w:p>
          <w:p w14:paraId="67B49D12" w14:textId="751E5908" w:rsidR="00B2787D" w:rsidRPr="00BA1E5F" w:rsidRDefault="00B2787D" w:rsidP="00B67D31">
            <w:pPr>
              <w:spacing w:line="276" w:lineRule="auto"/>
              <w:jc w:val="center"/>
              <w:rPr>
                <w:rFonts w:ascii="Century Gothic" w:hAnsi="Century Gothic"/>
                <w:sz w:val="22"/>
                <w:szCs w:val="22"/>
              </w:rPr>
            </w:pPr>
          </w:p>
          <w:p w14:paraId="285181BA" w14:textId="77777777" w:rsidR="00B2787D" w:rsidRPr="00BA1E5F" w:rsidRDefault="00B2787D" w:rsidP="00B67D31">
            <w:pPr>
              <w:spacing w:line="276" w:lineRule="auto"/>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7B713493" w14:textId="77777777" w:rsidR="00FD53B3" w:rsidRDefault="00FD53B3" w:rsidP="007C37D7">
            <w:pPr>
              <w:spacing w:line="276" w:lineRule="auto"/>
              <w:jc w:val="center"/>
              <w:rPr>
                <w:rFonts w:ascii="Century Gothic" w:hAnsi="Century Gothic"/>
                <w:sz w:val="22"/>
                <w:szCs w:val="22"/>
              </w:rPr>
            </w:pPr>
          </w:p>
          <w:p w14:paraId="23BD76B1" w14:textId="150C24F0"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A. PERJUICIOS MORALES: Mary Luz Portocarrero (100 SMLMV), Mary Lucia Portocarrero Cheme (50 SMLMV), </w:t>
            </w:r>
            <w:proofErr w:type="spellStart"/>
            <w:r w:rsidRPr="00633E50">
              <w:rPr>
                <w:rFonts w:ascii="Century Gothic" w:eastAsia="Calibri" w:hAnsi="Century Gothic" w:cs="Times New Roman"/>
                <w:sz w:val="22"/>
                <w:szCs w:val="22"/>
                <w:lang w:val="es-CO"/>
              </w:rPr>
              <w:t>Victor</w:t>
            </w:r>
            <w:proofErr w:type="spellEnd"/>
            <w:r w:rsidRPr="00633E50">
              <w:rPr>
                <w:rFonts w:ascii="Century Gothic" w:eastAsia="Calibri" w:hAnsi="Century Gothic" w:cs="Times New Roman"/>
                <w:sz w:val="22"/>
                <w:szCs w:val="22"/>
                <w:lang w:val="es-CO"/>
              </w:rPr>
              <w:t xml:space="preserve"> Manuel Portocarrero Cheme (50 SMLMV), Maira Alejandra Portocarrero Cheme (50 SMLMV), </w:t>
            </w:r>
            <w:proofErr w:type="spellStart"/>
            <w:r w:rsidRPr="00633E50">
              <w:rPr>
                <w:rFonts w:ascii="Century Gothic" w:eastAsia="Calibri" w:hAnsi="Century Gothic" w:cs="Times New Roman"/>
                <w:sz w:val="22"/>
                <w:szCs w:val="22"/>
                <w:lang w:val="es-CO"/>
              </w:rPr>
              <w:t>Jhoshuer</w:t>
            </w:r>
            <w:proofErr w:type="spellEnd"/>
            <w:r w:rsidRPr="00633E50">
              <w:rPr>
                <w:rFonts w:ascii="Century Gothic" w:eastAsia="Calibri" w:hAnsi="Century Gothic" w:cs="Times New Roman"/>
                <w:sz w:val="22"/>
                <w:szCs w:val="22"/>
                <w:lang w:val="es-CO"/>
              </w:rPr>
              <w:t xml:space="preserve"> </w:t>
            </w:r>
            <w:proofErr w:type="spellStart"/>
            <w:r w:rsidRPr="00633E50">
              <w:rPr>
                <w:rFonts w:ascii="Century Gothic" w:eastAsia="Calibri" w:hAnsi="Century Gothic" w:cs="Times New Roman"/>
                <w:sz w:val="22"/>
                <w:szCs w:val="22"/>
                <w:lang w:val="es-CO"/>
              </w:rPr>
              <w:t>Stiven</w:t>
            </w:r>
            <w:proofErr w:type="spellEnd"/>
            <w:r w:rsidRPr="00633E50">
              <w:rPr>
                <w:rFonts w:ascii="Century Gothic" w:eastAsia="Calibri" w:hAnsi="Century Gothic" w:cs="Times New Roman"/>
                <w:sz w:val="22"/>
                <w:szCs w:val="22"/>
                <w:lang w:val="es-CO"/>
              </w:rPr>
              <w:t xml:space="preserve"> Portocarrero Cheme (35 SMLMV), </w:t>
            </w:r>
            <w:proofErr w:type="spellStart"/>
            <w:r w:rsidRPr="00633E50">
              <w:rPr>
                <w:rFonts w:ascii="Century Gothic" w:eastAsia="Calibri" w:hAnsi="Century Gothic" w:cs="Times New Roman"/>
                <w:sz w:val="22"/>
                <w:szCs w:val="22"/>
                <w:lang w:val="es-CO"/>
              </w:rPr>
              <w:t>Jenyfer</w:t>
            </w:r>
            <w:proofErr w:type="spellEnd"/>
            <w:r w:rsidRPr="00633E50">
              <w:rPr>
                <w:rFonts w:ascii="Century Gothic" w:eastAsia="Calibri" w:hAnsi="Century Gothic" w:cs="Times New Roman"/>
                <w:sz w:val="22"/>
                <w:szCs w:val="22"/>
                <w:lang w:val="es-CO"/>
              </w:rPr>
              <w:t xml:space="preserve"> </w:t>
            </w:r>
            <w:proofErr w:type="spellStart"/>
            <w:r w:rsidRPr="00633E50">
              <w:rPr>
                <w:rFonts w:ascii="Century Gothic" w:eastAsia="Calibri" w:hAnsi="Century Gothic" w:cs="Times New Roman"/>
                <w:sz w:val="22"/>
                <w:szCs w:val="22"/>
                <w:lang w:val="es-CO"/>
              </w:rPr>
              <w:t>Xariza</w:t>
            </w:r>
            <w:proofErr w:type="spellEnd"/>
            <w:r w:rsidRPr="00633E50">
              <w:rPr>
                <w:rFonts w:ascii="Century Gothic" w:eastAsia="Calibri" w:hAnsi="Century Gothic" w:cs="Times New Roman"/>
                <w:sz w:val="22"/>
                <w:szCs w:val="22"/>
                <w:lang w:val="es-CO"/>
              </w:rPr>
              <w:t xml:space="preserve"> Portocarrero Cheme (50 SMLMV) y Juan Manuel </w:t>
            </w:r>
            <w:proofErr w:type="spellStart"/>
            <w:r w:rsidRPr="00633E50">
              <w:rPr>
                <w:rFonts w:ascii="Century Gothic" w:eastAsia="Calibri" w:hAnsi="Century Gothic" w:cs="Times New Roman"/>
                <w:sz w:val="22"/>
                <w:szCs w:val="22"/>
                <w:lang w:val="es-CO"/>
              </w:rPr>
              <w:t>Solis</w:t>
            </w:r>
            <w:proofErr w:type="spellEnd"/>
            <w:r w:rsidRPr="00633E50">
              <w:rPr>
                <w:rFonts w:ascii="Century Gothic" w:eastAsia="Calibri" w:hAnsi="Century Gothic" w:cs="Times New Roman"/>
                <w:sz w:val="22"/>
                <w:szCs w:val="22"/>
                <w:lang w:val="es-CO"/>
              </w:rPr>
              <w:t xml:space="preserve"> Portocarrero (35 SMLMV).    TOTAL: 370 SMLMV                                                                                  </w:t>
            </w:r>
          </w:p>
          <w:p w14:paraId="367F3B25"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B. DAÑO A LA VIDA EN RELACIÓN: Mary Luz Portocarrero (50 SMLMV), Mary Lucia Portocarrero Cheme (50 SMLMV), </w:t>
            </w:r>
            <w:proofErr w:type="spellStart"/>
            <w:r w:rsidRPr="00633E50">
              <w:rPr>
                <w:rFonts w:ascii="Century Gothic" w:eastAsia="Calibri" w:hAnsi="Century Gothic" w:cs="Times New Roman"/>
                <w:sz w:val="22"/>
                <w:szCs w:val="22"/>
                <w:lang w:val="es-CO"/>
              </w:rPr>
              <w:t>Victor</w:t>
            </w:r>
            <w:proofErr w:type="spellEnd"/>
            <w:r w:rsidRPr="00633E50">
              <w:rPr>
                <w:rFonts w:ascii="Century Gothic" w:eastAsia="Calibri" w:hAnsi="Century Gothic" w:cs="Times New Roman"/>
                <w:sz w:val="22"/>
                <w:szCs w:val="22"/>
                <w:lang w:val="es-CO"/>
              </w:rPr>
              <w:t xml:space="preserve"> Manuel Portocarrero Cheme (50 SMLMV), Maira Alejandra Portocarrero Cheme (50 SMLMV), </w:t>
            </w:r>
            <w:proofErr w:type="spellStart"/>
            <w:r w:rsidRPr="00633E50">
              <w:rPr>
                <w:rFonts w:ascii="Century Gothic" w:eastAsia="Calibri" w:hAnsi="Century Gothic" w:cs="Times New Roman"/>
                <w:sz w:val="22"/>
                <w:szCs w:val="22"/>
                <w:lang w:val="es-CO"/>
              </w:rPr>
              <w:t>Jhoshuer</w:t>
            </w:r>
            <w:proofErr w:type="spellEnd"/>
            <w:r w:rsidRPr="00633E50">
              <w:rPr>
                <w:rFonts w:ascii="Century Gothic" w:eastAsia="Calibri" w:hAnsi="Century Gothic" w:cs="Times New Roman"/>
                <w:sz w:val="22"/>
                <w:szCs w:val="22"/>
                <w:lang w:val="es-CO"/>
              </w:rPr>
              <w:t xml:space="preserve"> </w:t>
            </w:r>
            <w:proofErr w:type="spellStart"/>
            <w:r w:rsidRPr="00633E50">
              <w:rPr>
                <w:rFonts w:ascii="Century Gothic" w:eastAsia="Calibri" w:hAnsi="Century Gothic" w:cs="Times New Roman"/>
                <w:sz w:val="22"/>
                <w:szCs w:val="22"/>
                <w:lang w:val="es-CO"/>
              </w:rPr>
              <w:t>Stiven</w:t>
            </w:r>
            <w:proofErr w:type="spellEnd"/>
            <w:r w:rsidRPr="00633E50">
              <w:rPr>
                <w:rFonts w:ascii="Century Gothic" w:eastAsia="Calibri" w:hAnsi="Century Gothic" w:cs="Times New Roman"/>
                <w:sz w:val="22"/>
                <w:szCs w:val="22"/>
                <w:lang w:val="es-CO"/>
              </w:rPr>
              <w:t xml:space="preserve"> Portocarrero Cheme (35 SMLMV), </w:t>
            </w:r>
            <w:proofErr w:type="spellStart"/>
            <w:r w:rsidRPr="00633E50">
              <w:rPr>
                <w:rFonts w:ascii="Century Gothic" w:eastAsia="Calibri" w:hAnsi="Century Gothic" w:cs="Times New Roman"/>
                <w:sz w:val="22"/>
                <w:szCs w:val="22"/>
                <w:lang w:val="es-CO"/>
              </w:rPr>
              <w:t>Jenyfer</w:t>
            </w:r>
            <w:proofErr w:type="spellEnd"/>
            <w:r w:rsidRPr="00633E50">
              <w:rPr>
                <w:rFonts w:ascii="Century Gothic" w:eastAsia="Calibri" w:hAnsi="Century Gothic" w:cs="Times New Roman"/>
                <w:sz w:val="22"/>
                <w:szCs w:val="22"/>
                <w:lang w:val="es-CO"/>
              </w:rPr>
              <w:t xml:space="preserve"> </w:t>
            </w:r>
            <w:proofErr w:type="spellStart"/>
            <w:r w:rsidRPr="00633E50">
              <w:rPr>
                <w:rFonts w:ascii="Century Gothic" w:eastAsia="Calibri" w:hAnsi="Century Gothic" w:cs="Times New Roman"/>
                <w:sz w:val="22"/>
                <w:szCs w:val="22"/>
                <w:lang w:val="es-CO"/>
              </w:rPr>
              <w:t>Xariza</w:t>
            </w:r>
            <w:proofErr w:type="spellEnd"/>
            <w:r w:rsidRPr="00633E50">
              <w:rPr>
                <w:rFonts w:ascii="Century Gothic" w:eastAsia="Calibri" w:hAnsi="Century Gothic" w:cs="Times New Roman"/>
                <w:sz w:val="22"/>
                <w:szCs w:val="22"/>
                <w:lang w:val="es-CO"/>
              </w:rPr>
              <w:t xml:space="preserve"> Portocarrero Cheme (50 SMLMV) y Juan Manuel </w:t>
            </w:r>
            <w:proofErr w:type="spellStart"/>
            <w:r w:rsidRPr="00633E50">
              <w:rPr>
                <w:rFonts w:ascii="Century Gothic" w:eastAsia="Calibri" w:hAnsi="Century Gothic" w:cs="Times New Roman"/>
                <w:sz w:val="22"/>
                <w:szCs w:val="22"/>
                <w:lang w:val="es-CO"/>
              </w:rPr>
              <w:t>Solis</w:t>
            </w:r>
            <w:proofErr w:type="spellEnd"/>
            <w:r w:rsidRPr="00633E50">
              <w:rPr>
                <w:rFonts w:ascii="Century Gothic" w:eastAsia="Calibri" w:hAnsi="Century Gothic" w:cs="Times New Roman"/>
                <w:sz w:val="22"/>
                <w:szCs w:val="22"/>
                <w:lang w:val="es-CO"/>
              </w:rPr>
              <w:t xml:space="preserve"> Portocarrero (35 SMLMV).  TOTAL 320 SMLMV</w:t>
            </w:r>
          </w:p>
          <w:p w14:paraId="4A0CC1EC"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C. LUCRO CESANTE CONSOLIDADO: $18.708.432                                                                                             </w:t>
            </w:r>
          </w:p>
          <w:p w14:paraId="66785F83"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D. LUCRO CESANTE FUTURO: $142.042.709 </w:t>
            </w:r>
          </w:p>
          <w:p w14:paraId="0D6BBA19" w14:textId="77777777" w:rsidR="00633E50" w:rsidRPr="00633E50" w:rsidRDefault="00633E50" w:rsidP="00633E50">
            <w:pPr>
              <w:spacing w:line="360" w:lineRule="auto"/>
              <w:jc w:val="both"/>
              <w:rPr>
                <w:rFonts w:ascii="Century Gothic" w:hAnsi="Century Gothic"/>
              </w:rPr>
            </w:pPr>
            <w:r w:rsidRPr="00633E50">
              <w:rPr>
                <w:rFonts w:ascii="Century Gothic" w:hAnsi="Century Gothic"/>
              </w:rPr>
              <w:t xml:space="preserve">TOTAL:  1.142.966.141 (Con valor del salario mínimo año 2025)                                                                                       </w:t>
            </w:r>
          </w:p>
          <w:p w14:paraId="733F014C" w14:textId="77777777" w:rsidR="00633E50" w:rsidRDefault="00633E50" w:rsidP="007C37D7">
            <w:pPr>
              <w:spacing w:line="276" w:lineRule="auto"/>
              <w:jc w:val="center"/>
              <w:rPr>
                <w:rFonts w:ascii="Century Gothic" w:hAnsi="Century Gothic"/>
                <w:sz w:val="22"/>
                <w:szCs w:val="22"/>
              </w:rPr>
            </w:pPr>
          </w:p>
          <w:p w14:paraId="77C06868" w14:textId="7A1B61B7" w:rsidR="00633E50" w:rsidRPr="00BA1E5F" w:rsidRDefault="00633E50"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AA42F57"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633E50">
              <w:rPr>
                <w:rFonts w:ascii="Century Gothic" w:hAnsi="Century Gothic"/>
                <w:sz w:val="22"/>
                <w:szCs w:val="22"/>
              </w:rPr>
              <w:t>1.142.966.141</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4EA316B7" w:rsidR="00992368" w:rsidRPr="00BA1E5F" w:rsidRDefault="00FD53B3" w:rsidP="003827E1">
            <w:pPr>
              <w:spacing w:line="276" w:lineRule="auto"/>
              <w:rPr>
                <w:rFonts w:ascii="Century Gothic" w:hAnsi="Century Gothic"/>
                <w:sz w:val="22"/>
                <w:szCs w:val="22"/>
              </w:rPr>
            </w:pPr>
            <w:r w:rsidRPr="00BA1E5F">
              <w:rPr>
                <w:rFonts w:ascii="Century Gothic" w:hAnsi="Century Gothic"/>
                <w:sz w:val="22"/>
                <w:szCs w:val="22"/>
              </w:rPr>
              <w:t>$</w:t>
            </w:r>
            <w:r w:rsidR="00633E50">
              <w:rPr>
                <w:rFonts w:ascii="Century Gothic" w:hAnsi="Century Gothic"/>
              </w:rPr>
              <w:t>474.025.500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6A4DA969"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lastRenderedPageBreak/>
              <w:t>1. Perjuicios morales: Se liquida el valor correspondiente a este concepto con base en lo establecido en la sentencia de unificación del Consejo de Estado para indemnización por daño moral en casos de fallecimiento, así:</w:t>
            </w:r>
          </w:p>
          <w:p w14:paraId="40690579"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p>
          <w:p w14:paraId="1803D51E"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Mary Luz Portocarrero - madre de la víctima: 100 SMLMV</w:t>
            </w:r>
          </w:p>
          <w:p w14:paraId="6613916D"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Mary Lucia Portocarrero Cheme - hermana de la víctima: 50 SMLMV</w:t>
            </w:r>
          </w:p>
          <w:p w14:paraId="17BEDEE9"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proofErr w:type="spellStart"/>
            <w:r w:rsidRPr="00633E50">
              <w:rPr>
                <w:rFonts w:ascii="Century Gothic" w:eastAsia="Calibri" w:hAnsi="Century Gothic" w:cs="Times New Roman"/>
                <w:sz w:val="22"/>
                <w:szCs w:val="22"/>
                <w:lang w:val="es-CO"/>
              </w:rPr>
              <w:t>Victor</w:t>
            </w:r>
            <w:proofErr w:type="spellEnd"/>
            <w:r w:rsidRPr="00633E50">
              <w:rPr>
                <w:rFonts w:ascii="Century Gothic" w:eastAsia="Calibri" w:hAnsi="Century Gothic" w:cs="Times New Roman"/>
                <w:sz w:val="22"/>
                <w:szCs w:val="22"/>
                <w:lang w:val="es-CO"/>
              </w:rPr>
              <w:t xml:space="preserve"> Manuel Portocarrero Cheme - hermano de la víctima: 50 SMLMV</w:t>
            </w:r>
          </w:p>
          <w:p w14:paraId="107A6218"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Maira Alejandra Portocarrero Cheme - hermano de la víctima: 50 SMLMV</w:t>
            </w:r>
          </w:p>
          <w:p w14:paraId="4211F734"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proofErr w:type="spellStart"/>
            <w:r w:rsidRPr="00633E50">
              <w:rPr>
                <w:rFonts w:ascii="Century Gothic" w:eastAsia="Calibri" w:hAnsi="Century Gothic" w:cs="Times New Roman"/>
                <w:sz w:val="22"/>
                <w:szCs w:val="22"/>
                <w:lang w:val="es-CO"/>
              </w:rPr>
              <w:t>Jenyfer</w:t>
            </w:r>
            <w:proofErr w:type="spellEnd"/>
            <w:r w:rsidRPr="00633E50">
              <w:rPr>
                <w:rFonts w:ascii="Century Gothic" w:eastAsia="Calibri" w:hAnsi="Century Gothic" w:cs="Times New Roman"/>
                <w:sz w:val="22"/>
                <w:szCs w:val="22"/>
                <w:lang w:val="es-CO"/>
              </w:rPr>
              <w:t xml:space="preserve"> </w:t>
            </w:r>
            <w:proofErr w:type="spellStart"/>
            <w:r w:rsidRPr="00633E50">
              <w:rPr>
                <w:rFonts w:ascii="Century Gothic" w:eastAsia="Calibri" w:hAnsi="Century Gothic" w:cs="Times New Roman"/>
                <w:sz w:val="22"/>
                <w:szCs w:val="22"/>
                <w:lang w:val="es-CO"/>
              </w:rPr>
              <w:t>Xariza</w:t>
            </w:r>
            <w:proofErr w:type="spellEnd"/>
            <w:r w:rsidRPr="00633E50">
              <w:rPr>
                <w:rFonts w:ascii="Century Gothic" w:eastAsia="Calibri" w:hAnsi="Century Gothic" w:cs="Times New Roman"/>
                <w:sz w:val="22"/>
                <w:szCs w:val="22"/>
                <w:lang w:val="es-CO"/>
              </w:rPr>
              <w:t xml:space="preserve"> Portocarrero Cheme - hermana de la víctima: 50 SMLMV</w:t>
            </w:r>
          </w:p>
          <w:p w14:paraId="4645607B"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proofErr w:type="spellStart"/>
            <w:r w:rsidRPr="00633E50">
              <w:rPr>
                <w:rFonts w:ascii="Century Gothic" w:eastAsia="Calibri" w:hAnsi="Century Gothic" w:cs="Times New Roman"/>
                <w:sz w:val="22"/>
                <w:szCs w:val="22"/>
                <w:lang w:val="es-CO"/>
              </w:rPr>
              <w:t>Jhoshuer</w:t>
            </w:r>
            <w:proofErr w:type="spellEnd"/>
            <w:r w:rsidRPr="00633E50">
              <w:rPr>
                <w:rFonts w:ascii="Century Gothic" w:eastAsia="Calibri" w:hAnsi="Century Gothic" w:cs="Times New Roman"/>
                <w:sz w:val="22"/>
                <w:szCs w:val="22"/>
                <w:lang w:val="es-CO"/>
              </w:rPr>
              <w:t xml:space="preserve"> </w:t>
            </w:r>
            <w:proofErr w:type="spellStart"/>
            <w:r w:rsidRPr="00633E50">
              <w:rPr>
                <w:rFonts w:ascii="Century Gothic" w:eastAsia="Calibri" w:hAnsi="Century Gothic" w:cs="Times New Roman"/>
                <w:sz w:val="22"/>
                <w:szCs w:val="22"/>
                <w:lang w:val="es-CO"/>
              </w:rPr>
              <w:t>Stiven</w:t>
            </w:r>
            <w:proofErr w:type="spellEnd"/>
            <w:r w:rsidRPr="00633E50">
              <w:rPr>
                <w:rFonts w:ascii="Century Gothic" w:eastAsia="Calibri" w:hAnsi="Century Gothic" w:cs="Times New Roman"/>
                <w:sz w:val="22"/>
                <w:szCs w:val="22"/>
                <w:lang w:val="es-CO"/>
              </w:rPr>
              <w:t xml:space="preserve"> Portocarrero Cheme - sobrino de la víctima: 35 SMLMV</w:t>
            </w:r>
          </w:p>
          <w:p w14:paraId="6E93194F"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Juan Manuel </w:t>
            </w:r>
            <w:proofErr w:type="spellStart"/>
            <w:r w:rsidRPr="00633E50">
              <w:rPr>
                <w:rFonts w:ascii="Century Gothic" w:eastAsia="Calibri" w:hAnsi="Century Gothic" w:cs="Times New Roman"/>
                <w:sz w:val="22"/>
                <w:szCs w:val="22"/>
                <w:lang w:val="es-CO"/>
              </w:rPr>
              <w:t>Solis</w:t>
            </w:r>
            <w:proofErr w:type="spellEnd"/>
            <w:r w:rsidRPr="00633E50">
              <w:rPr>
                <w:rFonts w:ascii="Century Gothic" w:eastAsia="Calibri" w:hAnsi="Century Gothic" w:cs="Times New Roman"/>
                <w:sz w:val="22"/>
                <w:szCs w:val="22"/>
                <w:lang w:val="es-CO"/>
              </w:rPr>
              <w:t xml:space="preserve"> Portocarrero - sobrino de la víctima: 35 SMLMV    </w:t>
            </w:r>
          </w:p>
          <w:p w14:paraId="1C3EE89B" w14:textId="77777777" w:rsidR="00633E50" w:rsidRPr="00633E50" w:rsidRDefault="00633E50" w:rsidP="00633E50">
            <w:pPr>
              <w:spacing w:after="160" w:line="360" w:lineRule="auto"/>
              <w:ind w:left="720"/>
              <w:contextualSpacing/>
              <w:jc w:val="both"/>
              <w:rPr>
                <w:rFonts w:ascii="Century Gothic" w:eastAsia="Calibri" w:hAnsi="Century Gothic" w:cs="Times New Roman"/>
                <w:sz w:val="22"/>
                <w:szCs w:val="22"/>
                <w:lang w:val="es-CO"/>
              </w:rPr>
            </w:pPr>
          </w:p>
          <w:p w14:paraId="346E545B" w14:textId="77777777" w:rsidR="00633E50" w:rsidRPr="00633E50" w:rsidRDefault="00633E50" w:rsidP="00633E50">
            <w:pPr>
              <w:numPr>
                <w:ilvl w:val="0"/>
                <w:numId w:val="1"/>
              </w:numPr>
              <w:spacing w:after="160" w:line="360" w:lineRule="auto"/>
              <w:contextualSpacing/>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Total: 370 SMLMV equivalente a $526.695.000 (salario del año 2025)</w:t>
            </w:r>
          </w:p>
          <w:p w14:paraId="07A6FCEE"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2. Daño a la vida en relación: No se reconoce. En la jurisdicción Contencioso Administrativa no se considera este perjuicio como autónomo.</w:t>
            </w:r>
          </w:p>
          <w:p w14:paraId="2C41F015"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3. Lucro cesante consolidado y futuro: No se reconoce. Teniendo en cuenta que no se aportó prueba que acredite la actividad laboral de la víctima ni la cuantía de sus ingresos. Asimismo, tampoco se demostró la dependencia económica de la madre con la fallecida. </w:t>
            </w:r>
          </w:p>
          <w:p w14:paraId="78A42340"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4. Deducible: Se pactó por el 10% del valor total de la pérdida, mínimo 1 SMLMV En este caso se tomará el 10% que corresponde a $52.669.500.</w:t>
            </w:r>
          </w:p>
          <w:p w14:paraId="4BE95558" w14:textId="77777777" w:rsidR="00633E50" w:rsidRPr="00633E50" w:rsidRDefault="00633E50" w:rsidP="00633E50">
            <w:pPr>
              <w:spacing w:after="160" w:line="360" w:lineRule="auto"/>
              <w:jc w:val="both"/>
              <w:rPr>
                <w:rFonts w:ascii="Century Gothic" w:eastAsia="Calibri" w:hAnsi="Century Gothic" w:cs="Times New Roman"/>
                <w:sz w:val="22"/>
                <w:szCs w:val="22"/>
                <w:lang w:val="es-CO"/>
              </w:rPr>
            </w:pPr>
            <w:r w:rsidRPr="00633E50">
              <w:rPr>
                <w:rFonts w:ascii="Century Gothic" w:eastAsia="Calibri" w:hAnsi="Century Gothic" w:cs="Times New Roman"/>
                <w:sz w:val="22"/>
                <w:szCs w:val="22"/>
                <w:lang w:val="es-CO"/>
              </w:rPr>
              <w:t xml:space="preserve">5. Total: Después de descontarse el deducible a cargo del asegurado el valor total de la liquidación objetiva corresponde a $474.025.500. </w:t>
            </w:r>
          </w:p>
          <w:p w14:paraId="31FF8AB1" w14:textId="77777777" w:rsidR="00E802BC" w:rsidRPr="00633E50" w:rsidRDefault="00E802BC" w:rsidP="00633E50">
            <w:pPr>
              <w:spacing w:line="360" w:lineRule="auto"/>
              <w:jc w:val="both"/>
              <w:rPr>
                <w:rFonts w:ascii="Century Gothic" w:hAnsi="Century Gothic"/>
                <w:sz w:val="22"/>
                <w:szCs w:val="22"/>
              </w:rPr>
            </w:pPr>
          </w:p>
        </w:tc>
      </w:tr>
    </w:tbl>
    <w:p w14:paraId="7273C5A1" w14:textId="77777777" w:rsidR="0095378E" w:rsidRDefault="0095378E" w:rsidP="00B67D31">
      <w:pPr>
        <w:jc w:val="center"/>
      </w:pPr>
    </w:p>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B67D31">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0ADCECE0" w14:textId="68489FD8" w:rsidR="00AB3722" w:rsidRDefault="00AB3722" w:rsidP="00B67D31">
            <w:pPr>
              <w:spacing w:line="276" w:lineRule="auto"/>
              <w:jc w:val="both"/>
              <w:rPr>
                <w:rFonts w:ascii="Century Gothic" w:hAnsi="Century Gothic"/>
              </w:rPr>
            </w:pPr>
            <w:r>
              <w:rPr>
                <w:rFonts w:ascii="Century Gothic" w:hAnsi="Century Gothic"/>
              </w:rPr>
              <w:lastRenderedPageBreak/>
              <w:t xml:space="preserve">1. </w:t>
            </w:r>
            <w:r w:rsidR="00633E50" w:rsidRPr="00633E50">
              <w:rPr>
                <w:rFonts w:ascii="Century Gothic" w:hAnsi="Century Gothic"/>
              </w:rPr>
              <w:t>NEXO CAUSAL INEXISTENTE ENTRE EL COMPORTAMIENTO CONTRACTUAL DEL HOSPITAL SAN</w:t>
            </w:r>
            <w:r>
              <w:rPr>
                <w:rFonts w:ascii="Century Gothic" w:hAnsi="Century Gothic"/>
              </w:rPr>
              <w:t xml:space="preserve"> </w:t>
            </w:r>
            <w:r w:rsidR="00633E50" w:rsidRPr="00633E50">
              <w:rPr>
                <w:rFonts w:ascii="Century Gothic" w:hAnsi="Century Gothic"/>
              </w:rPr>
              <w:t>JUAN DE DIOS DE CALI Y LOS SUPUESTOS PERJUICIOS SUFRI</w:t>
            </w:r>
            <w:r>
              <w:rPr>
                <w:rFonts w:ascii="Century Gothic" w:hAnsi="Century Gothic"/>
              </w:rPr>
              <w:t>DOS POR LA PARTE DEMANDANTE.</w:t>
            </w:r>
          </w:p>
          <w:p w14:paraId="38BA5DA7" w14:textId="45290400" w:rsidR="00AB3722" w:rsidRDefault="00AB3722" w:rsidP="00B67D31">
            <w:pPr>
              <w:spacing w:line="276" w:lineRule="auto"/>
              <w:jc w:val="both"/>
              <w:rPr>
                <w:rFonts w:ascii="Century Gothic" w:hAnsi="Century Gothic"/>
              </w:rPr>
            </w:pPr>
            <w:r>
              <w:rPr>
                <w:rFonts w:ascii="Century Gothic" w:hAnsi="Century Gothic"/>
              </w:rPr>
              <w:t xml:space="preserve">2. </w:t>
            </w:r>
            <w:r w:rsidR="00633E50" w:rsidRPr="00633E50">
              <w:rPr>
                <w:rFonts w:ascii="Century Gothic" w:hAnsi="Century Gothic"/>
              </w:rPr>
              <w:t>INEXISTENCIA DE LA OBLIGACIÓN DE INDEMNIZAR EN CABEZA DEL HOSPITAL SAN</w:t>
            </w:r>
            <w:r>
              <w:rPr>
                <w:rFonts w:ascii="Century Gothic" w:hAnsi="Century Gothic"/>
              </w:rPr>
              <w:t xml:space="preserve"> </w:t>
            </w:r>
            <w:r w:rsidR="00633E50" w:rsidRPr="00633E50">
              <w:rPr>
                <w:rFonts w:ascii="Century Gothic" w:hAnsi="Century Gothic"/>
              </w:rPr>
              <w:t>JUAN DE DIOS DE CALI ANTE LA INEXISTENCIA DE RESPONSABILIDAD</w:t>
            </w:r>
            <w:r>
              <w:rPr>
                <w:rFonts w:ascii="Century Gothic" w:hAnsi="Century Gothic"/>
              </w:rPr>
              <w:t>.</w:t>
            </w:r>
          </w:p>
          <w:p w14:paraId="666283EF" w14:textId="67BE1755" w:rsidR="00AB3722" w:rsidRDefault="00AB3722" w:rsidP="00B67D31">
            <w:pPr>
              <w:spacing w:line="276" w:lineRule="auto"/>
              <w:jc w:val="both"/>
              <w:rPr>
                <w:rFonts w:ascii="Century Gothic" w:hAnsi="Century Gothic"/>
              </w:rPr>
            </w:pPr>
            <w:r>
              <w:rPr>
                <w:rFonts w:ascii="Century Gothic" w:hAnsi="Century Gothic"/>
              </w:rPr>
              <w:t>3.</w:t>
            </w:r>
            <w:r w:rsidR="00633E50" w:rsidRPr="00633E50">
              <w:rPr>
                <w:rFonts w:ascii="Century Gothic" w:hAnsi="Century Gothic"/>
              </w:rPr>
              <w:t xml:space="preserve"> EXCEPCIÓN TERCERO: CUMPLIMIENTO DE LA LEX ARTIS EN LA ATENCIÓN AL PACIENTE LUISA </w:t>
            </w:r>
            <w:r w:rsidRPr="00633E50">
              <w:rPr>
                <w:rFonts w:ascii="Century Gothic" w:hAnsi="Century Gothic"/>
              </w:rPr>
              <w:t>MARÍA</w:t>
            </w:r>
            <w:r w:rsidR="00633E50" w:rsidRPr="00633E50">
              <w:rPr>
                <w:rFonts w:ascii="Century Gothic" w:hAnsi="Century Gothic"/>
              </w:rPr>
              <w:t xml:space="preserve"> P</w:t>
            </w:r>
            <w:r>
              <w:rPr>
                <w:rFonts w:ascii="Century Gothic" w:hAnsi="Century Gothic"/>
              </w:rPr>
              <w:t>ORTOCARRERO CHEME (</w:t>
            </w:r>
            <w:proofErr w:type="spellStart"/>
            <w:r>
              <w:rPr>
                <w:rFonts w:ascii="Century Gothic" w:hAnsi="Century Gothic"/>
              </w:rPr>
              <w:t>q.e.p.d</w:t>
            </w:r>
            <w:proofErr w:type="spellEnd"/>
            <w:r>
              <w:rPr>
                <w:rFonts w:ascii="Century Gothic" w:hAnsi="Century Gothic"/>
              </w:rPr>
              <w:t>).</w:t>
            </w:r>
          </w:p>
          <w:p w14:paraId="0275D4E2" w14:textId="73203C04" w:rsidR="00AB3722" w:rsidRDefault="00AB3722" w:rsidP="00B67D31">
            <w:pPr>
              <w:spacing w:line="276" w:lineRule="auto"/>
              <w:jc w:val="both"/>
              <w:rPr>
                <w:rFonts w:ascii="Century Gothic" w:hAnsi="Century Gothic"/>
              </w:rPr>
            </w:pPr>
            <w:r>
              <w:rPr>
                <w:rFonts w:ascii="Century Gothic" w:hAnsi="Century Gothic"/>
              </w:rPr>
              <w:t>4.</w:t>
            </w:r>
            <w:r w:rsidR="00633E50" w:rsidRPr="00633E50">
              <w:rPr>
                <w:rFonts w:ascii="Century Gothic" w:hAnsi="Century Gothic"/>
              </w:rPr>
              <w:t xml:space="preserve"> INEXISTENCIA DE PERJUICIO POR ACCIÓN U OMISIÓN DEL H</w:t>
            </w:r>
            <w:r>
              <w:rPr>
                <w:rFonts w:ascii="Century Gothic" w:hAnsi="Century Gothic"/>
              </w:rPr>
              <w:t>OSPITAL SAN JUAN DE DIOS DE CALI.</w:t>
            </w:r>
          </w:p>
          <w:p w14:paraId="1BA0C068" w14:textId="77777777" w:rsidR="00AB3722" w:rsidRDefault="00AB3722" w:rsidP="00B67D31">
            <w:pPr>
              <w:spacing w:line="276" w:lineRule="auto"/>
              <w:jc w:val="both"/>
              <w:rPr>
                <w:rFonts w:ascii="Century Gothic" w:hAnsi="Century Gothic"/>
              </w:rPr>
            </w:pPr>
            <w:r>
              <w:rPr>
                <w:rFonts w:ascii="Century Gothic" w:hAnsi="Century Gothic"/>
              </w:rPr>
              <w:t xml:space="preserve">5. </w:t>
            </w:r>
            <w:r w:rsidR="00633E50" w:rsidRPr="00633E50">
              <w:rPr>
                <w:rFonts w:ascii="Century Gothic" w:hAnsi="Century Gothic"/>
              </w:rPr>
              <w:t xml:space="preserve">INEXISTENCIA DE PRUEBA DE LA FALLA MÉDICA </w:t>
            </w:r>
          </w:p>
          <w:p w14:paraId="2F25080C" w14:textId="77777777" w:rsidR="00AB3722" w:rsidRDefault="00AB3722" w:rsidP="00B67D31">
            <w:pPr>
              <w:spacing w:line="276" w:lineRule="auto"/>
              <w:jc w:val="both"/>
              <w:rPr>
                <w:rFonts w:ascii="Century Gothic" w:hAnsi="Century Gothic"/>
              </w:rPr>
            </w:pPr>
            <w:r>
              <w:rPr>
                <w:rFonts w:ascii="Century Gothic" w:hAnsi="Century Gothic"/>
              </w:rPr>
              <w:t xml:space="preserve">6. </w:t>
            </w:r>
            <w:r w:rsidR="00633E50" w:rsidRPr="00633E50">
              <w:rPr>
                <w:rFonts w:ascii="Century Gothic" w:hAnsi="Century Gothic"/>
              </w:rPr>
              <w:t xml:space="preserve">EXONERACIÓN POR CUMPLIMIENTO DE LA OBLIGACIÓN DE MEDIO DE LA PROFESIÓN MÉDICA </w:t>
            </w:r>
          </w:p>
          <w:p w14:paraId="291BF848" w14:textId="77777777" w:rsidR="00AB3722" w:rsidRDefault="00AB3722" w:rsidP="00B67D31">
            <w:pPr>
              <w:spacing w:line="276" w:lineRule="auto"/>
              <w:jc w:val="both"/>
              <w:rPr>
                <w:rFonts w:ascii="Century Gothic" w:hAnsi="Century Gothic"/>
              </w:rPr>
            </w:pPr>
            <w:r>
              <w:rPr>
                <w:rFonts w:ascii="Century Gothic" w:hAnsi="Century Gothic"/>
              </w:rPr>
              <w:t xml:space="preserve">7. </w:t>
            </w:r>
            <w:r w:rsidR="00633E50" w:rsidRPr="00633E50">
              <w:rPr>
                <w:rFonts w:ascii="Century Gothic" w:hAnsi="Century Gothic"/>
              </w:rPr>
              <w:t>EXCESO DE PRETENSIONES A TI</w:t>
            </w:r>
            <w:r>
              <w:rPr>
                <w:rFonts w:ascii="Century Gothic" w:hAnsi="Century Gothic"/>
              </w:rPr>
              <w:t>TULO DE PERJUICIOS INMATERIALES.</w:t>
            </w:r>
          </w:p>
          <w:p w14:paraId="70734403" w14:textId="77777777" w:rsidR="00AB3722" w:rsidRDefault="00AB3722" w:rsidP="00B67D31">
            <w:pPr>
              <w:spacing w:line="276" w:lineRule="auto"/>
              <w:jc w:val="both"/>
              <w:rPr>
                <w:rFonts w:ascii="Century Gothic" w:hAnsi="Century Gothic"/>
              </w:rPr>
            </w:pPr>
            <w:r>
              <w:rPr>
                <w:rFonts w:ascii="Century Gothic" w:hAnsi="Century Gothic"/>
              </w:rPr>
              <w:t>8.</w:t>
            </w:r>
            <w:r w:rsidR="00633E50" w:rsidRPr="00633E50">
              <w:rPr>
                <w:rFonts w:ascii="Century Gothic" w:hAnsi="Century Gothic"/>
              </w:rPr>
              <w:t xml:space="preserve"> EXCESO DE PRETENSIONES A</w:t>
            </w:r>
            <w:r>
              <w:rPr>
                <w:rFonts w:ascii="Century Gothic" w:hAnsi="Century Gothic"/>
              </w:rPr>
              <w:t xml:space="preserve"> TITULO DE DAÑOS MATERIALES.</w:t>
            </w:r>
          </w:p>
          <w:p w14:paraId="5749E244" w14:textId="77777777" w:rsidR="00AB3722" w:rsidRDefault="00AB3722" w:rsidP="00B67D31">
            <w:pPr>
              <w:spacing w:line="276" w:lineRule="auto"/>
              <w:jc w:val="both"/>
              <w:rPr>
                <w:rFonts w:ascii="Century Gothic" w:hAnsi="Century Gothic"/>
              </w:rPr>
            </w:pPr>
            <w:r>
              <w:rPr>
                <w:rFonts w:ascii="Century Gothic" w:hAnsi="Century Gothic"/>
              </w:rPr>
              <w:t>9.</w:t>
            </w:r>
            <w:r w:rsidR="00633E50" w:rsidRPr="00633E50">
              <w:rPr>
                <w:rFonts w:ascii="Century Gothic" w:hAnsi="Century Gothic"/>
              </w:rPr>
              <w:t>CARGA DE LA PRUEBA DE LOS PERJUICIOS SUFRIDOS Y DE LA RE</w:t>
            </w:r>
            <w:r>
              <w:rPr>
                <w:rFonts w:ascii="Century Gothic" w:hAnsi="Century Gothic"/>
              </w:rPr>
              <w:t>SPONSABILIDAD DEL ASEGURADO.</w:t>
            </w:r>
          </w:p>
          <w:p w14:paraId="379A15D4" w14:textId="77777777" w:rsidR="00AB3722" w:rsidRDefault="00AB3722" w:rsidP="00B67D31">
            <w:pPr>
              <w:spacing w:line="276" w:lineRule="auto"/>
              <w:jc w:val="both"/>
              <w:rPr>
                <w:rFonts w:ascii="Century Gothic" w:hAnsi="Century Gothic"/>
              </w:rPr>
            </w:pPr>
            <w:r>
              <w:rPr>
                <w:rFonts w:ascii="Century Gothic" w:hAnsi="Century Gothic"/>
              </w:rPr>
              <w:t xml:space="preserve">10. </w:t>
            </w:r>
            <w:r w:rsidR="00633E50" w:rsidRPr="00633E50">
              <w:rPr>
                <w:rFonts w:ascii="Century Gothic" w:hAnsi="Century Gothic"/>
              </w:rPr>
              <w:t>INDETERMINACIÓN DE LOS PERJUICIOS RECLAMADOS Y FALTA DE PRUEBA DE ESTOS</w:t>
            </w:r>
            <w:r>
              <w:rPr>
                <w:rFonts w:ascii="Century Gothic" w:hAnsi="Century Gothic"/>
              </w:rPr>
              <w:t>.</w:t>
            </w:r>
            <w:r w:rsidR="00633E50" w:rsidRPr="00633E50">
              <w:rPr>
                <w:rFonts w:ascii="Century Gothic" w:hAnsi="Century Gothic"/>
              </w:rPr>
              <w:t xml:space="preserve"> </w:t>
            </w:r>
            <w:r>
              <w:rPr>
                <w:rFonts w:ascii="Century Gothic" w:hAnsi="Century Gothic"/>
              </w:rPr>
              <w:t>11. COBRO DE LO NO DEBIDO.</w:t>
            </w:r>
          </w:p>
          <w:p w14:paraId="552C83EC" w14:textId="77777777" w:rsidR="00AB3722" w:rsidRDefault="00AB3722" w:rsidP="00B67D31">
            <w:pPr>
              <w:spacing w:line="276" w:lineRule="auto"/>
              <w:jc w:val="both"/>
              <w:rPr>
                <w:rFonts w:ascii="Century Gothic" w:hAnsi="Century Gothic"/>
              </w:rPr>
            </w:pPr>
            <w:r>
              <w:rPr>
                <w:rFonts w:ascii="Century Gothic" w:hAnsi="Century Gothic"/>
              </w:rPr>
              <w:t xml:space="preserve">12. </w:t>
            </w:r>
            <w:r w:rsidR="00633E50" w:rsidRPr="00633E50">
              <w:rPr>
                <w:rFonts w:ascii="Century Gothic" w:hAnsi="Century Gothic"/>
              </w:rPr>
              <w:t xml:space="preserve">INEXISTENCIA DE SOLIDARIDAD CON LA EQUIDAD SEGUROS GENERALES ORGANISMO COOPERATIVO </w:t>
            </w:r>
          </w:p>
          <w:p w14:paraId="16A4C5F7" w14:textId="77777777" w:rsidR="00AB3722" w:rsidRDefault="00AB3722" w:rsidP="00B67D31">
            <w:pPr>
              <w:spacing w:line="276" w:lineRule="auto"/>
              <w:jc w:val="both"/>
              <w:rPr>
                <w:rFonts w:ascii="Century Gothic" w:hAnsi="Century Gothic"/>
              </w:rPr>
            </w:pPr>
            <w:r>
              <w:rPr>
                <w:rFonts w:ascii="Century Gothic" w:hAnsi="Century Gothic"/>
              </w:rPr>
              <w:t xml:space="preserve">13. </w:t>
            </w:r>
            <w:r w:rsidR="00633E50" w:rsidRPr="00633E50">
              <w:rPr>
                <w:rFonts w:ascii="Century Gothic" w:hAnsi="Century Gothic"/>
              </w:rPr>
              <w:t xml:space="preserve">CONCURRENCIA DE CULPAS </w:t>
            </w:r>
          </w:p>
          <w:p w14:paraId="6698C9FB" w14:textId="77777777" w:rsidR="00AB3722" w:rsidRDefault="00AB3722" w:rsidP="00B67D31">
            <w:pPr>
              <w:spacing w:line="276" w:lineRule="auto"/>
              <w:jc w:val="both"/>
              <w:rPr>
                <w:rFonts w:ascii="Century Gothic" w:hAnsi="Century Gothic"/>
              </w:rPr>
            </w:pPr>
            <w:r>
              <w:rPr>
                <w:rFonts w:ascii="Century Gothic" w:hAnsi="Century Gothic"/>
              </w:rPr>
              <w:t xml:space="preserve">14. </w:t>
            </w:r>
            <w:r w:rsidR="00633E50" w:rsidRPr="00633E50">
              <w:rPr>
                <w:rFonts w:ascii="Century Gothic" w:hAnsi="Century Gothic"/>
              </w:rPr>
              <w:t xml:space="preserve">GRADUACIÓN DE LA CULPA POR CAUSALIDAD CONJUNTA DE LOS AGENTES GENERADORES DEL DAÑO, CON BASE EN SU GRADO DE CONTRIBUCIÓN </w:t>
            </w:r>
          </w:p>
          <w:p w14:paraId="56C722DE" w14:textId="77777777" w:rsidR="00AB3722" w:rsidRDefault="00AB3722" w:rsidP="00B67D31">
            <w:pPr>
              <w:spacing w:line="276" w:lineRule="auto"/>
              <w:jc w:val="both"/>
              <w:rPr>
                <w:rFonts w:ascii="Century Gothic" w:hAnsi="Century Gothic"/>
              </w:rPr>
            </w:pPr>
            <w:r>
              <w:rPr>
                <w:rFonts w:ascii="Century Gothic" w:hAnsi="Century Gothic"/>
              </w:rPr>
              <w:t xml:space="preserve">15. </w:t>
            </w:r>
            <w:r w:rsidR="00633E50" w:rsidRPr="00633E50">
              <w:rPr>
                <w:rFonts w:ascii="Century Gothic" w:hAnsi="Century Gothic"/>
              </w:rPr>
              <w:t>CLAUSULA CLAIMS MADE Y AUSENCIA DE</w:t>
            </w:r>
            <w:r>
              <w:rPr>
                <w:rFonts w:ascii="Century Gothic" w:hAnsi="Century Gothic"/>
              </w:rPr>
              <w:t xml:space="preserve"> COBERTURA.</w:t>
            </w:r>
          </w:p>
          <w:p w14:paraId="2EC22995" w14:textId="6503EE29" w:rsidR="00AB3722" w:rsidRDefault="00AB3722" w:rsidP="00B67D31">
            <w:pPr>
              <w:spacing w:line="276" w:lineRule="auto"/>
              <w:jc w:val="both"/>
              <w:rPr>
                <w:rFonts w:ascii="Century Gothic" w:hAnsi="Century Gothic"/>
              </w:rPr>
            </w:pPr>
            <w:r>
              <w:rPr>
                <w:rFonts w:ascii="Century Gothic" w:hAnsi="Century Gothic"/>
              </w:rPr>
              <w:t xml:space="preserve">16. </w:t>
            </w:r>
            <w:r w:rsidR="00633E50" w:rsidRPr="00633E50">
              <w:rPr>
                <w:rFonts w:ascii="Century Gothic" w:hAnsi="Century Gothic"/>
              </w:rPr>
              <w:t xml:space="preserve">FALTA DE COBERTURA Y/O VIGENCIA </w:t>
            </w:r>
          </w:p>
          <w:p w14:paraId="5298AAA3" w14:textId="77777777" w:rsidR="00AB3722" w:rsidRDefault="00AB3722" w:rsidP="00B67D31">
            <w:pPr>
              <w:spacing w:line="276" w:lineRule="auto"/>
              <w:jc w:val="both"/>
              <w:rPr>
                <w:rFonts w:ascii="Century Gothic" w:hAnsi="Century Gothic"/>
              </w:rPr>
            </w:pPr>
            <w:r>
              <w:rPr>
                <w:rFonts w:ascii="Century Gothic" w:hAnsi="Century Gothic"/>
              </w:rPr>
              <w:t xml:space="preserve">17. </w:t>
            </w:r>
            <w:r w:rsidR="00633E50" w:rsidRPr="00633E50">
              <w:rPr>
                <w:rFonts w:ascii="Century Gothic" w:hAnsi="Century Gothic"/>
              </w:rPr>
              <w:t xml:space="preserve">SUJECIÓN AL CONTRATO DE SEGURO CELEBRADO </w:t>
            </w:r>
          </w:p>
          <w:p w14:paraId="00D79E9A" w14:textId="77777777" w:rsidR="00AB3722" w:rsidRDefault="00AB3722" w:rsidP="00B67D31">
            <w:pPr>
              <w:spacing w:line="276" w:lineRule="auto"/>
              <w:jc w:val="both"/>
              <w:rPr>
                <w:rFonts w:ascii="Century Gothic" w:hAnsi="Century Gothic"/>
              </w:rPr>
            </w:pPr>
            <w:r>
              <w:rPr>
                <w:rFonts w:ascii="Century Gothic" w:hAnsi="Century Gothic"/>
              </w:rPr>
              <w:t>18. LIMITE VALOR ASEGURADO.</w:t>
            </w:r>
          </w:p>
          <w:p w14:paraId="14A3C03A" w14:textId="77777777" w:rsidR="00AB3722" w:rsidRDefault="00AB3722" w:rsidP="00B67D31">
            <w:pPr>
              <w:spacing w:line="276" w:lineRule="auto"/>
              <w:jc w:val="both"/>
              <w:rPr>
                <w:rFonts w:ascii="Century Gothic" w:hAnsi="Century Gothic"/>
              </w:rPr>
            </w:pPr>
            <w:r>
              <w:rPr>
                <w:rFonts w:ascii="Century Gothic" w:hAnsi="Century Gothic"/>
              </w:rPr>
              <w:t xml:space="preserve">19. </w:t>
            </w:r>
            <w:r w:rsidR="00633E50" w:rsidRPr="00633E50">
              <w:rPr>
                <w:rFonts w:ascii="Century Gothic" w:hAnsi="Century Gothic"/>
              </w:rPr>
              <w:t>AMPAROS Y COBERTURAS DE LA PÓLIZA</w:t>
            </w:r>
            <w:r>
              <w:rPr>
                <w:rFonts w:ascii="Century Gothic" w:hAnsi="Century Gothic"/>
              </w:rPr>
              <w:t>.</w:t>
            </w:r>
          </w:p>
          <w:p w14:paraId="553E4A18" w14:textId="77777777" w:rsidR="00AB3722" w:rsidRDefault="00AB3722" w:rsidP="00B67D31">
            <w:pPr>
              <w:spacing w:line="276" w:lineRule="auto"/>
              <w:jc w:val="both"/>
              <w:rPr>
                <w:rFonts w:ascii="Century Gothic" w:hAnsi="Century Gothic"/>
              </w:rPr>
            </w:pPr>
            <w:r>
              <w:rPr>
                <w:rFonts w:ascii="Century Gothic" w:hAnsi="Century Gothic"/>
              </w:rPr>
              <w:t>20. DEDUCIBLE PACTADO.</w:t>
            </w:r>
          </w:p>
          <w:p w14:paraId="2751447C" w14:textId="77777777" w:rsidR="00AB3722" w:rsidRDefault="00AB3722" w:rsidP="00B67D31">
            <w:pPr>
              <w:spacing w:line="276" w:lineRule="auto"/>
              <w:jc w:val="both"/>
              <w:rPr>
                <w:rFonts w:ascii="Century Gothic" w:hAnsi="Century Gothic"/>
              </w:rPr>
            </w:pPr>
            <w:r>
              <w:rPr>
                <w:rFonts w:ascii="Century Gothic" w:hAnsi="Century Gothic"/>
              </w:rPr>
              <w:t xml:space="preserve">21. </w:t>
            </w:r>
            <w:r w:rsidR="00633E50" w:rsidRPr="00633E50">
              <w:rPr>
                <w:rFonts w:ascii="Century Gothic" w:hAnsi="Century Gothic"/>
              </w:rPr>
              <w:t xml:space="preserve">INEXISTENCIA DE PRUEBA DE RESPONSABILIDAD FRENTE AL ASEGURADO </w:t>
            </w:r>
          </w:p>
          <w:p w14:paraId="50CDC194" w14:textId="77777777" w:rsidR="00AB3722" w:rsidRDefault="00AB3722" w:rsidP="00B67D31">
            <w:pPr>
              <w:spacing w:line="276" w:lineRule="auto"/>
              <w:jc w:val="both"/>
              <w:rPr>
                <w:rFonts w:ascii="Century Gothic" w:hAnsi="Century Gothic"/>
              </w:rPr>
            </w:pPr>
            <w:r>
              <w:rPr>
                <w:rFonts w:ascii="Century Gothic" w:hAnsi="Century Gothic"/>
              </w:rPr>
              <w:t>22.</w:t>
            </w:r>
            <w:r w:rsidR="00633E50" w:rsidRPr="00633E50">
              <w:rPr>
                <w:rFonts w:ascii="Century Gothic" w:hAnsi="Century Gothic"/>
              </w:rPr>
              <w:t xml:space="preserve"> CARGA DE LA PRUEBA DE LOS PERJUICIOS SUFRIDOS Y DE LA</w:t>
            </w:r>
            <w:r>
              <w:rPr>
                <w:rFonts w:ascii="Century Gothic" w:hAnsi="Century Gothic"/>
              </w:rPr>
              <w:t xml:space="preserve"> RESPONSABILIDAD DEL HOSPITAL.</w:t>
            </w:r>
          </w:p>
          <w:p w14:paraId="7F11B2A7" w14:textId="77777777" w:rsidR="00AB3722" w:rsidRDefault="00AB3722" w:rsidP="00B67D31">
            <w:pPr>
              <w:spacing w:line="276" w:lineRule="auto"/>
              <w:jc w:val="both"/>
              <w:rPr>
                <w:rFonts w:ascii="Century Gothic" w:hAnsi="Century Gothic"/>
              </w:rPr>
            </w:pPr>
            <w:r>
              <w:rPr>
                <w:rFonts w:ascii="Century Gothic" w:hAnsi="Century Gothic"/>
              </w:rPr>
              <w:t xml:space="preserve">23. </w:t>
            </w:r>
            <w:r w:rsidR="00633E50" w:rsidRPr="00633E50">
              <w:rPr>
                <w:rFonts w:ascii="Century Gothic" w:hAnsi="Century Gothic"/>
              </w:rPr>
              <w:t>APLICACIÓN DE LAS EXCLUSIONES DE LA PÓLIZA DE RESPO</w:t>
            </w:r>
            <w:r>
              <w:rPr>
                <w:rFonts w:ascii="Century Gothic" w:hAnsi="Century Gothic"/>
              </w:rPr>
              <w:t>NSABILIDAD CONTRACTUAL CLÍNICAS.</w:t>
            </w:r>
          </w:p>
          <w:p w14:paraId="7012D753" w14:textId="77777777" w:rsidR="00AB3722" w:rsidRDefault="00AB3722" w:rsidP="00B67D31">
            <w:pPr>
              <w:spacing w:line="276" w:lineRule="auto"/>
              <w:jc w:val="both"/>
              <w:rPr>
                <w:rFonts w:ascii="Century Gothic" w:hAnsi="Century Gothic"/>
              </w:rPr>
            </w:pPr>
            <w:r>
              <w:rPr>
                <w:rFonts w:ascii="Century Gothic" w:hAnsi="Century Gothic"/>
              </w:rPr>
              <w:t xml:space="preserve">24. </w:t>
            </w:r>
            <w:r w:rsidR="00633E50" w:rsidRPr="00633E50">
              <w:rPr>
                <w:rFonts w:ascii="Century Gothic" w:hAnsi="Century Gothic"/>
              </w:rPr>
              <w:t>DISPONIBILIDAD Y/</w:t>
            </w:r>
            <w:r>
              <w:rPr>
                <w:rFonts w:ascii="Century Gothic" w:hAnsi="Century Gothic"/>
              </w:rPr>
              <w:t>O REDUCCIÓN DEL VALOR ASEGURADO.</w:t>
            </w:r>
          </w:p>
          <w:p w14:paraId="3739C4B7" w14:textId="77777777" w:rsidR="00AB3722" w:rsidRDefault="00AB3722" w:rsidP="00B67D31">
            <w:pPr>
              <w:spacing w:line="276" w:lineRule="auto"/>
              <w:jc w:val="both"/>
              <w:rPr>
                <w:rFonts w:ascii="Century Gothic" w:hAnsi="Century Gothic"/>
              </w:rPr>
            </w:pPr>
            <w:r>
              <w:rPr>
                <w:rFonts w:ascii="Century Gothic" w:hAnsi="Century Gothic"/>
              </w:rPr>
              <w:t>25.</w:t>
            </w:r>
            <w:r w:rsidR="00633E50" w:rsidRPr="00633E50">
              <w:rPr>
                <w:rFonts w:ascii="Century Gothic" w:hAnsi="Century Gothic"/>
              </w:rPr>
              <w:t xml:space="preserve"> EL CONTRATO ES LEY PARA LAS PARTES</w:t>
            </w:r>
            <w:r>
              <w:rPr>
                <w:rFonts w:ascii="Century Gothic" w:hAnsi="Century Gothic"/>
              </w:rPr>
              <w:t>.</w:t>
            </w:r>
          </w:p>
          <w:p w14:paraId="41F4C58B" w14:textId="77777777" w:rsidR="00AB3722" w:rsidRDefault="00AB3722" w:rsidP="00B67D31">
            <w:pPr>
              <w:spacing w:line="276" w:lineRule="auto"/>
              <w:jc w:val="both"/>
              <w:rPr>
                <w:rFonts w:ascii="Century Gothic" w:hAnsi="Century Gothic"/>
              </w:rPr>
            </w:pPr>
            <w:r>
              <w:rPr>
                <w:rFonts w:ascii="Century Gothic" w:hAnsi="Century Gothic"/>
              </w:rPr>
              <w:t>26.</w:t>
            </w:r>
            <w:r w:rsidR="00633E50" w:rsidRPr="00633E50">
              <w:rPr>
                <w:rFonts w:ascii="Century Gothic" w:hAnsi="Century Gothic"/>
              </w:rPr>
              <w:t xml:space="preserve"> IMPRO</w:t>
            </w:r>
            <w:r>
              <w:rPr>
                <w:rFonts w:ascii="Century Gothic" w:hAnsi="Century Gothic"/>
              </w:rPr>
              <w:t>CEDENCIA DEL COBRO DE INTERESES.</w:t>
            </w:r>
          </w:p>
          <w:p w14:paraId="5262E296" w14:textId="18EDBAB4" w:rsidR="00B67D31" w:rsidRPr="00AB3722" w:rsidRDefault="00AB3722" w:rsidP="00B67D31">
            <w:pPr>
              <w:spacing w:line="276" w:lineRule="auto"/>
              <w:jc w:val="both"/>
              <w:rPr>
                <w:rFonts w:ascii="Century Gothic" w:hAnsi="Century Gothic"/>
              </w:rPr>
            </w:pPr>
            <w:r>
              <w:rPr>
                <w:rFonts w:ascii="Century Gothic" w:hAnsi="Century Gothic"/>
              </w:rPr>
              <w:lastRenderedPageBreak/>
              <w:t xml:space="preserve">27. </w:t>
            </w:r>
            <w:r w:rsidR="00633E50" w:rsidRPr="00633E50">
              <w:rPr>
                <w:rFonts w:ascii="Century Gothic" w:hAnsi="Century Gothic"/>
              </w:rPr>
              <w:t xml:space="preserve">LAS EVENTUALES CONDENAS DEBERÁN SUPEDITARSE AL VALOR ASEGURADO DISPUESTO EN LA CARATULA DE LA PÓLIZA O AL VALOR QUE SE ENCUENTRE DISPONIBLE </w:t>
            </w:r>
            <w:r>
              <w:rPr>
                <w:rFonts w:ascii="Century Gothic" w:hAnsi="Century Gothic"/>
              </w:rPr>
              <w:t xml:space="preserve">28. </w:t>
            </w:r>
            <w:r w:rsidR="00633E50" w:rsidRPr="00633E50">
              <w:rPr>
                <w:rFonts w:ascii="Century Gothic" w:hAnsi="Century Gothic"/>
              </w:rPr>
              <w:t>LA INNOMINADA INCLUYENDO LA PRESCRIPCIÓN DE LAS ACCIONES QUE SE DERIVEN DEL CONTRATO DE SEGURO.</w:t>
            </w:r>
          </w:p>
          <w:p w14:paraId="52CE2D52" w14:textId="7B47AD84" w:rsidR="00B67D31" w:rsidRPr="00BA1E5F" w:rsidRDefault="00B67D31" w:rsidP="00B67D31">
            <w:pPr>
              <w:spacing w:line="276" w:lineRule="auto"/>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7A531F42" w:rsidR="00EE687D" w:rsidRPr="00BA1E5F" w:rsidRDefault="00633E5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10287957</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737480C3" w:rsidR="006F0CAA" w:rsidRPr="00BA1E5F" w:rsidRDefault="00633E5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6F14C6">
              <w:rPr>
                <w:rFonts w:ascii="Century Gothic" w:hAnsi="Century Gothic" w:cs="Segoe UI"/>
                <w:sz w:val="22"/>
                <w:szCs w:val="22"/>
                <w:lang w:eastAsia="es-CO"/>
              </w:rPr>
              <w:t xml:space="preserve">PTE </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72A7577E" w:rsidR="00EE687D" w:rsidRPr="00BA1E5F" w:rsidRDefault="00633E5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AA005294</w:t>
            </w:r>
            <w:r w:rsidR="00B67D31">
              <w:rPr>
                <w:rFonts w:ascii="Century Gothic" w:hAnsi="Century Gothic" w:cs="Segoe UI"/>
                <w:sz w:val="22"/>
                <w:szCs w:val="22"/>
                <w:lang w:eastAsia="es-CO"/>
              </w:rPr>
              <w:t xml:space="preserve"> </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2306BBD8" w:rsidR="00EE687D" w:rsidRPr="00BA1E5F" w:rsidRDefault="00633E5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6F14C6">
              <w:rPr>
                <w:rFonts w:ascii="Century Gothic" w:hAnsi="Century Gothic" w:cs="Segoe UI"/>
                <w:sz w:val="22"/>
                <w:szCs w:val="22"/>
                <w:lang w:eastAsia="es-CO"/>
              </w:rPr>
              <w:t>PTE</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546109A3" w:rsidR="00B67D31" w:rsidRPr="00BA1E5F" w:rsidRDefault="00633E5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6F14C6">
              <w:rPr>
                <w:rFonts w:ascii="Century Gothic" w:hAnsi="Century Gothic" w:cs="Segoe UI"/>
                <w:sz w:val="22"/>
                <w:szCs w:val="22"/>
                <w:lang w:eastAsia="es-CO"/>
              </w:rPr>
              <w:t>PTE</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6EDC4E82" w:rsidR="00B90E05" w:rsidRPr="00BA1E5F" w:rsidRDefault="00633E50"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Pr="00633E50">
              <w:rPr>
                <w:rStyle w:val="Estilo3"/>
                <w:b w:val="0"/>
              </w:rPr>
              <w:t>FRANQUICIA PROMOTORA SOLES LTDA.</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32BC90A" w:rsidR="00EE687D" w:rsidRPr="00BA1E5F" w:rsidRDefault="00B67D31"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w:t>
            </w:r>
            <w:r w:rsidR="001B58A2">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431B6FF" w:rsidR="001C44B4" w:rsidRPr="00BA1E5F" w:rsidRDefault="00633E50" w:rsidP="001C44B4">
            <w:pPr>
              <w:jc w:val="both"/>
              <w:rPr>
                <w:rFonts w:ascii="Century Gothic" w:hAnsi="Century Gothic" w:cs="Segoe UI"/>
                <w:sz w:val="22"/>
                <w:szCs w:val="22"/>
                <w:lang w:eastAsia="es-CO"/>
              </w:rPr>
            </w:pPr>
            <w:r>
              <w:rPr>
                <w:rFonts w:ascii="Century Gothic" w:hAnsi="Century Gothic" w:cs="Segoe UI"/>
                <w:sz w:val="22"/>
                <w:szCs w:val="22"/>
                <w:lang w:eastAsia="es-CO"/>
              </w:rPr>
              <w:t>01/08/2020</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2579BF9F"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1D776423" w:rsidR="001C44B4"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156A45AD" w:rsidR="001C44B4" w:rsidRPr="00BA1E5F" w:rsidRDefault="00633E50" w:rsidP="001C44B4">
            <w:pPr>
              <w:jc w:val="both"/>
              <w:rPr>
                <w:rFonts w:ascii="Century Gothic" w:hAnsi="Century Gothic" w:cs="Segoe UI"/>
                <w:sz w:val="22"/>
                <w:szCs w:val="22"/>
                <w:lang w:eastAsia="es-CO"/>
              </w:rPr>
            </w:pPr>
            <w:r>
              <w:rPr>
                <w:rFonts w:ascii="Century Gothic" w:hAnsi="Century Gothic" w:cs="Segoe UI"/>
                <w:sz w:val="22"/>
                <w:szCs w:val="22"/>
                <w:lang w:eastAsia="es-CO"/>
              </w:rPr>
              <w:t>HOSPITAL SAN JUAN DE DIOS DE CALI</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1EDE73A" w:rsidR="001C44B4" w:rsidRPr="00BA1E5F" w:rsidRDefault="00633E50"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HOSPITAL SAN JUAN DE DIOS DE CALI</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47F9CF3F" w:rsidR="001C44B4" w:rsidRPr="00BA1E5F" w:rsidRDefault="00633E50"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RC SALUD</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29BB8696" w:rsidR="001C44B4" w:rsidRPr="00BA1E5F" w:rsidRDefault="006F14C6" w:rsidP="001C44B4">
            <w:pPr>
              <w:jc w:val="both"/>
              <w:rPr>
                <w:rFonts w:ascii="Century Gothic" w:hAnsi="Century Gothic" w:cs="Segoe UI"/>
                <w:sz w:val="22"/>
                <w:szCs w:val="22"/>
                <w:lang w:eastAsia="es-CO"/>
              </w:rPr>
            </w:pPr>
            <w:r>
              <w:rPr>
                <w:rFonts w:ascii="Century Gothic" w:hAnsi="Century Gothic" w:cs="Segoe UI"/>
                <w:sz w:val="22"/>
                <w:szCs w:val="22"/>
                <w:lang w:eastAsia="es-CO"/>
              </w:rPr>
              <w:t>PTE</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9295927" w:rsidR="001C44B4" w:rsidRPr="00BA1E5F" w:rsidRDefault="00AB372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$1.000.000.000</w:t>
            </w:r>
            <w:r w:rsidR="001B58A2">
              <w:rPr>
                <w:rFonts w:ascii="Century Gothic" w:hAnsi="Century Gothic" w:cs="Segoe UI"/>
                <w:sz w:val="22"/>
                <w:szCs w:val="22"/>
                <w:lang w:eastAsia="es-CO"/>
              </w:rPr>
              <w:t xml:space="preserve"> </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53D6F648" w:rsidR="001129B6" w:rsidRPr="00BA1E5F" w:rsidRDefault="001B58A2"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 N/A</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4C21AF4" w:rsidR="001C44B4" w:rsidRPr="00BA1E5F" w:rsidRDefault="00AB3722" w:rsidP="001C44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lastRenderedPageBreak/>
              <w:t>Calificación de la contingencia</w:t>
            </w:r>
          </w:p>
        </w:tc>
        <w:tc>
          <w:tcPr>
            <w:tcW w:w="6520" w:type="dxa"/>
          </w:tcPr>
          <w:p w14:paraId="6F4874B3" w14:textId="3BABD4BF" w:rsidR="002633C0" w:rsidRPr="00BA1E5F" w:rsidRDefault="00AB3722"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0D3CE660" w:rsidR="002633C0" w:rsidRPr="00BA1E5F" w:rsidRDefault="00AB3722" w:rsidP="003314A2">
            <w:pPr>
              <w:spacing w:line="360" w:lineRule="auto"/>
              <w:rPr>
                <w:rFonts w:ascii="Century Gothic" w:hAnsi="Century Gothic"/>
                <w:sz w:val="22"/>
                <w:szCs w:val="22"/>
              </w:rPr>
            </w:pPr>
            <w:r>
              <w:rPr>
                <w:rFonts w:ascii="Century Gothic" w:hAnsi="Century Gothic"/>
                <w:sz w:val="22"/>
                <w:szCs w:val="22"/>
              </w:rPr>
              <w:t>$75.844.080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7FA48790" w14:textId="77777777" w:rsidR="00AB3722" w:rsidRPr="00AB3722" w:rsidRDefault="00AB3722" w:rsidP="00AB3722">
            <w:pPr>
              <w:spacing w:line="360" w:lineRule="auto"/>
              <w:jc w:val="both"/>
              <w:rPr>
                <w:rFonts w:ascii="Century Gothic" w:hAnsi="Century Gothic"/>
                <w:sz w:val="22"/>
                <w:szCs w:val="22"/>
                <w:lang w:val="es-CO"/>
              </w:rPr>
            </w:pPr>
            <w:r w:rsidRPr="00AB3722">
              <w:rPr>
                <w:rFonts w:ascii="Century Gothic" w:hAnsi="Century Gothic"/>
                <w:sz w:val="22"/>
                <w:szCs w:val="22"/>
                <w:lang w:val="es-CO"/>
              </w:rPr>
              <w:t>La contingencia se califica como </w:t>
            </w:r>
            <w:r w:rsidRPr="00AB3722">
              <w:rPr>
                <w:rFonts w:ascii="Century Gothic" w:hAnsi="Century Gothic"/>
                <w:b/>
                <w:bCs/>
                <w:sz w:val="22"/>
                <w:szCs w:val="22"/>
                <w:lang w:val="es-CO"/>
              </w:rPr>
              <w:t>REMOTA, </w:t>
            </w:r>
            <w:r w:rsidRPr="00AB3722">
              <w:rPr>
                <w:rFonts w:ascii="Century Gothic" w:hAnsi="Century Gothic"/>
                <w:sz w:val="22"/>
                <w:szCs w:val="22"/>
                <w:lang w:val="es-CO"/>
              </w:rPr>
              <w:t>debido a que, si bien el contrato de seguro presta cobertura material, no tiene cobertura temporal.</w:t>
            </w:r>
          </w:p>
          <w:p w14:paraId="65F19EEA" w14:textId="77777777" w:rsidR="00AB3722" w:rsidRPr="00AB3722" w:rsidRDefault="00AB3722" w:rsidP="00AB3722">
            <w:pPr>
              <w:spacing w:line="360" w:lineRule="auto"/>
              <w:jc w:val="both"/>
              <w:rPr>
                <w:rFonts w:ascii="Century Gothic" w:hAnsi="Century Gothic"/>
                <w:sz w:val="22"/>
                <w:szCs w:val="22"/>
                <w:lang w:val="es-CO"/>
              </w:rPr>
            </w:pPr>
          </w:p>
          <w:p w14:paraId="016A5DBD" w14:textId="0C1816D0" w:rsidR="00AB3722" w:rsidRDefault="00AB3722" w:rsidP="00AB3722">
            <w:pPr>
              <w:spacing w:line="360" w:lineRule="auto"/>
              <w:jc w:val="both"/>
              <w:rPr>
                <w:rFonts w:ascii="Century Gothic" w:hAnsi="Century Gothic"/>
                <w:sz w:val="22"/>
                <w:szCs w:val="22"/>
                <w:lang w:val="es-CO"/>
              </w:rPr>
            </w:pPr>
            <w:r w:rsidRPr="00AB3722">
              <w:rPr>
                <w:rFonts w:ascii="Century Gothic" w:hAnsi="Century Gothic"/>
                <w:sz w:val="22"/>
                <w:szCs w:val="22"/>
                <w:lang w:val="es-CO"/>
              </w:rPr>
              <w:t>La Póliza de Responsabilidad Civil Profesional Clínicas No. AA005294, cuyo tomador y asegurado es el Hospital San Juan de Dios de Cali otorga cobertura material, en la medida en que ampara la responsabilidad civil institucional. Sin embargo, no ofrece cobertura temporal respecto de los hechos objeto de la demanda. El contrato de seguro fue pactado bajo la modalidad </w:t>
            </w:r>
            <w:proofErr w:type="spellStart"/>
            <w:r w:rsidRPr="00AB3722">
              <w:rPr>
                <w:rFonts w:ascii="Century Gothic" w:hAnsi="Century Gothic"/>
                <w:i/>
                <w:iCs/>
                <w:sz w:val="22"/>
                <w:szCs w:val="22"/>
                <w:lang w:val="es-CO"/>
              </w:rPr>
              <w:t>claims</w:t>
            </w:r>
            <w:proofErr w:type="spellEnd"/>
            <w:r w:rsidRPr="00AB3722">
              <w:rPr>
                <w:rFonts w:ascii="Century Gothic" w:hAnsi="Century Gothic"/>
                <w:i/>
                <w:iCs/>
                <w:sz w:val="22"/>
                <w:szCs w:val="22"/>
                <w:lang w:val="es-CO"/>
              </w:rPr>
              <w:t xml:space="preserve"> </w:t>
            </w:r>
            <w:proofErr w:type="spellStart"/>
            <w:r w:rsidRPr="00AB3722">
              <w:rPr>
                <w:rFonts w:ascii="Century Gothic" w:hAnsi="Century Gothic"/>
                <w:i/>
                <w:iCs/>
                <w:sz w:val="22"/>
                <w:szCs w:val="22"/>
                <w:lang w:val="es-CO"/>
              </w:rPr>
              <w:t>made</w:t>
            </w:r>
            <w:proofErr w:type="spellEnd"/>
            <w:r w:rsidRPr="00AB3722">
              <w:rPr>
                <w:rFonts w:ascii="Century Gothic" w:hAnsi="Century Gothic"/>
                <w:i/>
                <w:iCs/>
                <w:sz w:val="22"/>
                <w:szCs w:val="22"/>
                <w:lang w:val="es-CO"/>
              </w:rPr>
              <w:t>, </w:t>
            </w:r>
            <w:r w:rsidRPr="00AB3722">
              <w:rPr>
                <w:rFonts w:ascii="Century Gothic" w:hAnsi="Century Gothic"/>
                <w:sz w:val="22"/>
                <w:szCs w:val="22"/>
                <w:lang w:val="es-CO"/>
              </w:rPr>
              <w:t>lo que implica que solo se encuentran amparados los hechos ocurridos dentro de la vigencia o desde la fecha de retroactividad siempre y cuando la primera reclamación contra el asegurado o la aseguradora también se haya formulado dentro del periodo contractual. La vigencia de la póliza comprende desde el 7 de enero de 2019 hasta el 7 de enero de 2021, con un periodo de retroactividad desde el 1 de enero de 2016. Aunque el hecho (fallecimiento de la joven Luisa María Portocarrero) ocurrió el 1 de agosto de 2020, la primera reclamación se presentó el 27 de julio de 2022, con la radicación de la solicitud de conciliación extrajudicial ante la Procuraduría 57 Judicial I para Asuntos Administrativos, fecha para la cual la póliza no se encontraba vigente y no se había contratado ninguna extensión del periodo de reclamación que permitiera conservar la cobertura más allá del 7 de enero de 2021. En consecuencia, desde la perspectiva temporal, los hechos no se encuentran cubiertos.</w:t>
            </w:r>
          </w:p>
          <w:p w14:paraId="132FE00A" w14:textId="77777777" w:rsidR="00AB3722" w:rsidRPr="00AB3722" w:rsidRDefault="00AB3722" w:rsidP="00AB3722">
            <w:pPr>
              <w:spacing w:line="360" w:lineRule="auto"/>
              <w:jc w:val="both"/>
              <w:rPr>
                <w:rFonts w:ascii="Century Gothic" w:hAnsi="Century Gothic"/>
                <w:sz w:val="22"/>
                <w:szCs w:val="22"/>
                <w:lang w:val="es-CO"/>
              </w:rPr>
            </w:pPr>
          </w:p>
          <w:p w14:paraId="689AD042" w14:textId="2EB29522" w:rsidR="00AB3722" w:rsidRDefault="00AB3722" w:rsidP="00AB3722">
            <w:pPr>
              <w:spacing w:line="360" w:lineRule="auto"/>
              <w:jc w:val="both"/>
              <w:rPr>
                <w:rFonts w:ascii="Century Gothic" w:hAnsi="Century Gothic"/>
                <w:sz w:val="22"/>
                <w:szCs w:val="22"/>
                <w:lang w:val="es-CO"/>
              </w:rPr>
            </w:pPr>
            <w:r w:rsidRPr="00AB3722">
              <w:rPr>
                <w:rFonts w:ascii="Century Gothic" w:hAnsi="Century Gothic"/>
                <w:sz w:val="22"/>
                <w:szCs w:val="22"/>
                <w:lang w:val="es-CO"/>
              </w:rPr>
              <w:t>La responsabilidad del asegurado, Hospital San Juan de Dios de Cali, estará sujeta al análisis y valoración probatoria que realice el Juez de instancia. En particular, resultará relevante el dictamen pericial aportado por la parte demandante, elaborado por un médico especialista en ginecología oncológica, quien concluyó que la presunta falla en la prestación del servicio ocurrió en dicha institución hospitalaria. No obstante, la historia clínica y los testimonios médicos evidencian que la intervención quirúrgica fue realizada debido a la imposibilidad de remitir oportunamente a la paciente a un centro de atención de nivel III. Aunque dicha remisión fue la conducta indicada desde el inicio y se intentó en varias oportunidades, no fue posible su aceptación en otro centro asistencial.</w:t>
            </w:r>
          </w:p>
          <w:p w14:paraId="1410075B" w14:textId="77777777" w:rsidR="00AB3722" w:rsidRPr="00AB3722" w:rsidRDefault="00AB3722" w:rsidP="00AB3722">
            <w:pPr>
              <w:spacing w:line="360" w:lineRule="auto"/>
              <w:jc w:val="both"/>
              <w:rPr>
                <w:rFonts w:ascii="Century Gothic" w:hAnsi="Century Gothic"/>
                <w:sz w:val="22"/>
                <w:szCs w:val="22"/>
                <w:lang w:val="es-CO"/>
              </w:rPr>
            </w:pPr>
          </w:p>
          <w:p w14:paraId="16346173" w14:textId="77777777" w:rsidR="00AB3722" w:rsidRPr="00AB3722" w:rsidRDefault="00AB3722" w:rsidP="00AB3722">
            <w:pPr>
              <w:spacing w:line="360" w:lineRule="auto"/>
              <w:jc w:val="both"/>
              <w:rPr>
                <w:rFonts w:ascii="Century Gothic" w:hAnsi="Century Gothic"/>
                <w:sz w:val="22"/>
                <w:szCs w:val="22"/>
                <w:lang w:val="es-CO"/>
              </w:rPr>
            </w:pPr>
            <w:r w:rsidRPr="00AB3722">
              <w:rPr>
                <w:rFonts w:ascii="Century Gothic" w:hAnsi="Century Gothic"/>
                <w:sz w:val="22"/>
                <w:szCs w:val="22"/>
                <w:lang w:val="es-CO"/>
              </w:rPr>
              <w:t>Lo señalado sin perjuicio del carácter contingente del proceso.</w:t>
            </w:r>
          </w:p>
          <w:p w14:paraId="58FF1192" w14:textId="35B822D0" w:rsidR="001B58A2" w:rsidRPr="00BA1E5F" w:rsidRDefault="001B58A2" w:rsidP="00AB3722">
            <w:pPr>
              <w:spacing w:line="360" w:lineRule="auto"/>
              <w:jc w:val="both"/>
              <w:rPr>
                <w:rFonts w:ascii="Century Gothic" w:hAnsi="Century Gothic"/>
                <w:sz w:val="22"/>
                <w:szCs w:val="22"/>
              </w:rPr>
            </w:pPr>
          </w:p>
        </w:tc>
      </w:tr>
      <w:tr w:rsidR="00BA1E5F" w:rsidRPr="00BA1E5F" w14:paraId="6A3F4D91" w14:textId="77777777" w:rsidTr="008B59F4">
        <w:trPr>
          <w:trHeight w:val="1361"/>
        </w:trPr>
        <w:tc>
          <w:tcPr>
            <w:tcW w:w="10207" w:type="dxa"/>
            <w:gridSpan w:val="2"/>
            <w:vAlign w:val="center"/>
          </w:tcPr>
          <w:p w14:paraId="7E105ECD" w14:textId="5511DC20" w:rsidR="001B58A2" w:rsidRDefault="001B58A2" w:rsidP="00BA1E5F">
            <w:pPr>
              <w:spacing w:line="360" w:lineRule="auto"/>
              <w:jc w:val="center"/>
              <w:rPr>
                <w:rFonts w:ascii="Century Gothic" w:hAnsi="Century Gothic"/>
                <w:b/>
                <w:bCs/>
                <w:sz w:val="22"/>
                <w:szCs w:val="22"/>
              </w:rPr>
            </w:pPr>
            <w:r>
              <w:rPr>
                <w:noProof/>
                <w:lang w:val="es-CO" w:eastAsia="es-CO"/>
              </w:rPr>
              <w:lastRenderedPageBreak/>
              <w:drawing>
                <wp:inline distT="0" distB="0" distL="0" distR="0" wp14:anchorId="2936A8FE" wp14:editId="0D689E96">
                  <wp:extent cx="1568240" cy="712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4501" cy="714973"/>
                          </a:xfrm>
                          <a:prstGeom prst="rect">
                            <a:avLst/>
                          </a:prstGeom>
                          <a:noFill/>
                          <a:ln>
                            <a:noFill/>
                          </a:ln>
                        </pic:spPr>
                      </pic:pic>
                    </a:graphicData>
                  </a:graphic>
                </wp:inline>
              </w:drawing>
            </w:r>
          </w:p>
          <w:p w14:paraId="3A806213" w14:textId="6E101BB6"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20B5" w14:textId="77777777" w:rsidR="000B049D" w:rsidRDefault="000B049D" w:rsidP="00E7033F">
      <w:r>
        <w:separator/>
      </w:r>
    </w:p>
  </w:endnote>
  <w:endnote w:type="continuationSeparator" w:id="0">
    <w:p w14:paraId="7A435314" w14:textId="77777777" w:rsidR="000B049D" w:rsidRDefault="000B049D"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000"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F8FE2" w14:textId="77777777" w:rsidR="000B049D" w:rsidRDefault="000B049D" w:rsidP="00E7033F">
      <w:r>
        <w:separator/>
      </w:r>
    </w:p>
  </w:footnote>
  <w:footnote w:type="continuationSeparator" w:id="0">
    <w:p w14:paraId="481A402B" w14:textId="77777777" w:rsidR="000B049D" w:rsidRDefault="000B049D"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36C3C"/>
    <w:multiLevelType w:val="hybridMultilevel"/>
    <w:tmpl w:val="9CAAB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234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B049D"/>
    <w:rsid w:val="000D23FC"/>
    <w:rsid w:val="001129B6"/>
    <w:rsid w:val="00181E11"/>
    <w:rsid w:val="001B58A2"/>
    <w:rsid w:val="001C44B4"/>
    <w:rsid w:val="001E096B"/>
    <w:rsid w:val="001E1616"/>
    <w:rsid w:val="001E5C79"/>
    <w:rsid w:val="0025517A"/>
    <w:rsid w:val="00263011"/>
    <w:rsid w:val="002633C0"/>
    <w:rsid w:val="002A0E98"/>
    <w:rsid w:val="00311097"/>
    <w:rsid w:val="00314CAF"/>
    <w:rsid w:val="00324E27"/>
    <w:rsid w:val="003314A2"/>
    <w:rsid w:val="003827E1"/>
    <w:rsid w:val="003B44CB"/>
    <w:rsid w:val="003B7F1A"/>
    <w:rsid w:val="00403BFC"/>
    <w:rsid w:val="00437455"/>
    <w:rsid w:val="00493936"/>
    <w:rsid w:val="004B1801"/>
    <w:rsid w:val="004C7D4E"/>
    <w:rsid w:val="00504FFB"/>
    <w:rsid w:val="00597FD7"/>
    <w:rsid w:val="005F61D3"/>
    <w:rsid w:val="006056E7"/>
    <w:rsid w:val="00633E50"/>
    <w:rsid w:val="00694306"/>
    <w:rsid w:val="006A1563"/>
    <w:rsid w:val="006F0CAA"/>
    <w:rsid w:val="006F14C6"/>
    <w:rsid w:val="00761B63"/>
    <w:rsid w:val="007C37D7"/>
    <w:rsid w:val="007F4704"/>
    <w:rsid w:val="008B59F4"/>
    <w:rsid w:val="008B61E5"/>
    <w:rsid w:val="008B685D"/>
    <w:rsid w:val="008E249B"/>
    <w:rsid w:val="008F6B57"/>
    <w:rsid w:val="009158EE"/>
    <w:rsid w:val="0095378E"/>
    <w:rsid w:val="009820E4"/>
    <w:rsid w:val="00987619"/>
    <w:rsid w:val="00992368"/>
    <w:rsid w:val="00996B7A"/>
    <w:rsid w:val="009A06ED"/>
    <w:rsid w:val="009D2595"/>
    <w:rsid w:val="00AB3722"/>
    <w:rsid w:val="00B2787D"/>
    <w:rsid w:val="00B67D31"/>
    <w:rsid w:val="00B738C9"/>
    <w:rsid w:val="00B90E05"/>
    <w:rsid w:val="00BA0472"/>
    <w:rsid w:val="00BA1E5F"/>
    <w:rsid w:val="00D33414"/>
    <w:rsid w:val="00D35F0D"/>
    <w:rsid w:val="00DD6A64"/>
    <w:rsid w:val="00DE5BEB"/>
    <w:rsid w:val="00E7033F"/>
    <w:rsid w:val="00E802BC"/>
    <w:rsid w:val="00EB5FFB"/>
    <w:rsid w:val="00EE687D"/>
    <w:rsid w:val="00F62D63"/>
    <w:rsid w:val="00F67EF8"/>
    <w:rsid w:val="00F856C2"/>
    <w:rsid w:val="00F90650"/>
    <w:rsid w:val="00FC01A7"/>
    <w:rsid w:val="00FD0FD5"/>
    <w:rsid w:val="00FD53B3"/>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7D31"/>
    <w:pPr>
      <w:ind w:left="720"/>
      <w:contextualSpacing/>
    </w:pPr>
  </w:style>
  <w:style w:type="character" w:styleId="Hipervnculo">
    <w:name w:val="Hyperlink"/>
    <w:basedOn w:val="Fuentedeprrafopredeter"/>
    <w:uiPriority w:val="99"/>
    <w:unhideWhenUsed/>
    <w:rsid w:val="001B58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91667">
      <w:bodyDiv w:val="1"/>
      <w:marLeft w:val="0"/>
      <w:marRight w:val="0"/>
      <w:marTop w:val="0"/>
      <w:marBottom w:val="0"/>
      <w:divBdr>
        <w:top w:val="none" w:sz="0" w:space="0" w:color="auto"/>
        <w:left w:val="none" w:sz="0" w:space="0" w:color="auto"/>
        <w:bottom w:val="none" w:sz="0" w:space="0" w:color="auto"/>
        <w:right w:val="none" w:sz="0" w:space="0" w:color="auto"/>
      </w:divBdr>
      <w:divsChild>
        <w:div w:id="1866794752">
          <w:marLeft w:val="0"/>
          <w:marRight w:val="0"/>
          <w:marTop w:val="24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AA3D8A2D834748B50C169349E2D9CE"/>
        <w:category>
          <w:name w:val="General"/>
          <w:gallery w:val="placeholder"/>
        </w:category>
        <w:types>
          <w:type w:val="bbPlcHdr"/>
        </w:types>
        <w:behaviors>
          <w:behavior w:val="content"/>
        </w:behaviors>
        <w:guid w:val="{EFD57E41-5682-4B6A-8400-7892BE271BF6}"/>
      </w:docPartPr>
      <w:docPartBody>
        <w:p w:rsidR="00E37955" w:rsidRDefault="00B2178A" w:rsidP="00B2178A">
          <w:pPr>
            <w:pStyle w:val="52AA3D8A2D834748B50C169349E2D9CE"/>
          </w:pPr>
          <w:r w:rsidRPr="00DB0913">
            <w:rPr>
              <w:rStyle w:val="Textodelmarcadordeposicin"/>
            </w:rPr>
            <w:t>Haga clic o pulse aquí para escribir texto.</w:t>
          </w:r>
        </w:p>
      </w:docPartBody>
    </w:docPart>
    <w:docPart>
      <w:docPartPr>
        <w:name w:val="A379C63969BE400ABC7245E35FB50400"/>
        <w:category>
          <w:name w:val="General"/>
          <w:gallery w:val="placeholder"/>
        </w:category>
        <w:types>
          <w:type w:val="bbPlcHdr"/>
        </w:types>
        <w:behaviors>
          <w:behavior w:val="content"/>
        </w:behaviors>
        <w:guid w:val="{097CE904-4B75-43EB-9D6F-511DEE60C7FC}"/>
      </w:docPartPr>
      <w:docPartBody>
        <w:p w:rsidR="00E37955" w:rsidRDefault="00B2178A" w:rsidP="00B2178A">
          <w:pPr>
            <w:pStyle w:val="A379C63969BE400ABC7245E35FB50400"/>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altName w:val="Times New Roman"/>
    <w:charset w:val="B1"/>
    <w:family w:val="auto"/>
    <w:pitch w:val="variable"/>
    <w:sig w:usb0="00000000"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A"/>
    <w:rsid w:val="0015371C"/>
    <w:rsid w:val="003D43ED"/>
    <w:rsid w:val="007F4704"/>
    <w:rsid w:val="00841F50"/>
    <w:rsid w:val="009D2595"/>
    <w:rsid w:val="00A03F7A"/>
    <w:rsid w:val="00B2178A"/>
    <w:rsid w:val="00E37955"/>
    <w:rsid w:val="00F138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03F7A"/>
    <w:rPr>
      <w:color w:val="808080"/>
    </w:rPr>
  </w:style>
  <w:style w:type="paragraph" w:customStyle="1" w:styleId="52AA3D8A2D834748B50C169349E2D9CE">
    <w:name w:val="52AA3D8A2D834748B50C169349E2D9CE"/>
    <w:rsid w:val="00B2178A"/>
  </w:style>
  <w:style w:type="paragraph" w:customStyle="1" w:styleId="A379C63969BE400ABC7245E35FB50400">
    <w:name w:val="A379C63969BE400ABC7245E35FB50400"/>
    <w:rsid w:val="00B21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1521</Words>
  <Characters>8367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2025-06-04T13:56:00Z</dcterms:created>
  <dcterms:modified xsi:type="dcterms:W3CDTF">2025-06-04T13:56:00Z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y fmtid="{D5CDD505-2E9C-101B-9397-08002B2CF9AE}" pid="3" name="MSIP_Label_defa4170-0d19-0005-0004-bc88714345d2_Enabled">
    <vt:lpwstr>true</vt:lpwstr>
  </property>
  <property fmtid="{D5CDD505-2E9C-101B-9397-08002B2CF9AE}" pid="4" name="MSIP_Label_defa4170-0d19-0005-0004-bc88714345d2_SetDate">
    <vt:lpwstr>2025-05-30T16:20:17Z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3bfb38a9-80c7-46ae-96ba-0ba74714d0ce</vt:lpwstr>
  </property>
  <property fmtid="{D5CDD505-2E9C-101B-9397-08002B2CF9AE}" pid="8" name="MSIP_Label_defa4170-0d19-0005-0004-bc88714345d2_ActionId">
    <vt:lpwstr>bd441177-7afd-477d-927c-2d70378c6bd6</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