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DE4A50" w:rsidRDefault="003314A2" w:rsidP="00741F3E">
      <w:pPr>
        <w:spacing w:line="360" w:lineRule="auto"/>
        <w:rPr>
          <w:rFonts w:ascii="Century Gothic" w:hAnsi="Century Gothic" w:cs="Arial"/>
          <w:sz w:val="22"/>
          <w:szCs w:val="22"/>
        </w:rPr>
      </w:pPr>
      <w:r w:rsidRPr="00DE4A50">
        <w:rPr>
          <w:rFonts w:ascii="Century Gothic" w:hAnsi="Century Gothic" w:cs="Arial"/>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DE4A50" w:rsidRDefault="00F67EF8" w:rsidP="00741F3E">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DE4A50" w14:paraId="077F9E4D" w14:textId="77777777" w:rsidTr="003827E1">
        <w:trPr>
          <w:trHeight w:val="454"/>
        </w:trPr>
        <w:tc>
          <w:tcPr>
            <w:tcW w:w="4537" w:type="dxa"/>
            <w:vAlign w:val="center"/>
          </w:tcPr>
          <w:p w14:paraId="239BC5A7" w14:textId="7E10D35F" w:rsidR="00F67EF8" w:rsidRPr="00DE4A50" w:rsidRDefault="00F67EF8"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Fecha de presentación</w:t>
            </w:r>
          </w:p>
        </w:tc>
        <w:tc>
          <w:tcPr>
            <w:tcW w:w="5670" w:type="dxa"/>
          </w:tcPr>
          <w:p w14:paraId="29FA6EF6" w14:textId="3F81B6B3" w:rsidR="00F67EF8" w:rsidRPr="00DE4A50" w:rsidRDefault="00D15E0F" w:rsidP="00741F3E">
            <w:pPr>
              <w:spacing w:line="360" w:lineRule="auto"/>
              <w:jc w:val="both"/>
              <w:rPr>
                <w:rFonts w:ascii="Century Gothic" w:hAnsi="Century Gothic" w:cs="Arial"/>
                <w:sz w:val="22"/>
                <w:szCs w:val="22"/>
              </w:rPr>
            </w:pPr>
            <w:r w:rsidRPr="00DE4A50">
              <w:rPr>
                <w:rFonts w:ascii="Century Gothic" w:hAnsi="Century Gothic" w:cs="Arial"/>
                <w:sz w:val="22"/>
                <w:szCs w:val="22"/>
              </w:rPr>
              <w:t>1</w:t>
            </w:r>
            <w:r w:rsidR="00262A7D" w:rsidRPr="00DE4A50">
              <w:rPr>
                <w:rFonts w:ascii="Century Gothic" w:hAnsi="Century Gothic" w:cs="Arial"/>
                <w:sz w:val="22"/>
                <w:szCs w:val="22"/>
              </w:rPr>
              <w:t xml:space="preserve">9 </w:t>
            </w:r>
            <w:r w:rsidRPr="00DE4A50">
              <w:rPr>
                <w:rFonts w:ascii="Century Gothic" w:hAnsi="Century Gothic" w:cs="Arial"/>
                <w:sz w:val="22"/>
                <w:szCs w:val="22"/>
              </w:rPr>
              <w:t>de junio 2025</w:t>
            </w:r>
          </w:p>
        </w:tc>
      </w:tr>
      <w:tr w:rsidR="00F67EF8" w:rsidRPr="00DE4A50" w14:paraId="6959AD48" w14:textId="77777777" w:rsidTr="003827E1">
        <w:trPr>
          <w:trHeight w:val="454"/>
        </w:trPr>
        <w:tc>
          <w:tcPr>
            <w:tcW w:w="4537" w:type="dxa"/>
            <w:vAlign w:val="center"/>
          </w:tcPr>
          <w:p w14:paraId="45E895A9" w14:textId="1E20E681" w:rsidR="00F67EF8" w:rsidRPr="00DE4A50" w:rsidRDefault="00F67EF8"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Tipo de abogado</w:t>
            </w:r>
          </w:p>
        </w:tc>
        <w:tc>
          <w:tcPr>
            <w:tcW w:w="5670" w:type="dxa"/>
          </w:tcPr>
          <w:p w14:paraId="06C25C40" w14:textId="32164145" w:rsidR="00F67EF8" w:rsidRPr="00DE4A50" w:rsidRDefault="00D15E0F" w:rsidP="00741F3E">
            <w:pPr>
              <w:spacing w:line="360" w:lineRule="auto"/>
              <w:jc w:val="both"/>
              <w:rPr>
                <w:rFonts w:ascii="Century Gothic" w:hAnsi="Century Gothic" w:cs="Arial"/>
                <w:sz w:val="22"/>
                <w:szCs w:val="22"/>
              </w:rPr>
            </w:pPr>
            <w:r w:rsidRPr="00DE4A50">
              <w:rPr>
                <w:rFonts w:ascii="Century Gothic" w:hAnsi="Century Gothic" w:cs="Arial"/>
                <w:sz w:val="22"/>
                <w:szCs w:val="22"/>
              </w:rPr>
              <w:t>Externo</w:t>
            </w:r>
          </w:p>
        </w:tc>
      </w:tr>
      <w:tr w:rsidR="00F67EF8" w:rsidRPr="00DE4A50" w14:paraId="2F6DA3B0" w14:textId="77777777" w:rsidTr="003827E1">
        <w:trPr>
          <w:trHeight w:val="454"/>
        </w:trPr>
        <w:tc>
          <w:tcPr>
            <w:tcW w:w="4537" w:type="dxa"/>
            <w:vAlign w:val="center"/>
          </w:tcPr>
          <w:p w14:paraId="30599F8A" w14:textId="674A8832" w:rsidR="00F67EF8" w:rsidRPr="00DE4A50" w:rsidRDefault="00F67EF8" w:rsidP="00741F3E">
            <w:pPr>
              <w:spacing w:line="360" w:lineRule="auto"/>
              <w:rPr>
                <w:rFonts w:ascii="Century Gothic" w:hAnsi="Century Gothic" w:cs="Arial"/>
                <w:sz w:val="22"/>
                <w:szCs w:val="22"/>
              </w:rPr>
            </w:pPr>
            <w:r w:rsidRPr="00DE4A50">
              <w:rPr>
                <w:rFonts w:ascii="Century Gothic" w:hAnsi="Century Gothic" w:cs="Arial"/>
                <w:b/>
                <w:bCs/>
                <w:sz w:val="22"/>
                <w:szCs w:val="22"/>
              </w:rPr>
              <w:t>Aseguradora vinculada al proceso</w:t>
            </w:r>
          </w:p>
        </w:tc>
        <w:tc>
          <w:tcPr>
            <w:tcW w:w="5670" w:type="dxa"/>
          </w:tcPr>
          <w:p w14:paraId="794A38B0" w14:textId="1DCBC607" w:rsidR="00F67EF8" w:rsidRPr="00DE4A50" w:rsidRDefault="00D15E0F" w:rsidP="00741F3E">
            <w:pPr>
              <w:spacing w:line="360" w:lineRule="auto"/>
              <w:jc w:val="both"/>
              <w:rPr>
                <w:rFonts w:ascii="Century Gothic" w:hAnsi="Century Gothic" w:cs="Arial"/>
                <w:sz w:val="22"/>
                <w:szCs w:val="22"/>
              </w:rPr>
            </w:pPr>
            <w:r w:rsidRPr="00DE4A50">
              <w:rPr>
                <w:rFonts w:ascii="Century Gothic" w:hAnsi="Century Gothic" w:cs="Arial"/>
                <w:bCs/>
                <w:sz w:val="22"/>
                <w:szCs w:val="22"/>
              </w:rPr>
              <w:t>La Equidad Seguros Generales O.C</w:t>
            </w:r>
          </w:p>
        </w:tc>
      </w:tr>
      <w:tr w:rsidR="00F67EF8" w:rsidRPr="00DE4A50" w14:paraId="490540BB" w14:textId="77777777" w:rsidTr="003827E1">
        <w:trPr>
          <w:trHeight w:val="454"/>
        </w:trPr>
        <w:tc>
          <w:tcPr>
            <w:tcW w:w="4537" w:type="dxa"/>
            <w:vAlign w:val="center"/>
          </w:tcPr>
          <w:p w14:paraId="1C2D5235" w14:textId="2B4007F3" w:rsidR="00F67EF8" w:rsidRPr="00DE4A50" w:rsidRDefault="00992368"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SGC</w:t>
            </w:r>
          </w:p>
        </w:tc>
        <w:tc>
          <w:tcPr>
            <w:tcW w:w="5670" w:type="dxa"/>
          </w:tcPr>
          <w:p w14:paraId="11B788BC" w14:textId="3B67E96C" w:rsidR="00F67EF8" w:rsidRPr="00DE4A50" w:rsidRDefault="00D15E0F" w:rsidP="00741F3E">
            <w:pPr>
              <w:spacing w:line="360" w:lineRule="auto"/>
              <w:jc w:val="both"/>
              <w:rPr>
                <w:rFonts w:ascii="Century Gothic" w:hAnsi="Century Gothic" w:cs="Arial"/>
                <w:sz w:val="22"/>
                <w:szCs w:val="22"/>
              </w:rPr>
            </w:pPr>
            <w:r w:rsidRPr="00DE4A50">
              <w:rPr>
                <w:rFonts w:ascii="Century Gothic" w:hAnsi="Century Gothic" w:cs="Arial"/>
                <w:color w:val="242424"/>
                <w:sz w:val="22"/>
                <w:szCs w:val="22"/>
                <w:shd w:val="clear" w:color="auto" w:fill="FFFFFF"/>
              </w:rPr>
              <w:t>11085</w:t>
            </w:r>
          </w:p>
        </w:tc>
      </w:tr>
      <w:tr w:rsidR="00F67EF8" w:rsidRPr="00DE4A50" w14:paraId="1D86DF69" w14:textId="77777777" w:rsidTr="003827E1">
        <w:trPr>
          <w:trHeight w:val="454"/>
        </w:trPr>
        <w:tc>
          <w:tcPr>
            <w:tcW w:w="4537" w:type="dxa"/>
            <w:vAlign w:val="center"/>
          </w:tcPr>
          <w:p w14:paraId="699114C2" w14:textId="0BB9EC2F" w:rsidR="00F67EF8" w:rsidRPr="00DE4A50" w:rsidRDefault="00992368"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Despacho/Juzgado/ Tribunal</w:t>
            </w:r>
          </w:p>
        </w:tc>
        <w:tc>
          <w:tcPr>
            <w:tcW w:w="5670" w:type="dxa"/>
          </w:tcPr>
          <w:p w14:paraId="7DD6339C" w14:textId="37501026" w:rsidR="00F67EF8" w:rsidRPr="00DE4A50" w:rsidRDefault="00D15E0F" w:rsidP="00A46105">
            <w:pPr>
              <w:adjustRightInd w:val="0"/>
              <w:spacing w:line="360" w:lineRule="auto"/>
              <w:jc w:val="both"/>
              <w:rPr>
                <w:rFonts w:ascii="Century Gothic" w:hAnsi="Century Gothic" w:cs="Arial"/>
                <w:color w:val="000000"/>
                <w:sz w:val="22"/>
                <w:szCs w:val="22"/>
                <w:lang w:val="es-CO"/>
              </w:rPr>
            </w:pPr>
            <w:r w:rsidRPr="00DE4A50">
              <w:rPr>
                <w:rFonts w:ascii="Century Gothic" w:hAnsi="Century Gothic" w:cs="Arial"/>
                <w:color w:val="000000"/>
                <w:sz w:val="22"/>
                <w:szCs w:val="22"/>
                <w:lang w:val="es-CO"/>
              </w:rPr>
              <w:t>Juzgado Primero Civil del Circuito de Soledad - Atlántico</w:t>
            </w:r>
          </w:p>
        </w:tc>
      </w:tr>
      <w:tr w:rsidR="00F67EF8" w:rsidRPr="00DE4A50" w14:paraId="54742FD8" w14:textId="77777777" w:rsidTr="003827E1">
        <w:trPr>
          <w:trHeight w:val="454"/>
        </w:trPr>
        <w:tc>
          <w:tcPr>
            <w:tcW w:w="4537" w:type="dxa"/>
            <w:vAlign w:val="center"/>
          </w:tcPr>
          <w:p w14:paraId="5A357CCF" w14:textId="3C7FFC83" w:rsidR="00F67EF8" w:rsidRPr="00DE4A50" w:rsidRDefault="00992368"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 xml:space="preserve">Ciudad </w:t>
            </w:r>
          </w:p>
        </w:tc>
        <w:tc>
          <w:tcPr>
            <w:tcW w:w="5670" w:type="dxa"/>
          </w:tcPr>
          <w:p w14:paraId="5101FDD8" w14:textId="507DD1AE" w:rsidR="00F67EF8" w:rsidRPr="00DE4A50" w:rsidRDefault="00D15E0F" w:rsidP="00741F3E">
            <w:pPr>
              <w:spacing w:line="360" w:lineRule="auto"/>
              <w:jc w:val="both"/>
              <w:rPr>
                <w:rFonts w:ascii="Century Gothic" w:hAnsi="Century Gothic" w:cs="Arial"/>
                <w:sz w:val="22"/>
                <w:szCs w:val="22"/>
              </w:rPr>
            </w:pPr>
            <w:r w:rsidRPr="00DE4A50">
              <w:rPr>
                <w:rFonts w:ascii="Century Gothic" w:hAnsi="Century Gothic" w:cs="Arial"/>
                <w:sz w:val="22"/>
                <w:szCs w:val="22"/>
              </w:rPr>
              <w:t xml:space="preserve">Soledad -Atlántico </w:t>
            </w:r>
          </w:p>
        </w:tc>
      </w:tr>
      <w:tr w:rsidR="00992368" w:rsidRPr="00DE4A50" w14:paraId="3983A9CE" w14:textId="77777777" w:rsidTr="003827E1">
        <w:trPr>
          <w:trHeight w:val="454"/>
        </w:trPr>
        <w:tc>
          <w:tcPr>
            <w:tcW w:w="4537" w:type="dxa"/>
            <w:vAlign w:val="center"/>
          </w:tcPr>
          <w:p w14:paraId="7EC7EF81" w14:textId="3CF9A0A9" w:rsidR="00992368" w:rsidRPr="00DE4A50" w:rsidRDefault="008E249B"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Radicado completo 23 dígitos</w:t>
            </w:r>
          </w:p>
        </w:tc>
        <w:tc>
          <w:tcPr>
            <w:tcW w:w="5670" w:type="dxa"/>
          </w:tcPr>
          <w:p w14:paraId="573C25D1" w14:textId="42B96A71" w:rsidR="00992368" w:rsidRPr="00DE4A50" w:rsidRDefault="00D15E0F" w:rsidP="00741F3E">
            <w:pPr>
              <w:spacing w:line="360" w:lineRule="auto"/>
              <w:jc w:val="both"/>
              <w:rPr>
                <w:rFonts w:ascii="Century Gothic" w:hAnsi="Century Gothic" w:cs="Arial"/>
                <w:sz w:val="22"/>
                <w:szCs w:val="22"/>
              </w:rPr>
            </w:pPr>
            <w:r w:rsidRPr="00DE4A50">
              <w:rPr>
                <w:rFonts w:ascii="Century Gothic" w:hAnsi="Century Gothic" w:cs="Arial"/>
                <w:color w:val="000000"/>
                <w:sz w:val="22"/>
                <w:szCs w:val="22"/>
                <w:lang w:val="es-CO"/>
              </w:rPr>
              <w:t>08758311200120240021600</w:t>
            </w:r>
          </w:p>
        </w:tc>
      </w:tr>
      <w:tr w:rsidR="00992368" w:rsidRPr="00DE4A50" w14:paraId="4A0D8041" w14:textId="77777777" w:rsidTr="003827E1">
        <w:trPr>
          <w:trHeight w:val="454"/>
        </w:trPr>
        <w:tc>
          <w:tcPr>
            <w:tcW w:w="4537" w:type="dxa"/>
            <w:vAlign w:val="center"/>
          </w:tcPr>
          <w:p w14:paraId="6BA2EEB5" w14:textId="7369F36B" w:rsidR="00992368" w:rsidRPr="00DE4A50" w:rsidRDefault="00B2787D"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Fecha de notificación</w:t>
            </w:r>
          </w:p>
        </w:tc>
        <w:tc>
          <w:tcPr>
            <w:tcW w:w="5670" w:type="dxa"/>
          </w:tcPr>
          <w:p w14:paraId="64AC88EB" w14:textId="2CCADE62" w:rsidR="00992368" w:rsidRPr="00DE4A50" w:rsidRDefault="00D15E0F" w:rsidP="00741F3E">
            <w:pPr>
              <w:spacing w:line="360" w:lineRule="auto"/>
              <w:jc w:val="both"/>
              <w:rPr>
                <w:rFonts w:ascii="Century Gothic" w:hAnsi="Century Gothic" w:cs="Arial"/>
                <w:sz w:val="22"/>
                <w:szCs w:val="22"/>
              </w:rPr>
            </w:pPr>
            <w:r w:rsidRPr="00DE4A50">
              <w:rPr>
                <w:rFonts w:ascii="Century Gothic" w:hAnsi="Century Gothic" w:cs="Arial"/>
                <w:sz w:val="22"/>
                <w:szCs w:val="22"/>
              </w:rPr>
              <w:t>14 de mayo de 2025</w:t>
            </w:r>
          </w:p>
        </w:tc>
      </w:tr>
      <w:tr w:rsidR="00992368" w:rsidRPr="00DE4A50" w14:paraId="028BDD81" w14:textId="77777777" w:rsidTr="003827E1">
        <w:trPr>
          <w:trHeight w:val="454"/>
        </w:trPr>
        <w:tc>
          <w:tcPr>
            <w:tcW w:w="4537" w:type="dxa"/>
            <w:vAlign w:val="center"/>
          </w:tcPr>
          <w:p w14:paraId="74AA3CB7" w14:textId="0154798B" w:rsidR="00992368" w:rsidRPr="00DE4A50" w:rsidRDefault="00B2787D"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Fecha vencimiento del término</w:t>
            </w:r>
          </w:p>
        </w:tc>
        <w:tc>
          <w:tcPr>
            <w:tcW w:w="5670" w:type="dxa"/>
          </w:tcPr>
          <w:p w14:paraId="41E82979" w14:textId="0A80D90B" w:rsidR="00992368" w:rsidRPr="00DE4A50" w:rsidRDefault="00D15E0F" w:rsidP="00741F3E">
            <w:pPr>
              <w:spacing w:line="360" w:lineRule="auto"/>
              <w:jc w:val="both"/>
              <w:rPr>
                <w:rFonts w:ascii="Century Gothic" w:hAnsi="Century Gothic" w:cs="Arial"/>
                <w:sz w:val="22"/>
                <w:szCs w:val="22"/>
              </w:rPr>
            </w:pPr>
            <w:r w:rsidRPr="00DE4A50">
              <w:rPr>
                <w:rFonts w:ascii="Century Gothic" w:hAnsi="Century Gothic" w:cs="Arial"/>
                <w:sz w:val="22"/>
                <w:szCs w:val="22"/>
              </w:rPr>
              <w:t>1</w:t>
            </w:r>
            <w:r w:rsidR="00677C32" w:rsidRPr="00DE4A50">
              <w:rPr>
                <w:rFonts w:ascii="Century Gothic" w:hAnsi="Century Gothic" w:cs="Arial"/>
                <w:sz w:val="22"/>
                <w:szCs w:val="22"/>
              </w:rPr>
              <w:t>6</w:t>
            </w:r>
            <w:r w:rsidRPr="00DE4A50">
              <w:rPr>
                <w:rFonts w:ascii="Century Gothic" w:hAnsi="Century Gothic" w:cs="Arial"/>
                <w:sz w:val="22"/>
                <w:szCs w:val="22"/>
              </w:rPr>
              <w:t xml:space="preserve"> de junio de 2025</w:t>
            </w:r>
          </w:p>
        </w:tc>
      </w:tr>
    </w:tbl>
    <w:p w14:paraId="619AE562" w14:textId="77777777" w:rsidR="00BA1E5F" w:rsidRPr="00DE4A50" w:rsidRDefault="00BA1E5F" w:rsidP="00741F3E">
      <w:pPr>
        <w:spacing w:line="360" w:lineRule="auto"/>
        <w:rPr>
          <w:rFonts w:ascii="Century Gothic" w:hAnsi="Century Gothic" w:cs="Arial"/>
          <w:sz w:val="22"/>
          <w:szCs w:val="22"/>
        </w:rPr>
      </w:pPr>
    </w:p>
    <w:p w14:paraId="64A76143" w14:textId="77777777" w:rsidR="00BA1E5F" w:rsidRPr="00DE4A50" w:rsidRDefault="00BA1E5F" w:rsidP="00741F3E">
      <w:pPr>
        <w:spacing w:line="360" w:lineRule="auto"/>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DE4A50" w14:paraId="55765E90" w14:textId="77777777" w:rsidTr="0095378E">
        <w:tc>
          <w:tcPr>
            <w:tcW w:w="10207" w:type="dxa"/>
            <w:shd w:val="clear" w:color="auto" w:fill="C5E0B3" w:themeFill="accent6" w:themeFillTint="66"/>
            <w:vAlign w:val="center"/>
          </w:tcPr>
          <w:p w14:paraId="7B465D4D" w14:textId="5CAE6B68" w:rsidR="00B2787D" w:rsidRPr="00DE4A50" w:rsidRDefault="00B2787D" w:rsidP="00741F3E">
            <w:pPr>
              <w:spacing w:line="360" w:lineRule="auto"/>
              <w:jc w:val="center"/>
              <w:rPr>
                <w:rFonts w:ascii="Century Gothic" w:hAnsi="Century Gothic" w:cs="Arial"/>
                <w:sz w:val="22"/>
                <w:szCs w:val="22"/>
              </w:rPr>
            </w:pPr>
            <w:r w:rsidRPr="00DE4A50">
              <w:rPr>
                <w:rFonts w:ascii="Century Gothic" w:hAnsi="Century Gothic" w:cs="Arial"/>
                <w:b/>
                <w:bCs/>
                <w:sz w:val="22"/>
                <w:szCs w:val="22"/>
              </w:rPr>
              <w:t>Hechos</w:t>
            </w:r>
            <w:r w:rsidR="007C37D7" w:rsidRPr="00DE4A50">
              <w:rPr>
                <w:rFonts w:ascii="Century Gothic" w:hAnsi="Century Gothic" w:cs="Arial"/>
                <w:b/>
                <w:bCs/>
                <w:sz w:val="22"/>
                <w:szCs w:val="22"/>
              </w:rPr>
              <w:t xml:space="preserve"> </w:t>
            </w:r>
            <w:r w:rsidR="007C37D7" w:rsidRPr="00DE4A50">
              <w:rPr>
                <w:rFonts w:ascii="Century Gothic" w:hAnsi="Century Gothic" w:cs="Arial"/>
                <w:sz w:val="22"/>
                <w:szCs w:val="22"/>
              </w:rPr>
              <w:t>(haga un relato conciso y preciso de las circunstancias que rodearon el siniestro, tales como fecha, lugar de los hechos, partes involucrados, póliza, lesiones y/o secuelas)</w:t>
            </w:r>
          </w:p>
        </w:tc>
      </w:tr>
      <w:tr w:rsidR="00B2787D" w:rsidRPr="00DE4A50" w14:paraId="59EA92D0" w14:textId="77777777" w:rsidTr="00DB76EC">
        <w:trPr>
          <w:trHeight w:val="3118"/>
        </w:trPr>
        <w:tc>
          <w:tcPr>
            <w:tcW w:w="10207" w:type="dxa"/>
            <w:vAlign w:val="center"/>
          </w:tcPr>
          <w:p w14:paraId="7D5C850F" w14:textId="77777777" w:rsidR="00B2787D" w:rsidRPr="00DE4A50" w:rsidRDefault="00B2787D" w:rsidP="00741F3E">
            <w:pPr>
              <w:spacing w:line="360" w:lineRule="auto"/>
              <w:jc w:val="center"/>
              <w:rPr>
                <w:rFonts w:ascii="Century Gothic" w:hAnsi="Century Gothic" w:cs="Arial"/>
                <w:sz w:val="22"/>
                <w:szCs w:val="22"/>
              </w:rPr>
            </w:pPr>
          </w:p>
          <w:p w14:paraId="53CCC347" w14:textId="77777777" w:rsidR="00DB76EC" w:rsidRPr="00DE4A50" w:rsidRDefault="00D15E0F"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r w:rsidRPr="00DE4A50">
              <w:rPr>
                <w:rFonts w:ascii="Century Gothic" w:hAnsi="Century Gothic" w:cs="Arial"/>
                <w:color w:val="000000"/>
                <w:sz w:val="22"/>
                <w:szCs w:val="22"/>
                <w:bdr w:val="none" w:sz="0" w:space="0" w:color="auto" w:frame="1"/>
              </w:rPr>
              <w:t>Afirmó el actor que el 15 de abril de 2022, hacia la 1:30 a.</w:t>
            </w:r>
            <w:r w:rsidRPr="00DE4A50">
              <w:rPr>
                <w:rFonts w:ascii="Arial" w:hAnsi="Arial" w:cs="Arial"/>
                <w:color w:val="000000"/>
                <w:sz w:val="22"/>
                <w:szCs w:val="22"/>
                <w:bdr w:val="none" w:sz="0" w:space="0" w:color="auto" w:frame="1"/>
              </w:rPr>
              <w:t> </w:t>
            </w:r>
            <w:r w:rsidRPr="00DE4A50">
              <w:rPr>
                <w:rFonts w:ascii="Century Gothic" w:hAnsi="Century Gothic" w:cs="Arial"/>
                <w:color w:val="000000"/>
                <w:sz w:val="22"/>
                <w:szCs w:val="22"/>
                <w:bdr w:val="none" w:sz="0" w:space="0" w:color="auto" w:frame="1"/>
              </w:rPr>
              <w:t>m., el se</w:t>
            </w:r>
            <w:r w:rsidRPr="00DE4A50">
              <w:rPr>
                <w:rFonts w:ascii="Century Gothic" w:hAnsi="Century Gothic" w:cs="Century Gothic"/>
                <w:color w:val="000000"/>
                <w:sz w:val="22"/>
                <w:szCs w:val="22"/>
                <w:bdr w:val="none" w:sz="0" w:space="0" w:color="auto" w:frame="1"/>
              </w:rPr>
              <w:t>ñ</w:t>
            </w:r>
            <w:r w:rsidRPr="00DE4A50">
              <w:rPr>
                <w:rFonts w:ascii="Century Gothic" w:hAnsi="Century Gothic" w:cs="Arial"/>
                <w:color w:val="000000"/>
                <w:sz w:val="22"/>
                <w:szCs w:val="22"/>
                <w:bdr w:val="none" w:sz="0" w:space="0" w:color="auto" w:frame="1"/>
              </w:rPr>
              <w:t xml:space="preserve">or </w:t>
            </w:r>
            <w:proofErr w:type="spellStart"/>
            <w:r w:rsidRPr="00DE4A50">
              <w:rPr>
                <w:rFonts w:ascii="Century Gothic" w:hAnsi="Century Gothic" w:cs="Arial"/>
                <w:color w:val="000000"/>
                <w:sz w:val="22"/>
                <w:szCs w:val="22"/>
                <w:bdr w:val="none" w:sz="0" w:space="0" w:color="auto" w:frame="1"/>
              </w:rPr>
              <w:t>Jainer</w:t>
            </w:r>
            <w:proofErr w:type="spellEnd"/>
            <w:r w:rsidRPr="00DE4A50">
              <w:rPr>
                <w:rFonts w:ascii="Century Gothic" w:hAnsi="Century Gothic" w:cs="Arial"/>
                <w:color w:val="000000"/>
                <w:sz w:val="22"/>
                <w:szCs w:val="22"/>
                <w:bdr w:val="none" w:sz="0" w:space="0" w:color="auto" w:frame="1"/>
              </w:rPr>
              <w:t xml:space="preserve"> Gustavo Cervantes P</w:t>
            </w:r>
            <w:r w:rsidRPr="00DE4A50">
              <w:rPr>
                <w:rFonts w:ascii="Century Gothic" w:hAnsi="Century Gothic" w:cs="Century Gothic"/>
                <w:color w:val="000000"/>
                <w:sz w:val="22"/>
                <w:szCs w:val="22"/>
                <w:bdr w:val="none" w:sz="0" w:space="0" w:color="auto" w:frame="1"/>
              </w:rPr>
              <w:t>é</w:t>
            </w:r>
            <w:r w:rsidRPr="00DE4A50">
              <w:rPr>
                <w:rFonts w:ascii="Century Gothic" w:hAnsi="Century Gothic" w:cs="Arial"/>
                <w:color w:val="000000"/>
                <w:sz w:val="22"/>
                <w:szCs w:val="22"/>
                <w:bdr w:val="none" w:sz="0" w:space="0" w:color="auto" w:frame="1"/>
              </w:rPr>
              <w:t>rez (Q.E.P.D.) fue atropellado mientras cruzaba una cebra peatonal en la calle 63 con carrera 17, en Soledad (Atl</w:t>
            </w:r>
            <w:r w:rsidRPr="00DE4A50">
              <w:rPr>
                <w:rFonts w:ascii="Century Gothic" w:hAnsi="Century Gothic" w:cs="Century Gothic"/>
                <w:color w:val="000000"/>
                <w:sz w:val="22"/>
                <w:szCs w:val="22"/>
                <w:bdr w:val="none" w:sz="0" w:space="0" w:color="auto" w:frame="1"/>
              </w:rPr>
              <w:t>á</w:t>
            </w:r>
            <w:r w:rsidRPr="00DE4A50">
              <w:rPr>
                <w:rFonts w:ascii="Century Gothic" w:hAnsi="Century Gothic" w:cs="Arial"/>
                <w:color w:val="000000"/>
                <w:sz w:val="22"/>
                <w:szCs w:val="22"/>
                <w:bdr w:val="none" w:sz="0" w:space="0" w:color="auto" w:frame="1"/>
              </w:rPr>
              <w:t>ntico), por el veh</w:t>
            </w:r>
            <w:r w:rsidRPr="00DE4A50">
              <w:rPr>
                <w:rFonts w:ascii="Century Gothic" w:hAnsi="Century Gothic" w:cs="Century Gothic"/>
                <w:color w:val="000000"/>
                <w:sz w:val="22"/>
                <w:szCs w:val="22"/>
                <w:bdr w:val="none" w:sz="0" w:space="0" w:color="auto" w:frame="1"/>
              </w:rPr>
              <w:t>í</w:t>
            </w:r>
            <w:r w:rsidRPr="00DE4A50">
              <w:rPr>
                <w:rFonts w:ascii="Century Gothic" w:hAnsi="Century Gothic" w:cs="Arial"/>
                <w:color w:val="000000"/>
                <w:sz w:val="22"/>
                <w:szCs w:val="22"/>
                <w:bdr w:val="none" w:sz="0" w:space="0" w:color="auto" w:frame="1"/>
              </w:rPr>
              <w:t>culo de placas DTV-201, conducido por Deivi Jos</w:t>
            </w:r>
            <w:r w:rsidRPr="00DE4A50">
              <w:rPr>
                <w:rFonts w:ascii="Century Gothic" w:hAnsi="Century Gothic" w:cs="Century Gothic"/>
                <w:color w:val="000000"/>
                <w:sz w:val="22"/>
                <w:szCs w:val="22"/>
                <w:bdr w:val="none" w:sz="0" w:space="0" w:color="auto" w:frame="1"/>
              </w:rPr>
              <w:t>é</w:t>
            </w:r>
            <w:r w:rsidRPr="00DE4A50">
              <w:rPr>
                <w:rFonts w:ascii="Century Gothic" w:hAnsi="Century Gothic" w:cs="Arial"/>
                <w:color w:val="000000"/>
                <w:sz w:val="22"/>
                <w:szCs w:val="22"/>
                <w:bdr w:val="none" w:sz="0" w:space="0" w:color="auto" w:frame="1"/>
              </w:rPr>
              <w:t xml:space="preserve"> Gonz</w:t>
            </w:r>
            <w:r w:rsidRPr="00DE4A50">
              <w:rPr>
                <w:rFonts w:ascii="Century Gothic" w:hAnsi="Century Gothic" w:cs="Century Gothic"/>
                <w:color w:val="000000"/>
                <w:sz w:val="22"/>
                <w:szCs w:val="22"/>
                <w:bdr w:val="none" w:sz="0" w:space="0" w:color="auto" w:frame="1"/>
              </w:rPr>
              <w:t>á</w:t>
            </w:r>
            <w:r w:rsidRPr="00DE4A50">
              <w:rPr>
                <w:rFonts w:ascii="Century Gothic" w:hAnsi="Century Gothic" w:cs="Arial"/>
                <w:color w:val="000000"/>
                <w:sz w:val="22"/>
                <w:szCs w:val="22"/>
                <w:bdr w:val="none" w:sz="0" w:space="0" w:color="auto" w:frame="1"/>
              </w:rPr>
              <w:t>lez Y</w:t>
            </w:r>
            <w:r w:rsidRPr="00DE4A50">
              <w:rPr>
                <w:rFonts w:ascii="Century Gothic" w:hAnsi="Century Gothic" w:cs="Century Gothic"/>
                <w:color w:val="000000"/>
                <w:sz w:val="22"/>
                <w:szCs w:val="22"/>
                <w:bdr w:val="none" w:sz="0" w:space="0" w:color="auto" w:frame="1"/>
              </w:rPr>
              <w:t>é</w:t>
            </w:r>
            <w:r w:rsidRPr="00DE4A50">
              <w:rPr>
                <w:rFonts w:ascii="Century Gothic" w:hAnsi="Century Gothic" w:cs="Arial"/>
                <w:color w:val="000000"/>
                <w:sz w:val="22"/>
                <w:szCs w:val="22"/>
                <w:bdr w:val="none" w:sz="0" w:space="0" w:color="auto" w:frame="1"/>
              </w:rPr>
              <w:t xml:space="preserve">pez. </w:t>
            </w:r>
          </w:p>
          <w:p w14:paraId="66789FAF" w14:textId="77777777" w:rsidR="00DB76EC" w:rsidRPr="00DE4A50" w:rsidRDefault="00DB76EC"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p>
          <w:p w14:paraId="720BB825" w14:textId="716C6557" w:rsidR="00D15E0F" w:rsidRPr="00DE4A50" w:rsidRDefault="00D15E0F"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 xml:space="preserve">Sostuvo que el conductor transitaba por la vía exclusiva del </w:t>
            </w:r>
            <w:proofErr w:type="spellStart"/>
            <w:r w:rsidRPr="00DE4A50">
              <w:rPr>
                <w:rFonts w:ascii="Century Gothic" w:hAnsi="Century Gothic" w:cs="Arial"/>
                <w:color w:val="000000"/>
                <w:sz w:val="22"/>
                <w:szCs w:val="22"/>
                <w:bdr w:val="none" w:sz="0" w:space="0" w:color="auto" w:frame="1"/>
              </w:rPr>
              <w:t>Transmetro</w:t>
            </w:r>
            <w:proofErr w:type="spellEnd"/>
            <w:r w:rsidRPr="00DE4A50">
              <w:rPr>
                <w:rFonts w:ascii="Century Gothic" w:hAnsi="Century Gothic" w:cs="Arial"/>
                <w:color w:val="000000"/>
                <w:sz w:val="22"/>
                <w:szCs w:val="22"/>
                <w:bdr w:val="none" w:sz="0" w:space="0" w:color="auto" w:frame="1"/>
              </w:rPr>
              <w:t xml:space="preserve"> a exceso de velocidad, sin pacientes a bordo ni activación de la sirena.</w:t>
            </w:r>
          </w:p>
          <w:p w14:paraId="686C2FDA" w14:textId="77777777" w:rsidR="00DB76EC" w:rsidRPr="00DE4A50" w:rsidRDefault="00DB76EC"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p>
          <w:p w14:paraId="46A46525" w14:textId="3C92D7C3" w:rsidR="00D15E0F" w:rsidRPr="00DE4A50" w:rsidRDefault="00D15E0F"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Indicó que en el Informe Policial de Accidente de Tránsito No. 08758 se le atribuyó al conductor la hipótesis de accidente 116 (exceso de velocidad), por desatender las señales de tránsito. Como consecuencia del hecho, el señor Cervantes Pérez fue trasladado a un centro de salud donde ingresó sin signos vitales.</w:t>
            </w:r>
          </w:p>
          <w:p w14:paraId="2949DF52" w14:textId="77777777" w:rsidR="00DB76EC" w:rsidRPr="00DE4A50" w:rsidRDefault="00DB76EC"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p>
          <w:p w14:paraId="2BC90E7D" w14:textId="120925E2" w:rsidR="00D15E0F" w:rsidRPr="00DE4A50" w:rsidRDefault="00D15E0F"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r w:rsidRPr="00DE4A50">
              <w:rPr>
                <w:rFonts w:ascii="Century Gothic" w:hAnsi="Century Gothic" w:cs="Arial"/>
                <w:color w:val="000000"/>
                <w:sz w:val="22"/>
                <w:szCs w:val="22"/>
                <w:bdr w:val="none" w:sz="0" w:space="0" w:color="auto" w:frame="1"/>
              </w:rPr>
              <w:lastRenderedPageBreak/>
              <w:t>Precisó que la víctima tenía 41 años, convivía con su madre, sus dos hijos menores y sus hermanos, y trabajaba como independiente en oficios varios, aportando económicamente al hogar. Agregó que sus familiares han sufrido afectaciones morales y patrimoniales, por cuanto dependían de su apoyo emocional y económico.</w:t>
            </w:r>
          </w:p>
          <w:p w14:paraId="03FF0175" w14:textId="77777777" w:rsidR="00DB76EC" w:rsidRPr="00DE4A50" w:rsidRDefault="00DB76EC"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rPr>
            </w:pPr>
          </w:p>
          <w:p w14:paraId="1840A2B8" w14:textId="77777777" w:rsidR="00DB76EC" w:rsidRPr="00DE4A50" w:rsidRDefault="00D15E0F"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r w:rsidRPr="00DE4A50">
              <w:rPr>
                <w:rFonts w:ascii="Century Gothic" w:hAnsi="Century Gothic" w:cs="Arial"/>
                <w:color w:val="000000"/>
                <w:sz w:val="22"/>
                <w:szCs w:val="22"/>
                <w:bdr w:val="none" w:sz="0" w:space="0" w:color="auto" w:frame="1"/>
              </w:rPr>
              <w:t xml:space="preserve">Sostuvo que el vehículo era propiedad de la Clínica La Victoria S.A.S. y se encontraba asegurado con póliza de responsabilidad civil expedida por La Equidad Seguros Generales O.C. </w:t>
            </w:r>
          </w:p>
          <w:p w14:paraId="16A256FE" w14:textId="77777777" w:rsidR="00DB76EC" w:rsidRPr="00DE4A50" w:rsidRDefault="00DB76EC"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p>
          <w:p w14:paraId="5B3DA747" w14:textId="02AF3574" w:rsidR="00D15E0F" w:rsidRPr="00DE4A50" w:rsidRDefault="00D15E0F"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Señaló que dicha aseguradora objetó el siniestro mediante comunicación del 26 de julio de 2022, argumentando falta de elementos que acreditaran la responsabilidad atribuida.</w:t>
            </w:r>
          </w:p>
          <w:p w14:paraId="527F5D62" w14:textId="77777777" w:rsidR="00DB76EC" w:rsidRPr="00DE4A50" w:rsidRDefault="00DB76EC"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p>
          <w:p w14:paraId="67472EC6" w14:textId="6CF01C6C" w:rsidR="00D15E0F" w:rsidRPr="00DE4A50" w:rsidRDefault="00D15E0F" w:rsidP="00741F3E">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Finalmente, señaló que se intentó una conciliación extrajudicial ante la Procuraduría el 22 de agosto de 2023, diligencia que fue declarada fallida.</w:t>
            </w:r>
          </w:p>
          <w:p w14:paraId="285181BA" w14:textId="77777777" w:rsidR="00B2787D" w:rsidRPr="00DE4A50" w:rsidRDefault="00B2787D" w:rsidP="00741F3E">
            <w:pPr>
              <w:spacing w:line="360" w:lineRule="auto"/>
              <w:rPr>
                <w:rFonts w:ascii="Century Gothic" w:hAnsi="Century Gothic" w:cs="Arial"/>
                <w:sz w:val="22"/>
                <w:szCs w:val="22"/>
              </w:rPr>
            </w:pPr>
          </w:p>
        </w:tc>
      </w:tr>
    </w:tbl>
    <w:p w14:paraId="20C76EE3" w14:textId="77777777" w:rsidR="003827E1" w:rsidRPr="00DE4A50" w:rsidRDefault="003827E1" w:rsidP="00741F3E">
      <w:pPr>
        <w:spacing w:line="360" w:lineRule="auto"/>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DE4A50" w14:paraId="2BD14B8D" w14:textId="77777777" w:rsidTr="0095378E">
        <w:tc>
          <w:tcPr>
            <w:tcW w:w="10207" w:type="dxa"/>
            <w:gridSpan w:val="2"/>
            <w:shd w:val="clear" w:color="auto" w:fill="C5E0B3" w:themeFill="accent6" w:themeFillTint="66"/>
            <w:vAlign w:val="center"/>
          </w:tcPr>
          <w:p w14:paraId="00111EA5" w14:textId="08575358" w:rsidR="007C37D7" w:rsidRPr="00DE4A50" w:rsidRDefault="007C37D7" w:rsidP="00741F3E">
            <w:pPr>
              <w:spacing w:line="360" w:lineRule="auto"/>
              <w:jc w:val="center"/>
              <w:rPr>
                <w:rFonts w:ascii="Century Gothic" w:hAnsi="Century Gothic" w:cs="Arial"/>
                <w:sz w:val="22"/>
                <w:szCs w:val="22"/>
              </w:rPr>
            </w:pPr>
            <w:r w:rsidRPr="00DE4A50">
              <w:rPr>
                <w:rFonts w:ascii="Century Gothic" w:hAnsi="Century Gothic" w:cs="Arial"/>
                <w:b/>
                <w:bCs/>
                <w:sz w:val="22"/>
                <w:szCs w:val="22"/>
              </w:rPr>
              <w:t xml:space="preserve">Pretensiones </w:t>
            </w:r>
            <w:r w:rsidRPr="00DE4A50">
              <w:rPr>
                <w:rFonts w:ascii="Century Gothic" w:hAnsi="Century Gothic" w:cs="Arial"/>
                <w:sz w:val="22"/>
                <w:szCs w:val="22"/>
              </w:rPr>
              <w:t>(haga un relato o enliste las pretensiones de la demanda/llamamiento en garantía)</w:t>
            </w:r>
          </w:p>
        </w:tc>
      </w:tr>
      <w:tr w:rsidR="007C37D7" w:rsidRPr="00DE4A50" w14:paraId="2B7256CB" w14:textId="77777777" w:rsidTr="006056E7">
        <w:tc>
          <w:tcPr>
            <w:tcW w:w="10207" w:type="dxa"/>
            <w:gridSpan w:val="2"/>
            <w:vAlign w:val="center"/>
          </w:tcPr>
          <w:p w14:paraId="0483A928" w14:textId="77777777" w:rsidR="00FD53B3" w:rsidRPr="00DE4A50" w:rsidRDefault="00FD53B3" w:rsidP="00741F3E">
            <w:pPr>
              <w:spacing w:line="360" w:lineRule="auto"/>
              <w:rPr>
                <w:rFonts w:ascii="Century Gothic" w:hAnsi="Century Gothic" w:cs="Arial"/>
                <w:sz w:val="22"/>
                <w:szCs w:val="22"/>
              </w:rPr>
            </w:pPr>
          </w:p>
          <w:p w14:paraId="591B97E5" w14:textId="129F0908" w:rsidR="00DB76EC" w:rsidRPr="00DE4A50" w:rsidRDefault="00DB76EC" w:rsidP="00741F3E">
            <w:pPr>
              <w:pStyle w:val="NormalWeb"/>
              <w:numPr>
                <w:ilvl w:val="0"/>
                <w:numId w:val="1"/>
              </w:numPr>
              <w:shd w:val="clear" w:color="auto" w:fill="FFFFFF"/>
              <w:spacing w:before="0" w:beforeAutospacing="0" w:after="0" w:afterAutospacing="0" w:line="360" w:lineRule="auto"/>
              <w:jc w:val="both"/>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 xml:space="preserve">La parte demandante solicitó que se declarara la responsabilidad civil extracontractual y solidaria de La Equidad Seguros Generales O.C., la Clínica La Victoria S.A.S. y el señor Deivi José González Yépez, por los daños y perjuicios patrimoniales y extrapatrimoniales causados a María </w:t>
            </w:r>
            <w:proofErr w:type="spellStart"/>
            <w:r w:rsidRPr="00DE4A50">
              <w:rPr>
                <w:rFonts w:ascii="Century Gothic" w:hAnsi="Century Gothic" w:cs="Arial"/>
                <w:color w:val="000000"/>
                <w:sz w:val="22"/>
                <w:szCs w:val="22"/>
                <w:bdr w:val="none" w:sz="0" w:space="0" w:color="auto" w:frame="1"/>
              </w:rPr>
              <w:t>Yenith</w:t>
            </w:r>
            <w:proofErr w:type="spellEnd"/>
            <w:r w:rsidRPr="00DE4A50">
              <w:rPr>
                <w:rFonts w:ascii="Century Gothic" w:hAnsi="Century Gothic" w:cs="Arial"/>
                <w:color w:val="000000"/>
                <w:sz w:val="22"/>
                <w:szCs w:val="22"/>
                <w:bdr w:val="none" w:sz="0" w:space="0" w:color="auto" w:frame="1"/>
              </w:rPr>
              <w:t xml:space="preserve"> Pérez Mendoza, </w:t>
            </w:r>
            <w:proofErr w:type="spellStart"/>
            <w:r w:rsidRPr="00DE4A50">
              <w:rPr>
                <w:rFonts w:ascii="Century Gothic" w:hAnsi="Century Gothic" w:cs="Arial"/>
                <w:color w:val="000000"/>
                <w:sz w:val="22"/>
                <w:szCs w:val="22"/>
                <w:bdr w:val="none" w:sz="0" w:space="0" w:color="auto" w:frame="1"/>
              </w:rPr>
              <w:t>Keiner</w:t>
            </w:r>
            <w:proofErr w:type="spellEnd"/>
            <w:r w:rsidRPr="00DE4A50">
              <w:rPr>
                <w:rFonts w:ascii="Century Gothic" w:hAnsi="Century Gothic" w:cs="Arial"/>
                <w:color w:val="000000"/>
                <w:sz w:val="22"/>
                <w:szCs w:val="22"/>
                <w:bdr w:val="none" w:sz="0" w:space="0" w:color="auto" w:frame="1"/>
              </w:rPr>
              <w:t xml:space="preserve"> David Cervantes Nieto, David José Cervantes Tovar, Javier Gustavo Cervantes Pérez y </w:t>
            </w:r>
            <w:proofErr w:type="spellStart"/>
            <w:r w:rsidRPr="00DE4A50">
              <w:rPr>
                <w:rFonts w:ascii="Century Gothic" w:hAnsi="Century Gothic" w:cs="Arial"/>
                <w:color w:val="000000"/>
                <w:sz w:val="22"/>
                <w:szCs w:val="22"/>
                <w:bdr w:val="none" w:sz="0" w:space="0" w:color="auto" w:frame="1"/>
              </w:rPr>
              <w:t>Heidys</w:t>
            </w:r>
            <w:proofErr w:type="spellEnd"/>
            <w:r w:rsidRPr="00DE4A50">
              <w:rPr>
                <w:rFonts w:ascii="Century Gothic" w:hAnsi="Century Gothic" w:cs="Arial"/>
                <w:color w:val="000000"/>
                <w:sz w:val="22"/>
                <w:szCs w:val="22"/>
                <w:bdr w:val="none" w:sz="0" w:space="0" w:color="auto" w:frame="1"/>
              </w:rPr>
              <w:t xml:space="preserve"> Isabel Cervantes Pérez, con ocasión del accidente de tránsito ocurrido el 15 de abril de 2022.</w:t>
            </w:r>
          </w:p>
          <w:p w14:paraId="7A2A2D67" w14:textId="77777777" w:rsidR="00DB76EC" w:rsidRPr="00DE4A50" w:rsidRDefault="00DB76EC" w:rsidP="00741F3E">
            <w:pPr>
              <w:pStyle w:val="NormalWeb"/>
              <w:shd w:val="clear" w:color="auto" w:fill="FFFFFF"/>
              <w:spacing w:before="0" w:beforeAutospacing="0" w:after="0" w:afterAutospacing="0" w:line="360" w:lineRule="auto"/>
              <w:ind w:left="720"/>
              <w:jc w:val="both"/>
              <w:rPr>
                <w:rFonts w:ascii="Century Gothic" w:hAnsi="Century Gothic" w:cs="Arial"/>
                <w:color w:val="000000"/>
                <w:sz w:val="22"/>
                <w:szCs w:val="22"/>
              </w:rPr>
            </w:pPr>
          </w:p>
          <w:p w14:paraId="32DE7CF0" w14:textId="77777777" w:rsidR="00DB76EC" w:rsidRPr="00DE4A50" w:rsidRDefault="00DB76EC" w:rsidP="00741F3E">
            <w:pPr>
              <w:pStyle w:val="NormalWeb"/>
              <w:numPr>
                <w:ilvl w:val="0"/>
                <w:numId w:val="1"/>
              </w:numPr>
              <w:shd w:val="clear" w:color="auto" w:fill="FFFFFF"/>
              <w:spacing w:before="0" w:beforeAutospacing="0" w:after="0" w:afterAutospacing="0" w:line="360" w:lineRule="auto"/>
              <w:jc w:val="both"/>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 En consecuencia, pidió que se condenara solidariamente a La Equidad Seguros Generales O.C. y a la Clínica La Victoria S.A.S. al pago de los perjuicios patrimoniales y extrapatrimoniales en favor de los mencionados demandantes.</w:t>
            </w:r>
          </w:p>
          <w:p w14:paraId="1C6BDBD5" w14:textId="77777777" w:rsidR="00DB76EC" w:rsidRPr="00DE4A50" w:rsidRDefault="00DB76EC" w:rsidP="00741F3E">
            <w:pPr>
              <w:pStyle w:val="Prrafodelista"/>
              <w:spacing w:line="360" w:lineRule="auto"/>
              <w:rPr>
                <w:rFonts w:ascii="Century Gothic" w:hAnsi="Century Gothic" w:cs="Arial"/>
                <w:color w:val="000000"/>
                <w:sz w:val="22"/>
                <w:szCs w:val="22"/>
                <w:bdr w:val="none" w:sz="0" w:space="0" w:color="auto" w:frame="1"/>
              </w:rPr>
            </w:pPr>
          </w:p>
          <w:p w14:paraId="6FD6A49F" w14:textId="68270DCC" w:rsidR="00DB76EC" w:rsidRPr="00DE4A50" w:rsidRDefault="00DB76EC" w:rsidP="00741F3E">
            <w:pPr>
              <w:pStyle w:val="NormalWeb"/>
              <w:numPr>
                <w:ilvl w:val="0"/>
                <w:numId w:val="1"/>
              </w:numPr>
              <w:shd w:val="clear" w:color="auto" w:fill="FFFFFF"/>
              <w:spacing w:before="0" w:beforeAutospacing="0" w:after="0" w:afterAutospacing="0" w:line="360" w:lineRule="auto"/>
              <w:jc w:val="both"/>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 Solicitó la condena al pago de la suma total de $437.468.854,72, correspondiente a:</w:t>
            </w:r>
          </w:p>
          <w:p w14:paraId="3D493F53" w14:textId="77777777" w:rsidR="00DB76EC" w:rsidRPr="00DE4A50" w:rsidRDefault="00DB76EC" w:rsidP="00741F3E">
            <w:pPr>
              <w:pStyle w:val="NormalWeb"/>
              <w:shd w:val="clear" w:color="auto" w:fill="FFFFFF"/>
              <w:spacing w:before="0" w:beforeAutospacing="0" w:after="0" w:afterAutospacing="0" w:line="360" w:lineRule="auto"/>
              <w:jc w:val="both"/>
              <w:rPr>
                <w:rFonts w:ascii="Century Gothic" w:hAnsi="Century Gothic" w:cs="Arial"/>
                <w:color w:val="000000"/>
                <w:sz w:val="22"/>
                <w:szCs w:val="22"/>
              </w:rPr>
            </w:pPr>
          </w:p>
          <w:p w14:paraId="54CA18D2" w14:textId="77777777" w:rsidR="00DB76EC" w:rsidRPr="00DE4A50" w:rsidRDefault="00DB76EC" w:rsidP="00741F3E">
            <w:pPr>
              <w:pStyle w:val="NormalWeb"/>
              <w:numPr>
                <w:ilvl w:val="0"/>
                <w:numId w:val="2"/>
              </w:numPr>
              <w:shd w:val="clear" w:color="auto" w:fill="FFFFFF"/>
              <w:spacing w:before="0" w:beforeAutospacing="0" w:after="0" w:afterAutospacing="0" w:line="360" w:lineRule="auto"/>
              <w:jc w:val="both"/>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 xml:space="preserve">Perjuicios materiales a favor de los hijos </w:t>
            </w:r>
            <w:proofErr w:type="spellStart"/>
            <w:r w:rsidRPr="00DE4A50">
              <w:rPr>
                <w:rFonts w:ascii="Century Gothic" w:hAnsi="Century Gothic" w:cs="Arial"/>
                <w:color w:val="000000"/>
                <w:sz w:val="22"/>
                <w:szCs w:val="22"/>
                <w:bdr w:val="none" w:sz="0" w:space="0" w:color="auto" w:frame="1"/>
              </w:rPr>
              <w:t>Keiner</w:t>
            </w:r>
            <w:proofErr w:type="spellEnd"/>
            <w:r w:rsidRPr="00DE4A50">
              <w:rPr>
                <w:rFonts w:ascii="Century Gothic" w:hAnsi="Century Gothic" w:cs="Arial"/>
                <w:color w:val="000000"/>
                <w:sz w:val="22"/>
                <w:szCs w:val="22"/>
                <w:bdr w:val="none" w:sz="0" w:space="0" w:color="auto" w:frame="1"/>
              </w:rPr>
              <w:t xml:space="preserve"> David Cervantes Nieto y David José Cervantes Tovar, por $44.734.427,00 cada uno.</w:t>
            </w:r>
          </w:p>
          <w:p w14:paraId="0D51F097" w14:textId="2624FEF8" w:rsidR="00DB76EC" w:rsidRPr="00DE4A50" w:rsidRDefault="00DB76EC" w:rsidP="00741F3E">
            <w:pPr>
              <w:pStyle w:val="NormalWeb"/>
              <w:numPr>
                <w:ilvl w:val="0"/>
                <w:numId w:val="2"/>
              </w:numPr>
              <w:shd w:val="clear" w:color="auto" w:fill="FFFFFF"/>
              <w:spacing w:before="0" w:beforeAutospacing="0" w:after="0" w:afterAutospacing="0" w:line="360" w:lineRule="auto"/>
              <w:jc w:val="both"/>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Perjuicios extrapatrimoniales en la modalidad de daño moral:</w:t>
            </w:r>
          </w:p>
          <w:p w14:paraId="745630FB" w14:textId="77777777" w:rsidR="00CB6857" w:rsidRPr="00DE4A50" w:rsidRDefault="00CB6857" w:rsidP="00741F3E">
            <w:pPr>
              <w:pStyle w:val="NormalWeb"/>
              <w:numPr>
                <w:ilvl w:val="0"/>
                <w:numId w:val="2"/>
              </w:numPr>
              <w:shd w:val="clear" w:color="auto" w:fill="FFFFFF"/>
              <w:spacing w:before="0" w:beforeAutospacing="0" w:after="0" w:afterAutospacing="0" w:line="360" w:lineRule="auto"/>
              <w:jc w:val="both"/>
              <w:rPr>
                <w:rFonts w:ascii="Century Gothic" w:hAnsi="Century Gothic" w:cs="Arial"/>
                <w:color w:val="000000"/>
                <w:sz w:val="22"/>
                <w:szCs w:val="22"/>
              </w:rPr>
            </w:pPr>
          </w:p>
          <w:p w14:paraId="1B87895B" w14:textId="77777777" w:rsidR="00DB76EC" w:rsidRPr="00DE4A50" w:rsidRDefault="00DB76EC" w:rsidP="00741F3E">
            <w:pPr>
              <w:pStyle w:val="NormalWeb"/>
              <w:shd w:val="clear" w:color="auto" w:fill="FFFFFF"/>
              <w:spacing w:before="0" w:beforeAutospacing="0" w:after="0" w:afterAutospacing="0" w:line="360" w:lineRule="auto"/>
              <w:ind w:left="720"/>
              <w:jc w:val="both"/>
              <w:textAlignment w:val="baseline"/>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 xml:space="preserve">A favor de </w:t>
            </w:r>
            <w:proofErr w:type="spellStart"/>
            <w:r w:rsidRPr="00DE4A50">
              <w:rPr>
                <w:rFonts w:ascii="Century Gothic" w:hAnsi="Century Gothic" w:cs="Arial"/>
                <w:color w:val="000000"/>
                <w:sz w:val="22"/>
                <w:szCs w:val="22"/>
                <w:bdr w:val="none" w:sz="0" w:space="0" w:color="auto" w:frame="1"/>
              </w:rPr>
              <w:t>Keiner</w:t>
            </w:r>
            <w:proofErr w:type="spellEnd"/>
            <w:r w:rsidRPr="00DE4A50">
              <w:rPr>
                <w:rFonts w:ascii="Century Gothic" w:hAnsi="Century Gothic" w:cs="Arial"/>
                <w:color w:val="000000"/>
                <w:sz w:val="22"/>
                <w:szCs w:val="22"/>
                <w:bdr w:val="none" w:sz="0" w:space="0" w:color="auto" w:frame="1"/>
              </w:rPr>
              <w:t xml:space="preserve"> David Cervantes Nieto: 100 SMMLV.</w:t>
            </w:r>
          </w:p>
          <w:p w14:paraId="39AD19E3" w14:textId="77777777" w:rsidR="00DB76EC" w:rsidRPr="00DE4A50" w:rsidRDefault="00DB76EC" w:rsidP="00741F3E">
            <w:pPr>
              <w:pStyle w:val="NormalWeb"/>
              <w:shd w:val="clear" w:color="auto" w:fill="FFFFFF"/>
              <w:spacing w:before="0" w:beforeAutospacing="0" w:after="0" w:afterAutospacing="0" w:line="360" w:lineRule="auto"/>
              <w:ind w:left="720"/>
              <w:jc w:val="both"/>
              <w:textAlignment w:val="baseline"/>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A favor de David José Cervantes Tovar: 100 SMMLV.</w:t>
            </w:r>
          </w:p>
          <w:p w14:paraId="40C6EB49" w14:textId="77777777" w:rsidR="00DB76EC" w:rsidRPr="00DE4A50" w:rsidRDefault="00DB76EC" w:rsidP="00741F3E">
            <w:pPr>
              <w:pStyle w:val="NormalWeb"/>
              <w:shd w:val="clear" w:color="auto" w:fill="FFFFFF"/>
              <w:spacing w:before="0" w:beforeAutospacing="0" w:after="0" w:afterAutospacing="0" w:line="360" w:lineRule="auto"/>
              <w:ind w:left="720"/>
              <w:jc w:val="both"/>
              <w:textAlignment w:val="baseline"/>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 xml:space="preserve">A favor de María </w:t>
            </w:r>
            <w:proofErr w:type="spellStart"/>
            <w:r w:rsidRPr="00DE4A50">
              <w:rPr>
                <w:rFonts w:ascii="Century Gothic" w:hAnsi="Century Gothic" w:cs="Arial"/>
                <w:color w:val="000000"/>
                <w:sz w:val="22"/>
                <w:szCs w:val="22"/>
                <w:bdr w:val="none" w:sz="0" w:space="0" w:color="auto" w:frame="1"/>
              </w:rPr>
              <w:t>Yenith</w:t>
            </w:r>
            <w:proofErr w:type="spellEnd"/>
            <w:r w:rsidRPr="00DE4A50">
              <w:rPr>
                <w:rFonts w:ascii="Century Gothic" w:hAnsi="Century Gothic" w:cs="Arial"/>
                <w:color w:val="000000"/>
                <w:sz w:val="22"/>
                <w:szCs w:val="22"/>
                <w:bdr w:val="none" w:sz="0" w:space="0" w:color="auto" w:frame="1"/>
              </w:rPr>
              <w:t xml:space="preserve"> Pérez Mendoza (madre): 50 SMMLV.</w:t>
            </w:r>
          </w:p>
          <w:p w14:paraId="2A3D36D9" w14:textId="77777777" w:rsidR="00DB76EC" w:rsidRPr="00DE4A50" w:rsidRDefault="00DB76EC" w:rsidP="00741F3E">
            <w:pPr>
              <w:pStyle w:val="NormalWeb"/>
              <w:shd w:val="clear" w:color="auto" w:fill="FFFFFF"/>
              <w:spacing w:before="0" w:beforeAutospacing="0" w:after="0" w:afterAutospacing="0" w:line="360" w:lineRule="auto"/>
              <w:ind w:left="720"/>
              <w:jc w:val="both"/>
              <w:textAlignment w:val="baseline"/>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A favor de Javier Gustavo Cervantes Pérez (hermano): 25 SMMLV.</w:t>
            </w:r>
          </w:p>
          <w:p w14:paraId="345B36E5" w14:textId="44E34F03" w:rsidR="00DB76EC" w:rsidRPr="00DE4A50" w:rsidRDefault="00DB76EC" w:rsidP="00CB6857">
            <w:pPr>
              <w:pStyle w:val="NormalWeb"/>
              <w:shd w:val="clear" w:color="auto" w:fill="FFFFFF"/>
              <w:spacing w:before="0" w:beforeAutospacing="0" w:after="0" w:afterAutospacing="0" w:line="360" w:lineRule="auto"/>
              <w:ind w:left="720"/>
              <w:jc w:val="both"/>
              <w:textAlignment w:val="baseline"/>
              <w:rPr>
                <w:rFonts w:ascii="Century Gothic" w:hAnsi="Century Gothic" w:cs="Arial"/>
                <w:color w:val="000000"/>
                <w:sz w:val="22"/>
                <w:szCs w:val="22"/>
                <w:bdr w:val="none" w:sz="0" w:space="0" w:color="auto" w:frame="1"/>
              </w:rPr>
            </w:pPr>
            <w:r w:rsidRPr="00DE4A50">
              <w:rPr>
                <w:rFonts w:ascii="Century Gothic" w:hAnsi="Century Gothic" w:cs="Arial"/>
                <w:color w:val="000000"/>
                <w:sz w:val="22"/>
                <w:szCs w:val="22"/>
                <w:bdr w:val="none" w:sz="0" w:space="0" w:color="auto" w:frame="1"/>
              </w:rPr>
              <w:t xml:space="preserve">A favor de </w:t>
            </w:r>
            <w:proofErr w:type="spellStart"/>
            <w:r w:rsidRPr="00DE4A50">
              <w:rPr>
                <w:rFonts w:ascii="Century Gothic" w:hAnsi="Century Gothic" w:cs="Arial"/>
                <w:color w:val="000000"/>
                <w:sz w:val="22"/>
                <w:szCs w:val="22"/>
                <w:bdr w:val="none" w:sz="0" w:space="0" w:color="auto" w:frame="1"/>
              </w:rPr>
              <w:t>Heidys</w:t>
            </w:r>
            <w:proofErr w:type="spellEnd"/>
            <w:r w:rsidRPr="00DE4A50">
              <w:rPr>
                <w:rFonts w:ascii="Century Gothic" w:hAnsi="Century Gothic" w:cs="Arial"/>
                <w:color w:val="000000"/>
                <w:sz w:val="22"/>
                <w:szCs w:val="22"/>
                <w:bdr w:val="none" w:sz="0" w:space="0" w:color="auto" w:frame="1"/>
              </w:rPr>
              <w:t xml:space="preserve"> Isabel Cervantes Pérez (hermana): 25 SMMLV.</w:t>
            </w:r>
          </w:p>
          <w:p w14:paraId="5F5AF19E" w14:textId="77777777" w:rsidR="00CB6857" w:rsidRPr="00DE4A50" w:rsidRDefault="00CB6857" w:rsidP="00CB6857">
            <w:pPr>
              <w:pStyle w:val="NormalWeb"/>
              <w:shd w:val="clear" w:color="auto" w:fill="FFFFFF"/>
              <w:spacing w:before="0" w:beforeAutospacing="0" w:after="0" w:afterAutospacing="0" w:line="360" w:lineRule="auto"/>
              <w:ind w:left="720"/>
              <w:jc w:val="both"/>
              <w:textAlignment w:val="baseline"/>
              <w:rPr>
                <w:rFonts w:ascii="Century Gothic" w:hAnsi="Century Gothic" w:cs="Arial"/>
                <w:color w:val="000000"/>
                <w:sz w:val="22"/>
                <w:szCs w:val="22"/>
                <w:bdr w:val="none" w:sz="0" w:space="0" w:color="auto" w:frame="1"/>
              </w:rPr>
            </w:pPr>
          </w:p>
          <w:p w14:paraId="10654695" w14:textId="18517036" w:rsidR="00DB76EC" w:rsidRPr="00DE4A50" w:rsidRDefault="00DB76EC" w:rsidP="00741F3E">
            <w:pPr>
              <w:pStyle w:val="NormalWeb"/>
              <w:numPr>
                <w:ilvl w:val="0"/>
                <w:numId w:val="1"/>
              </w:numPr>
              <w:shd w:val="clear" w:color="auto" w:fill="FFFFFF"/>
              <w:spacing w:before="0" w:beforeAutospacing="0" w:after="0" w:afterAutospacing="0" w:line="360" w:lineRule="auto"/>
              <w:jc w:val="both"/>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Requirió que las sumas solicitadas fueran indexadas al momento de dictarse sentencia, conforme al IPC.</w:t>
            </w:r>
          </w:p>
          <w:p w14:paraId="074A964C" w14:textId="77777777" w:rsidR="00DB76EC" w:rsidRPr="00DE4A50" w:rsidRDefault="00DB76EC" w:rsidP="00741F3E">
            <w:pPr>
              <w:pStyle w:val="NormalWeb"/>
              <w:shd w:val="clear" w:color="auto" w:fill="FFFFFF"/>
              <w:spacing w:before="0" w:beforeAutospacing="0" w:after="0" w:afterAutospacing="0" w:line="360" w:lineRule="auto"/>
              <w:ind w:left="720"/>
              <w:jc w:val="both"/>
              <w:rPr>
                <w:rFonts w:ascii="Century Gothic" w:hAnsi="Century Gothic" w:cs="Arial"/>
                <w:color w:val="000000"/>
                <w:sz w:val="22"/>
                <w:szCs w:val="22"/>
              </w:rPr>
            </w:pPr>
          </w:p>
          <w:p w14:paraId="5A7E853A" w14:textId="6E821B7C" w:rsidR="00DB76EC" w:rsidRPr="00DE4A50" w:rsidRDefault="00DB76EC" w:rsidP="00741F3E">
            <w:pPr>
              <w:pStyle w:val="NormalWeb"/>
              <w:numPr>
                <w:ilvl w:val="0"/>
                <w:numId w:val="1"/>
              </w:numPr>
              <w:shd w:val="clear" w:color="auto" w:fill="FFFFFF"/>
              <w:spacing w:before="0" w:beforeAutospacing="0" w:after="0" w:afterAutospacing="0" w:line="360" w:lineRule="auto"/>
              <w:jc w:val="both"/>
              <w:rPr>
                <w:rFonts w:ascii="Century Gothic" w:hAnsi="Century Gothic" w:cs="Arial"/>
                <w:color w:val="000000"/>
                <w:sz w:val="22"/>
                <w:szCs w:val="22"/>
              </w:rPr>
            </w:pPr>
            <w:r w:rsidRPr="00DE4A50">
              <w:rPr>
                <w:rFonts w:ascii="Century Gothic" w:hAnsi="Century Gothic" w:cs="Arial"/>
                <w:color w:val="000000"/>
                <w:sz w:val="22"/>
                <w:szCs w:val="22"/>
                <w:bdr w:val="none" w:sz="0" w:space="0" w:color="auto" w:frame="1"/>
              </w:rPr>
              <w:t>Finalmente, solicitó la condena en costas y agencias en derecho a cargo de los demandados.</w:t>
            </w:r>
          </w:p>
          <w:p w14:paraId="77C06868" w14:textId="77777777" w:rsidR="00FD53B3" w:rsidRPr="00DE4A50" w:rsidRDefault="00FD53B3" w:rsidP="00741F3E">
            <w:pPr>
              <w:spacing w:line="360" w:lineRule="auto"/>
              <w:rPr>
                <w:rFonts w:ascii="Century Gothic" w:hAnsi="Century Gothic" w:cs="Arial"/>
                <w:sz w:val="22"/>
                <w:szCs w:val="22"/>
              </w:rPr>
            </w:pPr>
          </w:p>
        </w:tc>
      </w:tr>
      <w:tr w:rsidR="00992368" w:rsidRPr="00DE4A50" w14:paraId="50D1C7A7" w14:textId="77777777" w:rsidTr="003827E1">
        <w:trPr>
          <w:trHeight w:val="510"/>
        </w:trPr>
        <w:tc>
          <w:tcPr>
            <w:tcW w:w="4537" w:type="dxa"/>
            <w:vAlign w:val="center"/>
          </w:tcPr>
          <w:p w14:paraId="013247F4" w14:textId="68D4118C" w:rsidR="00992368" w:rsidRPr="00DE4A50" w:rsidRDefault="001E1616"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lastRenderedPageBreak/>
              <w:t xml:space="preserve">Valor total de las pretensiones </w:t>
            </w:r>
          </w:p>
        </w:tc>
        <w:tc>
          <w:tcPr>
            <w:tcW w:w="5670" w:type="dxa"/>
            <w:vAlign w:val="center"/>
          </w:tcPr>
          <w:p w14:paraId="00FEFA37" w14:textId="1E906775" w:rsidR="00992368" w:rsidRPr="00DE4A50" w:rsidRDefault="00A6192A" w:rsidP="00741F3E">
            <w:pPr>
              <w:spacing w:line="360" w:lineRule="auto"/>
              <w:rPr>
                <w:rFonts w:ascii="Century Gothic" w:hAnsi="Century Gothic" w:cs="Arial"/>
                <w:sz w:val="22"/>
                <w:szCs w:val="22"/>
              </w:rPr>
            </w:pPr>
            <w:r w:rsidRPr="00DE4A50">
              <w:rPr>
                <w:rFonts w:ascii="Century Gothic" w:hAnsi="Century Gothic" w:cs="Arial"/>
                <w:sz w:val="22"/>
                <w:szCs w:val="22"/>
              </w:rPr>
              <w:t xml:space="preserve"> </w:t>
            </w:r>
            <w:r w:rsidRPr="00DE4A50">
              <w:rPr>
                <w:rFonts w:ascii="Century Gothic" w:hAnsi="Century Gothic" w:cs="Arial"/>
                <w:color w:val="000000"/>
                <w:sz w:val="22"/>
                <w:szCs w:val="22"/>
                <w:bdr w:val="none" w:sz="0" w:space="0" w:color="auto" w:frame="1"/>
              </w:rPr>
              <w:t>$</w:t>
            </w:r>
            <w:r w:rsidR="00677C32" w:rsidRPr="00DE4A50">
              <w:rPr>
                <w:rFonts w:ascii="Century Gothic" w:hAnsi="Century Gothic" w:cs="Arial"/>
                <w:color w:val="000000"/>
                <w:sz w:val="22"/>
                <w:szCs w:val="22"/>
                <w:bdr w:val="none" w:sz="0" w:space="0" w:color="auto" w:frame="1"/>
              </w:rPr>
              <w:t>516.518.854</w:t>
            </w:r>
          </w:p>
        </w:tc>
      </w:tr>
      <w:tr w:rsidR="00992368" w:rsidRPr="00DE4A50" w14:paraId="668F9413" w14:textId="77777777" w:rsidTr="003827E1">
        <w:trPr>
          <w:trHeight w:val="510"/>
        </w:trPr>
        <w:tc>
          <w:tcPr>
            <w:tcW w:w="4537" w:type="dxa"/>
            <w:vAlign w:val="center"/>
          </w:tcPr>
          <w:p w14:paraId="34E17619" w14:textId="7EF66606" w:rsidR="00992368" w:rsidRPr="00DE4A50" w:rsidRDefault="00FD53B3"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Valor total de las pretensiones objetivadas</w:t>
            </w:r>
          </w:p>
        </w:tc>
        <w:tc>
          <w:tcPr>
            <w:tcW w:w="5670" w:type="dxa"/>
            <w:vAlign w:val="center"/>
          </w:tcPr>
          <w:p w14:paraId="487C6084" w14:textId="452D5B01" w:rsidR="00992368" w:rsidRPr="00DE4A50" w:rsidRDefault="00FD53B3" w:rsidP="00741F3E">
            <w:pPr>
              <w:spacing w:line="360" w:lineRule="auto"/>
              <w:rPr>
                <w:rFonts w:ascii="Century Gothic" w:hAnsi="Century Gothic" w:cs="Arial"/>
                <w:b/>
                <w:bCs/>
                <w:sz w:val="22"/>
                <w:szCs w:val="22"/>
              </w:rPr>
            </w:pPr>
            <w:r w:rsidRPr="00DE4A50">
              <w:rPr>
                <w:rFonts w:ascii="Century Gothic" w:hAnsi="Century Gothic" w:cs="Arial"/>
                <w:sz w:val="22"/>
                <w:szCs w:val="22"/>
              </w:rPr>
              <w:t>$</w:t>
            </w:r>
            <w:r w:rsidR="00880E0B" w:rsidRPr="00DE4A50">
              <w:rPr>
                <w:rFonts w:ascii="Century Gothic" w:hAnsi="Century Gothic" w:cs="Arial"/>
                <w:sz w:val="22"/>
                <w:szCs w:val="22"/>
              </w:rPr>
              <w:t>200.000.000</w:t>
            </w:r>
          </w:p>
        </w:tc>
      </w:tr>
    </w:tbl>
    <w:p w14:paraId="146E9C6D" w14:textId="77777777" w:rsidR="0095378E" w:rsidRDefault="0095378E" w:rsidP="00741F3E">
      <w:pPr>
        <w:spacing w:line="360" w:lineRule="auto"/>
        <w:rPr>
          <w:rFonts w:ascii="Century Gothic" w:hAnsi="Century Gothic" w:cs="Arial"/>
          <w:sz w:val="22"/>
          <w:szCs w:val="22"/>
        </w:rPr>
      </w:pPr>
    </w:p>
    <w:p w14:paraId="371C0F1D" w14:textId="77777777" w:rsidR="00DE4A50" w:rsidRDefault="00DE4A50" w:rsidP="00741F3E">
      <w:pPr>
        <w:spacing w:line="360" w:lineRule="auto"/>
        <w:rPr>
          <w:rFonts w:ascii="Century Gothic" w:hAnsi="Century Gothic" w:cs="Arial"/>
          <w:sz w:val="22"/>
          <w:szCs w:val="22"/>
        </w:rPr>
      </w:pPr>
    </w:p>
    <w:p w14:paraId="2B991D46" w14:textId="77777777" w:rsidR="00DE4A50" w:rsidRDefault="00DE4A50" w:rsidP="00741F3E">
      <w:pPr>
        <w:spacing w:line="360" w:lineRule="auto"/>
        <w:rPr>
          <w:rFonts w:ascii="Century Gothic" w:hAnsi="Century Gothic" w:cs="Arial"/>
          <w:sz w:val="22"/>
          <w:szCs w:val="22"/>
        </w:rPr>
      </w:pPr>
    </w:p>
    <w:p w14:paraId="4D038374" w14:textId="77777777" w:rsidR="00DE4A50" w:rsidRDefault="00DE4A50" w:rsidP="00741F3E">
      <w:pPr>
        <w:spacing w:line="360" w:lineRule="auto"/>
        <w:rPr>
          <w:rFonts w:ascii="Century Gothic" w:hAnsi="Century Gothic" w:cs="Arial"/>
          <w:sz w:val="22"/>
          <w:szCs w:val="22"/>
        </w:rPr>
      </w:pPr>
    </w:p>
    <w:p w14:paraId="3D0448E4" w14:textId="77777777" w:rsidR="00DE4A50" w:rsidRDefault="00DE4A50" w:rsidP="00741F3E">
      <w:pPr>
        <w:spacing w:line="360" w:lineRule="auto"/>
        <w:rPr>
          <w:rFonts w:ascii="Century Gothic" w:hAnsi="Century Gothic" w:cs="Arial"/>
          <w:sz w:val="22"/>
          <w:szCs w:val="22"/>
        </w:rPr>
      </w:pPr>
    </w:p>
    <w:p w14:paraId="411D995C" w14:textId="77777777" w:rsidR="00DE4A50" w:rsidRDefault="00DE4A50" w:rsidP="00741F3E">
      <w:pPr>
        <w:spacing w:line="360" w:lineRule="auto"/>
        <w:rPr>
          <w:rFonts w:ascii="Century Gothic" w:hAnsi="Century Gothic" w:cs="Arial"/>
          <w:sz w:val="22"/>
          <w:szCs w:val="22"/>
        </w:rPr>
      </w:pPr>
    </w:p>
    <w:p w14:paraId="093F32FB" w14:textId="77777777" w:rsidR="00DE4A50" w:rsidRDefault="00DE4A50" w:rsidP="00741F3E">
      <w:pPr>
        <w:spacing w:line="360" w:lineRule="auto"/>
        <w:rPr>
          <w:rFonts w:ascii="Century Gothic" w:hAnsi="Century Gothic" w:cs="Arial"/>
          <w:sz w:val="22"/>
          <w:szCs w:val="22"/>
        </w:rPr>
      </w:pPr>
    </w:p>
    <w:p w14:paraId="2D932E88" w14:textId="77777777" w:rsidR="00DE4A50" w:rsidRDefault="00DE4A50" w:rsidP="00741F3E">
      <w:pPr>
        <w:spacing w:line="360" w:lineRule="auto"/>
        <w:rPr>
          <w:rFonts w:ascii="Century Gothic" w:hAnsi="Century Gothic" w:cs="Arial"/>
          <w:sz w:val="22"/>
          <w:szCs w:val="22"/>
        </w:rPr>
      </w:pPr>
    </w:p>
    <w:p w14:paraId="27DA5649" w14:textId="77777777" w:rsidR="00DE4A50" w:rsidRDefault="00DE4A50" w:rsidP="00741F3E">
      <w:pPr>
        <w:spacing w:line="360" w:lineRule="auto"/>
        <w:rPr>
          <w:rFonts w:ascii="Century Gothic" w:hAnsi="Century Gothic" w:cs="Arial"/>
          <w:sz w:val="22"/>
          <w:szCs w:val="22"/>
        </w:rPr>
      </w:pPr>
    </w:p>
    <w:p w14:paraId="1E33F64B" w14:textId="77777777" w:rsidR="00DE4A50" w:rsidRDefault="00DE4A50" w:rsidP="00741F3E">
      <w:pPr>
        <w:spacing w:line="360" w:lineRule="auto"/>
        <w:rPr>
          <w:rFonts w:ascii="Century Gothic" w:hAnsi="Century Gothic" w:cs="Arial"/>
          <w:sz w:val="22"/>
          <w:szCs w:val="22"/>
        </w:rPr>
      </w:pPr>
    </w:p>
    <w:p w14:paraId="1EE1D580" w14:textId="77777777" w:rsidR="00DE4A50" w:rsidRPr="00DE4A50" w:rsidRDefault="00DE4A50" w:rsidP="00741F3E">
      <w:pPr>
        <w:spacing w:line="360" w:lineRule="auto"/>
        <w:rPr>
          <w:rFonts w:ascii="Century Gothic" w:hAnsi="Century Gothic" w:cs="Arial"/>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DE4A50" w14:paraId="77F9F71B" w14:textId="77777777" w:rsidTr="0095378E">
        <w:trPr>
          <w:trHeight w:val="285"/>
        </w:trPr>
        <w:tc>
          <w:tcPr>
            <w:tcW w:w="10191" w:type="dxa"/>
            <w:shd w:val="clear" w:color="auto" w:fill="C5E0B3" w:themeFill="accent6" w:themeFillTint="66"/>
            <w:vAlign w:val="center"/>
          </w:tcPr>
          <w:p w14:paraId="10E33877" w14:textId="0E982702" w:rsidR="00E802BC" w:rsidRPr="00DE4A50" w:rsidRDefault="00E802BC" w:rsidP="00741F3E">
            <w:pPr>
              <w:spacing w:line="360" w:lineRule="auto"/>
              <w:jc w:val="center"/>
              <w:rPr>
                <w:rFonts w:ascii="Century Gothic" w:hAnsi="Century Gothic" w:cs="Arial"/>
                <w:sz w:val="22"/>
                <w:szCs w:val="22"/>
              </w:rPr>
            </w:pPr>
            <w:r w:rsidRPr="00DE4A50">
              <w:rPr>
                <w:rFonts w:ascii="Century Gothic" w:hAnsi="Century Gothic" w:cs="Arial"/>
                <w:b/>
                <w:bCs/>
                <w:sz w:val="22"/>
                <w:szCs w:val="22"/>
              </w:rPr>
              <w:lastRenderedPageBreak/>
              <w:t>Liquidación de las pretensiones objetivadas</w:t>
            </w:r>
          </w:p>
        </w:tc>
      </w:tr>
      <w:tr w:rsidR="00E802BC" w:rsidRPr="00DE4A50" w14:paraId="33786C43" w14:textId="77777777" w:rsidTr="0095378E">
        <w:trPr>
          <w:trHeight w:val="6406"/>
        </w:trPr>
        <w:tc>
          <w:tcPr>
            <w:tcW w:w="10191" w:type="dxa"/>
            <w:vAlign w:val="center"/>
          </w:tcPr>
          <w:p w14:paraId="4E82D0BF" w14:textId="4285E0B9" w:rsidR="00AD7244" w:rsidRPr="00DE4A50" w:rsidRDefault="003D0F9A" w:rsidP="00741F3E">
            <w:pPr>
              <w:spacing w:line="360" w:lineRule="auto"/>
              <w:jc w:val="both"/>
              <w:rPr>
                <w:rFonts w:ascii="Century Gothic" w:hAnsi="Century Gothic" w:cs="Arial"/>
                <w:sz w:val="22"/>
                <w:szCs w:val="22"/>
              </w:rPr>
            </w:pPr>
            <w:r w:rsidRPr="00DE4A50">
              <w:rPr>
                <w:rFonts w:ascii="Century Gothic" w:hAnsi="Century Gothic" w:cs="Arial"/>
                <w:sz w:val="22"/>
                <w:szCs w:val="22"/>
              </w:rPr>
              <w:t xml:space="preserve">Como liquidación objetivada de perjuicios materiales e inmateriales se estima la suma de </w:t>
            </w:r>
            <w:r w:rsidR="007A7979" w:rsidRPr="00DE4A50">
              <w:rPr>
                <w:rFonts w:ascii="Century Gothic" w:hAnsi="Century Gothic" w:cs="Arial"/>
                <w:b/>
                <w:bCs/>
                <w:sz w:val="22"/>
                <w:szCs w:val="22"/>
              </w:rPr>
              <w:t>$</w:t>
            </w:r>
            <w:r w:rsidR="00880E0B" w:rsidRPr="00DE4A50">
              <w:rPr>
                <w:rFonts w:ascii="Century Gothic" w:hAnsi="Century Gothic" w:cs="Arial"/>
                <w:b/>
                <w:bCs/>
                <w:sz w:val="22"/>
                <w:szCs w:val="22"/>
              </w:rPr>
              <w:t>200.000.000</w:t>
            </w:r>
            <w:r w:rsidR="007A7979" w:rsidRPr="00DE4A50">
              <w:rPr>
                <w:rFonts w:ascii="Century Gothic" w:hAnsi="Century Gothic" w:cs="Arial"/>
                <w:sz w:val="22"/>
                <w:szCs w:val="22"/>
              </w:rPr>
              <w:t xml:space="preserve"> </w:t>
            </w:r>
            <w:r w:rsidR="005724F0" w:rsidRPr="00DE4A50">
              <w:rPr>
                <w:rFonts w:ascii="Century Gothic" w:hAnsi="Century Gothic" w:cs="Arial"/>
                <w:sz w:val="22"/>
                <w:szCs w:val="22"/>
              </w:rPr>
              <w:t>a este valor se llegó de la siguiente manera:</w:t>
            </w:r>
          </w:p>
          <w:p w14:paraId="3F8C009F" w14:textId="77777777" w:rsidR="005724F0" w:rsidRPr="00DE4A50" w:rsidRDefault="005724F0" w:rsidP="00741F3E">
            <w:pPr>
              <w:spacing w:line="360" w:lineRule="auto"/>
              <w:jc w:val="both"/>
              <w:rPr>
                <w:rFonts w:ascii="Century Gothic" w:hAnsi="Century Gothic" w:cs="Arial"/>
                <w:b/>
                <w:bCs/>
                <w:sz w:val="22"/>
                <w:szCs w:val="22"/>
              </w:rPr>
            </w:pPr>
          </w:p>
          <w:p w14:paraId="0B8F15F8" w14:textId="139F284D" w:rsidR="00AD7244" w:rsidRPr="00DE4A50" w:rsidRDefault="00AD7244" w:rsidP="00741F3E">
            <w:pPr>
              <w:pStyle w:val="Prrafodelista"/>
              <w:numPr>
                <w:ilvl w:val="0"/>
                <w:numId w:val="3"/>
              </w:numPr>
              <w:spacing w:after="160" w:line="360" w:lineRule="auto"/>
              <w:jc w:val="both"/>
              <w:rPr>
                <w:rFonts w:ascii="Century Gothic" w:hAnsi="Century Gothic" w:cs="Arial"/>
                <w:sz w:val="22"/>
                <w:szCs w:val="22"/>
              </w:rPr>
            </w:pPr>
            <w:r w:rsidRPr="00DE4A50">
              <w:rPr>
                <w:rFonts w:ascii="Century Gothic" w:hAnsi="Century Gothic" w:cs="Arial"/>
                <w:b/>
                <w:bCs/>
                <w:sz w:val="22"/>
                <w:szCs w:val="22"/>
              </w:rPr>
              <w:t>Lucro cesante consolidado con suma periódica.</w:t>
            </w:r>
            <w:r w:rsidRPr="00DE4A50">
              <w:rPr>
                <w:rFonts w:ascii="Century Gothic" w:hAnsi="Century Gothic" w:cs="Arial"/>
                <w:sz w:val="22"/>
                <w:szCs w:val="22"/>
              </w:rPr>
              <w:t xml:space="preserve"> Se estima en la suma total de </w:t>
            </w:r>
            <w:r w:rsidR="001E6F12" w:rsidRPr="00DE4A50">
              <w:rPr>
                <w:rFonts w:ascii="Century Gothic" w:hAnsi="Century Gothic" w:cs="Arial"/>
                <w:sz w:val="22"/>
                <w:szCs w:val="22"/>
              </w:rPr>
              <w:t>$49.688</w:t>
            </w:r>
            <w:r w:rsidR="006841B9" w:rsidRPr="00DE4A50">
              <w:rPr>
                <w:rFonts w:ascii="Century Gothic" w:hAnsi="Century Gothic" w:cs="Arial"/>
                <w:sz w:val="22"/>
                <w:szCs w:val="22"/>
              </w:rPr>
              <w:t>.</w:t>
            </w:r>
            <w:r w:rsidR="001E6F12" w:rsidRPr="00DE4A50">
              <w:rPr>
                <w:rFonts w:ascii="Century Gothic" w:hAnsi="Century Gothic" w:cs="Arial"/>
                <w:sz w:val="22"/>
                <w:szCs w:val="22"/>
              </w:rPr>
              <w:t>926</w:t>
            </w:r>
            <w:r w:rsidR="006841B9" w:rsidRPr="00DE4A50">
              <w:rPr>
                <w:rFonts w:ascii="Century Gothic" w:hAnsi="Century Gothic" w:cs="Arial"/>
                <w:sz w:val="22"/>
                <w:szCs w:val="22"/>
              </w:rPr>
              <w:t xml:space="preserve"> </w:t>
            </w:r>
            <w:r w:rsidRPr="00DE4A50">
              <w:rPr>
                <w:rFonts w:ascii="Century Gothic" w:hAnsi="Century Gothic" w:cs="Arial"/>
                <w:sz w:val="22"/>
                <w:szCs w:val="22"/>
              </w:rPr>
              <w:t>correspondiente al perjuicio reclamado por l</w:t>
            </w:r>
            <w:r w:rsidR="001E6F12" w:rsidRPr="00DE4A50">
              <w:rPr>
                <w:rFonts w:ascii="Century Gothic" w:hAnsi="Century Gothic" w:cs="Arial"/>
                <w:sz w:val="22"/>
                <w:szCs w:val="22"/>
              </w:rPr>
              <w:t>os dos</w:t>
            </w:r>
            <w:r w:rsidRPr="00DE4A50">
              <w:rPr>
                <w:rFonts w:ascii="Century Gothic" w:hAnsi="Century Gothic" w:cs="Arial"/>
                <w:sz w:val="22"/>
                <w:szCs w:val="22"/>
              </w:rPr>
              <w:t xml:space="preserve"> hij</w:t>
            </w:r>
            <w:r w:rsidR="001E6F12" w:rsidRPr="00DE4A50">
              <w:rPr>
                <w:rFonts w:ascii="Century Gothic" w:hAnsi="Century Gothic" w:cs="Arial"/>
                <w:sz w:val="22"/>
                <w:szCs w:val="22"/>
              </w:rPr>
              <w:t>os</w:t>
            </w:r>
            <w:r w:rsidRPr="00DE4A50">
              <w:rPr>
                <w:rFonts w:ascii="Century Gothic" w:hAnsi="Century Gothic" w:cs="Arial"/>
                <w:sz w:val="22"/>
                <w:szCs w:val="22"/>
              </w:rPr>
              <w:t xml:space="preserve"> </w:t>
            </w:r>
            <w:r w:rsidR="001E6F12" w:rsidRPr="00DE4A50">
              <w:rPr>
                <w:rFonts w:ascii="Century Gothic" w:hAnsi="Century Gothic" w:cs="Arial"/>
                <w:sz w:val="22"/>
                <w:szCs w:val="22"/>
              </w:rPr>
              <w:t xml:space="preserve">del señor </w:t>
            </w:r>
            <w:proofErr w:type="spellStart"/>
            <w:r w:rsidR="001E6F12" w:rsidRPr="00DE4A50">
              <w:rPr>
                <w:rFonts w:ascii="Century Gothic" w:hAnsi="Century Gothic" w:cs="Arial"/>
                <w:sz w:val="22"/>
                <w:szCs w:val="22"/>
              </w:rPr>
              <w:t>Jainer</w:t>
            </w:r>
            <w:proofErr w:type="spellEnd"/>
            <w:r w:rsidR="001E6F12" w:rsidRPr="00DE4A50">
              <w:rPr>
                <w:rFonts w:ascii="Century Gothic" w:hAnsi="Century Gothic" w:cs="Arial"/>
                <w:sz w:val="22"/>
                <w:szCs w:val="22"/>
              </w:rPr>
              <w:t xml:space="preserve"> Gustavo Cervantes Pérez (Q.E.P.D</w:t>
            </w:r>
            <w:r w:rsidRPr="00DE4A50">
              <w:rPr>
                <w:rFonts w:ascii="Century Gothic" w:hAnsi="Century Gothic" w:cs="Arial"/>
                <w:sz w:val="22"/>
                <w:szCs w:val="22"/>
              </w:rPr>
              <w:t>, cada un</w:t>
            </w:r>
            <w:r w:rsidR="001E6F12" w:rsidRPr="00DE4A50">
              <w:rPr>
                <w:rFonts w:ascii="Century Gothic" w:hAnsi="Century Gothic" w:cs="Arial"/>
                <w:sz w:val="22"/>
                <w:szCs w:val="22"/>
              </w:rPr>
              <w:t>o</w:t>
            </w:r>
            <w:r w:rsidRPr="00DE4A50">
              <w:rPr>
                <w:rFonts w:ascii="Century Gothic" w:hAnsi="Century Gothic" w:cs="Arial"/>
                <w:sz w:val="22"/>
                <w:szCs w:val="22"/>
              </w:rPr>
              <w:t xml:space="preserve"> con un valor individual de $</w:t>
            </w:r>
            <w:r w:rsidR="001E6F12" w:rsidRPr="00DE4A50">
              <w:rPr>
                <w:rFonts w:ascii="Century Gothic" w:hAnsi="Century Gothic" w:cs="Arial"/>
                <w:sz w:val="22"/>
                <w:szCs w:val="22"/>
              </w:rPr>
              <w:t>24</w:t>
            </w:r>
            <w:r w:rsidRPr="00DE4A50">
              <w:rPr>
                <w:rFonts w:ascii="Century Gothic" w:hAnsi="Century Gothic" w:cs="Arial"/>
                <w:sz w:val="22"/>
                <w:szCs w:val="22"/>
              </w:rPr>
              <w:t>.8</w:t>
            </w:r>
            <w:r w:rsidR="001E6F12" w:rsidRPr="00DE4A50">
              <w:rPr>
                <w:rFonts w:ascii="Century Gothic" w:hAnsi="Century Gothic" w:cs="Arial"/>
                <w:sz w:val="22"/>
                <w:szCs w:val="22"/>
              </w:rPr>
              <w:t>44</w:t>
            </w:r>
            <w:r w:rsidRPr="00DE4A50">
              <w:rPr>
                <w:rFonts w:ascii="Century Gothic" w:hAnsi="Century Gothic" w:cs="Arial"/>
                <w:sz w:val="22"/>
                <w:szCs w:val="22"/>
              </w:rPr>
              <w:t>.</w:t>
            </w:r>
            <w:r w:rsidR="001E6F12" w:rsidRPr="00DE4A50">
              <w:rPr>
                <w:rFonts w:ascii="Century Gothic" w:hAnsi="Century Gothic" w:cs="Arial"/>
                <w:sz w:val="22"/>
                <w:szCs w:val="22"/>
              </w:rPr>
              <w:t>463</w:t>
            </w:r>
            <w:r w:rsidRPr="00DE4A50">
              <w:rPr>
                <w:rFonts w:ascii="Century Gothic" w:hAnsi="Century Gothic" w:cs="Arial"/>
                <w:sz w:val="22"/>
                <w:szCs w:val="22"/>
              </w:rPr>
              <w:t xml:space="preserve"> a este resultado se llegó de la siguiente manera:</w:t>
            </w:r>
          </w:p>
          <w:p w14:paraId="0B4A71C3" w14:textId="77777777" w:rsidR="00AD7244" w:rsidRPr="00DE4A50" w:rsidRDefault="00AD7244" w:rsidP="00741F3E">
            <w:pPr>
              <w:pStyle w:val="Prrafodelista"/>
              <w:spacing w:line="360" w:lineRule="auto"/>
              <w:jc w:val="both"/>
              <w:rPr>
                <w:rFonts w:ascii="Century Gothic" w:hAnsi="Century Gothic" w:cs="Arial"/>
                <w:b/>
                <w:bCs/>
                <w:sz w:val="22"/>
                <w:szCs w:val="22"/>
              </w:rPr>
            </w:pPr>
          </w:p>
          <w:p w14:paraId="41FAEED3" w14:textId="05A03BD8" w:rsidR="00AD7244" w:rsidRPr="00DE4A50" w:rsidRDefault="00AD7244" w:rsidP="00741F3E">
            <w:pPr>
              <w:pStyle w:val="Prrafodelista"/>
              <w:spacing w:line="360" w:lineRule="auto"/>
              <w:jc w:val="both"/>
              <w:rPr>
                <w:rFonts w:ascii="Century Gothic" w:hAnsi="Century Gothic" w:cs="Arial"/>
                <w:sz w:val="22"/>
                <w:szCs w:val="22"/>
              </w:rPr>
            </w:pPr>
            <w:r w:rsidRPr="00DE4A50">
              <w:rPr>
                <w:rFonts w:ascii="Century Gothic" w:hAnsi="Century Gothic" w:cs="Arial"/>
                <w:sz w:val="22"/>
                <w:szCs w:val="22"/>
              </w:rPr>
              <w:t>Ante la ausencia de prueba directa sobre la actividad económica o ingresos reales del causante, se acudió al criterio jurisprudencial que permite presumir un ingreso base equivalente a 1 SMMLV al momento del fallecimiento, esto es, $1.000.000 para el año 202</w:t>
            </w:r>
            <w:r w:rsidR="006841B9" w:rsidRPr="00DE4A50">
              <w:rPr>
                <w:rFonts w:ascii="Century Gothic" w:hAnsi="Century Gothic" w:cs="Arial"/>
                <w:sz w:val="22"/>
                <w:szCs w:val="22"/>
              </w:rPr>
              <w:t>2</w:t>
            </w:r>
            <w:r w:rsidRPr="00DE4A50">
              <w:rPr>
                <w:rFonts w:ascii="Century Gothic" w:hAnsi="Century Gothic" w:cs="Arial"/>
                <w:sz w:val="22"/>
                <w:szCs w:val="22"/>
              </w:rPr>
              <w:t xml:space="preserve">. De dicho ingreso, y conforme al mismo criterio, se descontó un 25% por concepto de gastos personales, lo que arrojó una base líquida del 75%, equivalente a $750.000 mensuales. Al tratarse de </w:t>
            </w:r>
            <w:r w:rsidR="006841B9" w:rsidRPr="00DE4A50">
              <w:rPr>
                <w:rFonts w:ascii="Century Gothic" w:hAnsi="Century Gothic" w:cs="Arial"/>
                <w:sz w:val="22"/>
                <w:szCs w:val="22"/>
              </w:rPr>
              <w:t>dos</w:t>
            </w:r>
            <w:r w:rsidRPr="00DE4A50">
              <w:rPr>
                <w:rFonts w:ascii="Century Gothic" w:hAnsi="Century Gothic" w:cs="Arial"/>
                <w:sz w:val="22"/>
                <w:szCs w:val="22"/>
              </w:rPr>
              <w:t xml:space="preserve"> hij</w:t>
            </w:r>
            <w:r w:rsidR="006841B9" w:rsidRPr="00DE4A50">
              <w:rPr>
                <w:rFonts w:ascii="Century Gothic" w:hAnsi="Century Gothic" w:cs="Arial"/>
                <w:sz w:val="22"/>
                <w:szCs w:val="22"/>
              </w:rPr>
              <w:t>os</w:t>
            </w:r>
            <w:r w:rsidRPr="00DE4A50">
              <w:rPr>
                <w:rFonts w:ascii="Century Gothic" w:hAnsi="Century Gothic" w:cs="Arial"/>
                <w:sz w:val="22"/>
                <w:szCs w:val="22"/>
              </w:rPr>
              <w:t>, se presume una distribución equitativa del valor total, lo que permite establecer una cuota alimentaria individual estimada en $</w:t>
            </w:r>
            <w:r w:rsidR="006841B9" w:rsidRPr="00DE4A50">
              <w:rPr>
                <w:rFonts w:ascii="Century Gothic" w:hAnsi="Century Gothic" w:cs="Arial"/>
                <w:sz w:val="22"/>
                <w:szCs w:val="22"/>
              </w:rPr>
              <w:t>375.000</w:t>
            </w:r>
            <w:r w:rsidRPr="00DE4A50">
              <w:rPr>
                <w:rFonts w:ascii="Century Gothic" w:hAnsi="Century Gothic" w:cs="Arial"/>
                <w:sz w:val="22"/>
                <w:szCs w:val="22"/>
              </w:rPr>
              <w:t xml:space="preserve"> mensuales para cada hij</w:t>
            </w:r>
            <w:r w:rsidR="006841B9" w:rsidRPr="00DE4A50">
              <w:rPr>
                <w:rFonts w:ascii="Century Gothic" w:hAnsi="Century Gothic" w:cs="Arial"/>
                <w:sz w:val="22"/>
                <w:szCs w:val="22"/>
              </w:rPr>
              <w:t>o</w:t>
            </w:r>
            <w:r w:rsidRPr="00DE4A50">
              <w:rPr>
                <w:rFonts w:ascii="Century Gothic" w:hAnsi="Century Gothic" w:cs="Arial"/>
                <w:sz w:val="22"/>
                <w:szCs w:val="22"/>
              </w:rPr>
              <w:t xml:space="preserve">. Ese valor, correspondiente al mes de </w:t>
            </w:r>
            <w:r w:rsidR="006841B9" w:rsidRPr="00DE4A50">
              <w:rPr>
                <w:rFonts w:ascii="Century Gothic" w:hAnsi="Century Gothic" w:cs="Arial"/>
                <w:sz w:val="22"/>
                <w:szCs w:val="22"/>
              </w:rPr>
              <w:t>abril</w:t>
            </w:r>
            <w:r w:rsidRPr="00DE4A50">
              <w:rPr>
                <w:rFonts w:ascii="Century Gothic" w:hAnsi="Century Gothic" w:cs="Arial"/>
                <w:sz w:val="22"/>
                <w:szCs w:val="22"/>
              </w:rPr>
              <w:t xml:space="preserve"> de 202</w:t>
            </w:r>
            <w:r w:rsidR="006841B9" w:rsidRPr="00DE4A50">
              <w:rPr>
                <w:rFonts w:ascii="Century Gothic" w:hAnsi="Century Gothic" w:cs="Arial"/>
                <w:sz w:val="22"/>
                <w:szCs w:val="22"/>
              </w:rPr>
              <w:t>2</w:t>
            </w:r>
            <w:r w:rsidRPr="00DE4A50">
              <w:rPr>
                <w:rFonts w:ascii="Century Gothic" w:hAnsi="Century Gothic" w:cs="Arial"/>
                <w:sz w:val="22"/>
                <w:szCs w:val="22"/>
              </w:rPr>
              <w:t xml:space="preserve">, fue actualizado por IPC al mes de </w:t>
            </w:r>
            <w:r w:rsidR="006841B9" w:rsidRPr="00DE4A50">
              <w:rPr>
                <w:rFonts w:ascii="Century Gothic" w:hAnsi="Century Gothic" w:cs="Arial"/>
                <w:sz w:val="22"/>
                <w:szCs w:val="22"/>
              </w:rPr>
              <w:t>mayo</w:t>
            </w:r>
            <w:r w:rsidRPr="00DE4A50">
              <w:rPr>
                <w:rFonts w:ascii="Century Gothic" w:hAnsi="Century Gothic" w:cs="Arial"/>
                <w:sz w:val="22"/>
                <w:szCs w:val="22"/>
              </w:rPr>
              <w:t xml:space="preserve"> de 202</w:t>
            </w:r>
            <w:r w:rsidR="006841B9" w:rsidRPr="00DE4A50">
              <w:rPr>
                <w:rFonts w:ascii="Century Gothic" w:hAnsi="Century Gothic" w:cs="Arial"/>
                <w:sz w:val="22"/>
                <w:szCs w:val="22"/>
              </w:rPr>
              <w:t>5</w:t>
            </w:r>
            <w:r w:rsidRPr="00DE4A50">
              <w:rPr>
                <w:rFonts w:ascii="Century Gothic" w:hAnsi="Century Gothic" w:cs="Arial"/>
                <w:sz w:val="22"/>
                <w:szCs w:val="22"/>
              </w:rPr>
              <w:t>, obteniendo una renta mensual ajustada de $</w:t>
            </w:r>
            <w:r w:rsidR="00CB6857" w:rsidRPr="00DE4A50">
              <w:rPr>
                <w:rFonts w:ascii="Century Gothic" w:hAnsi="Century Gothic" w:cs="Arial"/>
                <w:sz w:val="22"/>
                <w:szCs w:val="22"/>
              </w:rPr>
              <w:t>478.315.</w:t>
            </w:r>
            <w:r w:rsidRPr="00DE4A50">
              <w:rPr>
                <w:rFonts w:ascii="Century Gothic" w:hAnsi="Century Gothic" w:cs="Arial"/>
                <w:sz w:val="22"/>
                <w:szCs w:val="22"/>
              </w:rPr>
              <w:t xml:space="preserve"> Sobre dicha base se aplicó la fórmula del lucro cesante consolidado con suma periódica, liquidando el período comprendido entre </w:t>
            </w:r>
            <w:r w:rsidR="006841B9" w:rsidRPr="00DE4A50">
              <w:rPr>
                <w:rFonts w:ascii="Century Gothic" w:hAnsi="Century Gothic" w:cs="Arial"/>
                <w:sz w:val="22"/>
                <w:szCs w:val="22"/>
              </w:rPr>
              <w:t>abril de 2022 y mayo de 2025</w:t>
            </w:r>
            <w:r w:rsidRPr="00DE4A50">
              <w:rPr>
                <w:rFonts w:ascii="Century Gothic" w:hAnsi="Century Gothic" w:cs="Arial"/>
                <w:sz w:val="22"/>
                <w:szCs w:val="22"/>
              </w:rPr>
              <w:t xml:space="preserve"> (</w:t>
            </w:r>
            <w:r w:rsidR="006841B9" w:rsidRPr="00DE4A50">
              <w:rPr>
                <w:rFonts w:ascii="Century Gothic" w:hAnsi="Century Gothic" w:cs="Arial"/>
                <w:sz w:val="22"/>
                <w:szCs w:val="22"/>
              </w:rPr>
              <w:t>3</w:t>
            </w:r>
            <w:r w:rsidRPr="00DE4A50">
              <w:rPr>
                <w:rFonts w:ascii="Century Gothic" w:hAnsi="Century Gothic" w:cs="Arial"/>
                <w:sz w:val="22"/>
                <w:szCs w:val="22"/>
              </w:rPr>
              <w:t>7 meses). El resultado individual para cada hij</w:t>
            </w:r>
            <w:r w:rsidR="006841B9" w:rsidRPr="00DE4A50">
              <w:rPr>
                <w:rFonts w:ascii="Century Gothic" w:hAnsi="Century Gothic" w:cs="Arial"/>
                <w:sz w:val="22"/>
                <w:szCs w:val="22"/>
              </w:rPr>
              <w:t>o</w:t>
            </w:r>
            <w:r w:rsidRPr="00DE4A50">
              <w:rPr>
                <w:rFonts w:ascii="Century Gothic" w:hAnsi="Century Gothic" w:cs="Arial"/>
                <w:sz w:val="22"/>
                <w:szCs w:val="22"/>
              </w:rPr>
              <w:t xml:space="preserve"> fue de $</w:t>
            </w:r>
            <w:r w:rsidR="006841B9" w:rsidRPr="00DE4A50">
              <w:rPr>
                <w:rFonts w:ascii="Century Gothic" w:hAnsi="Century Gothic" w:cs="Arial"/>
                <w:sz w:val="22"/>
                <w:szCs w:val="22"/>
              </w:rPr>
              <w:t>$24.844.463</w:t>
            </w:r>
            <w:r w:rsidRPr="00DE4A50">
              <w:rPr>
                <w:rFonts w:ascii="Century Gothic" w:hAnsi="Century Gothic" w:cs="Arial"/>
                <w:sz w:val="22"/>
                <w:szCs w:val="22"/>
              </w:rPr>
              <w:t xml:space="preserve">, sumando un total estimado de </w:t>
            </w:r>
            <w:r w:rsidR="006841B9" w:rsidRPr="00DE4A50">
              <w:rPr>
                <w:rFonts w:ascii="Century Gothic" w:hAnsi="Century Gothic" w:cs="Arial"/>
                <w:sz w:val="22"/>
                <w:szCs w:val="22"/>
              </w:rPr>
              <w:t>$49.688.926</w:t>
            </w:r>
          </w:p>
          <w:p w14:paraId="52A8FC34" w14:textId="77777777" w:rsidR="00AD7244" w:rsidRPr="00DE4A50" w:rsidRDefault="00AD7244" w:rsidP="00741F3E">
            <w:pPr>
              <w:pStyle w:val="Prrafodelista"/>
              <w:spacing w:line="360" w:lineRule="auto"/>
              <w:jc w:val="both"/>
              <w:rPr>
                <w:rFonts w:ascii="Century Gothic" w:hAnsi="Century Gothic" w:cs="Arial"/>
                <w:sz w:val="22"/>
                <w:szCs w:val="22"/>
              </w:rPr>
            </w:pPr>
          </w:p>
          <w:p w14:paraId="37E031C8" w14:textId="10F77CA1" w:rsidR="00AD7244" w:rsidRPr="00DE4A50" w:rsidRDefault="00AD7244" w:rsidP="00741F3E">
            <w:pPr>
              <w:pStyle w:val="Prrafodelista"/>
              <w:numPr>
                <w:ilvl w:val="0"/>
                <w:numId w:val="3"/>
              </w:numPr>
              <w:spacing w:after="160" w:line="360" w:lineRule="auto"/>
              <w:jc w:val="both"/>
              <w:rPr>
                <w:rFonts w:ascii="Century Gothic" w:hAnsi="Century Gothic" w:cs="Arial"/>
                <w:sz w:val="22"/>
                <w:szCs w:val="22"/>
              </w:rPr>
            </w:pPr>
            <w:r w:rsidRPr="00DE4A50">
              <w:rPr>
                <w:rFonts w:ascii="Century Gothic" w:hAnsi="Century Gothic" w:cs="Arial"/>
                <w:b/>
                <w:bCs/>
                <w:sz w:val="22"/>
                <w:szCs w:val="22"/>
              </w:rPr>
              <w:t xml:space="preserve">Lucro cesante futuro con suma periódica: </w:t>
            </w:r>
            <w:r w:rsidRPr="00DE4A50">
              <w:rPr>
                <w:rFonts w:ascii="Century Gothic" w:hAnsi="Century Gothic" w:cs="Arial"/>
                <w:sz w:val="22"/>
                <w:szCs w:val="22"/>
              </w:rPr>
              <w:t xml:space="preserve">Se estima en la suma total de </w:t>
            </w:r>
            <w:r w:rsidRPr="00DE4A50">
              <w:rPr>
                <w:rFonts w:ascii="Century Gothic" w:hAnsi="Century Gothic" w:cs="Arial"/>
                <w:b/>
                <w:bCs/>
                <w:sz w:val="22"/>
                <w:szCs w:val="22"/>
              </w:rPr>
              <w:t>$</w:t>
            </w:r>
            <w:r w:rsidR="00B9132B" w:rsidRPr="00DE4A50">
              <w:rPr>
                <w:rFonts w:ascii="Century Gothic" w:hAnsi="Century Gothic" w:cs="Arial"/>
                <w:b/>
                <w:bCs/>
                <w:sz w:val="22"/>
                <w:szCs w:val="22"/>
              </w:rPr>
              <w:t>41.746.289</w:t>
            </w:r>
            <w:r w:rsidRPr="00DE4A50">
              <w:rPr>
                <w:rFonts w:ascii="Century Gothic" w:hAnsi="Century Gothic" w:cs="Arial"/>
                <w:b/>
                <w:bCs/>
                <w:sz w:val="22"/>
                <w:szCs w:val="22"/>
              </w:rPr>
              <w:t xml:space="preserve">, </w:t>
            </w:r>
            <w:r w:rsidRPr="00DE4A50">
              <w:rPr>
                <w:rFonts w:ascii="Century Gothic" w:hAnsi="Century Gothic" w:cs="Arial"/>
                <w:sz w:val="22"/>
                <w:szCs w:val="22"/>
              </w:rPr>
              <w:t>correspondiente al perjuicio reclamado por concepto de lucro cesante futuro a favor de l</w:t>
            </w:r>
            <w:r w:rsidR="00573F06" w:rsidRPr="00DE4A50">
              <w:rPr>
                <w:rFonts w:ascii="Century Gothic" w:hAnsi="Century Gothic" w:cs="Arial"/>
                <w:sz w:val="22"/>
                <w:szCs w:val="22"/>
              </w:rPr>
              <w:t>os dos</w:t>
            </w:r>
            <w:r w:rsidRPr="00DE4A50">
              <w:rPr>
                <w:rFonts w:ascii="Century Gothic" w:hAnsi="Century Gothic" w:cs="Arial"/>
                <w:sz w:val="22"/>
                <w:szCs w:val="22"/>
              </w:rPr>
              <w:t xml:space="preserve"> hij</w:t>
            </w:r>
            <w:r w:rsidR="00573F06" w:rsidRPr="00DE4A50">
              <w:rPr>
                <w:rFonts w:ascii="Century Gothic" w:hAnsi="Century Gothic" w:cs="Arial"/>
                <w:sz w:val="22"/>
                <w:szCs w:val="22"/>
              </w:rPr>
              <w:t>os</w:t>
            </w:r>
            <w:r w:rsidRPr="00DE4A50">
              <w:rPr>
                <w:rFonts w:ascii="Century Gothic" w:hAnsi="Century Gothic" w:cs="Arial"/>
                <w:sz w:val="22"/>
                <w:szCs w:val="22"/>
              </w:rPr>
              <w:t xml:space="preserve"> del señor </w:t>
            </w:r>
            <w:proofErr w:type="spellStart"/>
            <w:r w:rsidR="00573F06" w:rsidRPr="00DE4A50">
              <w:rPr>
                <w:rStyle w:val="Textoennegrita"/>
                <w:rFonts w:ascii="Century Gothic" w:hAnsi="Century Gothic" w:cs="Arial"/>
                <w:b w:val="0"/>
                <w:bCs w:val="0"/>
                <w:sz w:val="22"/>
                <w:szCs w:val="22"/>
              </w:rPr>
              <w:t>Jainer</w:t>
            </w:r>
            <w:proofErr w:type="spellEnd"/>
            <w:r w:rsidR="00573F06" w:rsidRPr="00DE4A50">
              <w:rPr>
                <w:rStyle w:val="Textoennegrita"/>
                <w:rFonts w:ascii="Century Gothic" w:hAnsi="Century Gothic" w:cs="Arial"/>
                <w:b w:val="0"/>
                <w:bCs w:val="0"/>
                <w:sz w:val="22"/>
                <w:szCs w:val="22"/>
              </w:rPr>
              <w:t xml:space="preserve"> Gustavo Cervantes Pérez (Q.E.P.D.).</w:t>
            </w:r>
            <w:r w:rsidR="00573F06" w:rsidRPr="00DE4A50">
              <w:rPr>
                <w:rStyle w:val="Textoennegrita"/>
                <w:rFonts w:ascii="Century Gothic" w:hAnsi="Century Gothic" w:cs="Arial"/>
                <w:sz w:val="22"/>
                <w:szCs w:val="22"/>
              </w:rPr>
              <w:t xml:space="preserve"> </w:t>
            </w:r>
            <w:r w:rsidRPr="00DE4A50">
              <w:rPr>
                <w:rFonts w:ascii="Century Gothic" w:hAnsi="Century Gothic" w:cs="Arial"/>
                <w:sz w:val="22"/>
                <w:szCs w:val="22"/>
              </w:rPr>
              <w:t xml:space="preserve">A este valor se llegó proyectando la pérdida de ingresos desde el mes de </w:t>
            </w:r>
            <w:r w:rsidR="00573F06" w:rsidRPr="00DE4A50">
              <w:rPr>
                <w:rFonts w:ascii="Century Gothic" w:hAnsi="Century Gothic" w:cs="Arial"/>
                <w:sz w:val="22"/>
                <w:szCs w:val="22"/>
              </w:rPr>
              <w:t>mayo</w:t>
            </w:r>
            <w:r w:rsidRPr="00DE4A50">
              <w:rPr>
                <w:rFonts w:ascii="Century Gothic" w:hAnsi="Century Gothic" w:cs="Arial"/>
                <w:sz w:val="22"/>
                <w:szCs w:val="22"/>
              </w:rPr>
              <w:t xml:space="preserve"> de 202</w:t>
            </w:r>
            <w:r w:rsidR="00573F06" w:rsidRPr="00DE4A50">
              <w:rPr>
                <w:rFonts w:ascii="Century Gothic" w:hAnsi="Century Gothic" w:cs="Arial"/>
                <w:sz w:val="22"/>
                <w:szCs w:val="22"/>
              </w:rPr>
              <w:t>5</w:t>
            </w:r>
            <w:r w:rsidRPr="00DE4A50">
              <w:rPr>
                <w:rFonts w:ascii="Century Gothic" w:hAnsi="Century Gothic" w:cs="Arial"/>
                <w:sz w:val="22"/>
                <w:szCs w:val="22"/>
              </w:rPr>
              <w:t xml:space="preserve"> (posterior al corte del período consolidado) hasta el mes en que cada un</w:t>
            </w:r>
            <w:r w:rsidR="00573F06" w:rsidRPr="00DE4A50">
              <w:rPr>
                <w:rFonts w:ascii="Century Gothic" w:hAnsi="Century Gothic" w:cs="Arial"/>
                <w:sz w:val="22"/>
                <w:szCs w:val="22"/>
              </w:rPr>
              <w:t>o</w:t>
            </w:r>
            <w:r w:rsidRPr="00DE4A50">
              <w:rPr>
                <w:rFonts w:ascii="Century Gothic" w:hAnsi="Century Gothic" w:cs="Arial"/>
                <w:sz w:val="22"/>
                <w:szCs w:val="22"/>
              </w:rPr>
              <w:t xml:space="preserve"> de </w:t>
            </w:r>
            <w:r w:rsidR="00E51AF6" w:rsidRPr="00DE4A50">
              <w:rPr>
                <w:rFonts w:ascii="Century Gothic" w:hAnsi="Century Gothic" w:cs="Arial"/>
                <w:sz w:val="22"/>
                <w:szCs w:val="22"/>
              </w:rPr>
              <w:t>los beneficiarios</w:t>
            </w:r>
            <w:r w:rsidRPr="00DE4A50">
              <w:rPr>
                <w:rFonts w:ascii="Century Gothic" w:hAnsi="Century Gothic" w:cs="Arial"/>
                <w:sz w:val="22"/>
                <w:szCs w:val="22"/>
              </w:rPr>
              <w:t xml:space="preserve"> cumple 25 </w:t>
            </w:r>
            <w:proofErr w:type="gramStart"/>
            <w:r w:rsidRPr="00DE4A50">
              <w:rPr>
                <w:rFonts w:ascii="Century Gothic" w:hAnsi="Century Gothic" w:cs="Arial"/>
                <w:sz w:val="22"/>
                <w:szCs w:val="22"/>
              </w:rPr>
              <w:t>años de edad</w:t>
            </w:r>
            <w:proofErr w:type="gramEnd"/>
            <w:r w:rsidRPr="00DE4A50">
              <w:rPr>
                <w:rFonts w:ascii="Century Gothic" w:hAnsi="Century Gothic" w:cs="Arial"/>
                <w:sz w:val="22"/>
                <w:szCs w:val="22"/>
              </w:rPr>
              <w:t xml:space="preserve">, límite adoptado por la jurisprudencia para efectos de la obligación alimentaria paterna, salvo prueba de dependencia prolongada. La base de liquidación fue un ingreso mensual presumido de $1.000.000, al que se le descontó un 25% por gastos personales, resultando una base líquida de $750.000 mensuales </w:t>
            </w:r>
            <w:r w:rsidRPr="00DE4A50">
              <w:rPr>
                <w:rFonts w:ascii="Century Gothic" w:hAnsi="Century Gothic" w:cs="Arial"/>
                <w:sz w:val="22"/>
                <w:szCs w:val="22"/>
              </w:rPr>
              <w:lastRenderedPageBreak/>
              <w:t>destinada al sostenimiento de l</w:t>
            </w:r>
            <w:r w:rsidR="00573F06" w:rsidRPr="00DE4A50">
              <w:rPr>
                <w:rFonts w:ascii="Century Gothic" w:hAnsi="Century Gothic" w:cs="Arial"/>
                <w:sz w:val="22"/>
                <w:szCs w:val="22"/>
              </w:rPr>
              <w:t>os dos</w:t>
            </w:r>
            <w:r w:rsidRPr="00DE4A50">
              <w:rPr>
                <w:rFonts w:ascii="Century Gothic" w:hAnsi="Century Gothic" w:cs="Arial"/>
                <w:sz w:val="22"/>
                <w:szCs w:val="22"/>
              </w:rPr>
              <w:t xml:space="preserve"> hij</w:t>
            </w:r>
            <w:r w:rsidR="00573F06" w:rsidRPr="00DE4A50">
              <w:rPr>
                <w:rFonts w:ascii="Century Gothic" w:hAnsi="Century Gothic" w:cs="Arial"/>
                <w:sz w:val="22"/>
                <w:szCs w:val="22"/>
              </w:rPr>
              <w:t>os</w:t>
            </w:r>
            <w:r w:rsidRPr="00DE4A50">
              <w:rPr>
                <w:rFonts w:ascii="Century Gothic" w:hAnsi="Century Gothic" w:cs="Arial"/>
                <w:sz w:val="22"/>
                <w:szCs w:val="22"/>
              </w:rPr>
              <w:t>. Dicha suma se distribuyó equitativamente mientras l</w:t>
            </w:r>
            <w:r w:rsidR="00573F06" w:rsidRPr="00DE4A50">
              <w:rPr>
                <w:rFonts w:ascii="Century Gothic" w:hAnsi="Century Gothic" w:cs="Arial"/>
                <w:sz w:val="22"/>
                <w:szCs w:val="22"/>
              </w:rPr>
              <w:t>os dos fueron</w:t>
            </w:r>
            <w:r w:rsidRPr="00DE4A50">
              <w:rPr>
                <w:rFonts w:ascii="Century Gothic" w:hAnsi="Century Gothic" w:cs="Arial"/>
                <w:sz w:val="22"/>
                <w:szCs w:val="22"/>
              </w:rPr>
              <w:t xml:space="preserve"> concurrentes, y luego fue redistribuida progresivamente </w:t>
            </w:r>
            <w:r w:rsidR="00573F06" w:rsidRPr="00DE4A50">
              <w:rPr>
                <w:rFonts w:ascii="Century Gothic" w:hAnsi="Century Gothic" w:cs="Arial"/>
                <w:sz w:val="22"/>
                <w:szCs w:val="22"/>
              </w:rPr>
              <w:t xml:space="preserve">a favor del </w:t>
            </w:r>
            <w:r w:rsidRPr="00DE4A50">
              <w:rPr>
                <w:rFonts w:ascii="Century Gothic" w:hAnsi="Century Gothic" w:cs="Arial"/>
                <w:sz w:val="22"/>
                <w:szCs w:val="22"/>
              </w:rPr>
              <w:t>hij</w:t>
            </w:r>
            <w:r w:rsidR="00573F06" w:rsidRPr="00DE4A50">
              <w:rPr>
                <w:rFonts w:ascii="Century Gothic" w:hAnsi="Century Gothic" w:cs="Arial"/>
                <w:sz w:val="22"/>
                <w:szCs w:val="22"/>
              </w:rPr>
              <w:t>o</w:t>
            </w:r>
            <w:r w:rsidRPr="00DE4A50">
              <w:rPr>
                <w:rFonts w:ascii="Century Gothic" w:hAnsi="Century Gothic" w:cs="Arial"/>
                <w:sz w:val="22"/>
                <w:szCs w:val="22"/>
              </w:rPr>
              <w:t xml:space="preserve"> restant</w:t>
            </w:r>
            <w:r w:rsidR="00573F06" w:rsidRPr="00DE4A50">
              <w:rPr>
                <w:rFonts w:ascii="Century Gothic" w:hAnsi="Century Gothic" w:cs="Arial"/>
                <w:sz w:val="22"/>
                <w:szCs w:val="22"/>
              </w:rPr>
              <w:t>e</w:t>
            </w:r>
            <w:r w:rsidRPr="00DE4A50">
              <w:rPr>
                <w:rFonts w:ascii="Century Gothic" w:hAnsi="Century Gothic" w:cs="Arial"/>
                <w:sz w:val="22"/>
                <w:szCs w:val="22"/>
              </w:rPr>
              <w:t xml:space="preserve">, conforme al método de decrecimientos. </w:t>
            </w:r>
          </w:p>
          <w:p w14:paraId="2EE285CC" w14:textId="77777777" w:rsidR="00AD7244" w:rsidRPr="00DE4A50" w:rsidRDefault="00AD7244" w:rsidP="00741F3E">
            <w:pPr>
              <w:pStyle w:val="Prrafodelista"/>
              <w:spacing w:line="360" w:lineRule="auto"/>
              <w:jc w:val="both"/>
              <w:rPr>
                <w:rFonts w:ascii="Century Gothic" w:hAnsi="Century Gothic" w:cs="Arial"/>
                <w:b/>
                <w:bCs/>
                <w:sz w:val="22"/>
                <w:szCs w:val="22"/>
              </w:rPr>
            </w:pPr>
          </w:p>
          <w:p w14:paraId="4333A92B" w14:textId="27DFFFA3" w:rsidR="00AD7244" w:rsidRPr="00DE4A50" w:rsidRDefault="00F97193" w:rsidP="00741F3E">
            <w:pPr>
              <w:pStyle w:val="Prrafodelista"/>
              <w:spacing w:line="360" w:lineRule="auto"/>
              <w:jc w:val="both"/>
              <w:rPr>
                <w:rFonts w:ascii="Century Gothic" w:hAnsi="Century Gothic" w:cs="Arial"/>
                <w:sz w:val="22"/>
                <w:szCs w:val="22"/>
              </w:rPr>
            </w:pPr>
            <w:r w:rsidRPr="00DE4A50">
              <w:rPr>
                <w:rFonts w:ascii="Century Gothic" w:hAnsi="Century Gothic" w:cs="Arial"/>
                <w:sz w:val="22"/>
                <w:szCs w:val="22"/>
              </w:rPr>
              <w:t>David José Cervantes Tobar</w:t>
            </w:r>
            <w:r w:rsidR="00AD7244" w:rsidRPr="00DE4A50">
              <w:rPr>
                <w:rFonts w:ascii="Century Gothic" w:hAnsi="Century Gothic" w:cs="Arial"/>
                <w:sz w:val="22"/>
                <w:szCs w:val="22"/>
              </w:rPr>
              <w:t xml:space="preserve">, con derecho hasta </w:t>
            </w:r>
            <w:r w:rsidRPr="00DE4A50">
              <w:rPr>
                <w:rFonts w:ascii="Century Gothic" w:hAnsi="Century Gothic" w:cs="Arial"/>
                <w:sz w:val="22"/>
                <w:szCs w:val="22"/>
              </w:rPr>
              <w:t>el 12 de febrero</w:t>
            </w:r>
            <w:r w:rsidR="00AD7244" w:rsidRPr="00DE4A50">
              <w:rPr>
                <w:rFonts w:ascii="Century Gothic" w:hAnsi="Century Gothic" w:cs="Arial"/>
                <w:sz w:val="22"/>
                <w:szCs w:val="22"/>
              </w:rPr>
              <w:t xml:space="preserve"> de 20</w:t>
            </w:r>
            <w:r w:rsidRPr="00DE4A50">
              <w:rPr>
                <w:rFonts w:ascii="Century Gothic" w:hAnsi="Century Gothic" w:cs="Arial"/>
                <w:sz w:val="22"/>
                <w:szCs w:val="22"/>
              </w:rPr>
              <w:t>28</w:t>
            </w:r>
            <w:r w:rsidR="00573F06" w:rsidRPr="00DE4A50">
              <w:rPr>
                <w:rFonts w:ascii="Century Gothic" w:hAnsi="Century Gothic" w:cs="Arial"/>
                <w:sz w:val="22"/>
                <w:szCs w:val="22"/>
              </w:rPr>
              <w:t xml:space="preserve"> (cumple 25 años)</w:t>
            </w:r>
            <w:r w:rsidR="00AD7244" w:rsidRPr="00DE4A50">
              <w:rPr>
                <w:rFonts w:ascii="Century Gothic" w:hAnsi="Century Gothic" w:cs="Arial"/>
                <w:sz w:val="22"/>
                <w:szCs w:val="22"/>
              </w:rPr>
              <w:t>, percibía una cuota constante de $</w:t>
            </w:r>
            <w:r w:rsidRPr="00DE4A50">
              <w:rPr>
                <w:rFonts w:ascii="Century Gothic" w:hAnsi="Century Gothic" w:cs="Arial"/>
                <w:sz w:val="22"/>
                <w:szCs w:val="22"/>
              </w:rPr>
              <w:t>375</w:t>
            </w:r>
            <w:r w:rsidR="00AD7244" w:rsidRPr="00DE4A50">
              <w:rPr>
                <w:rFonts w:ascii="Century Gothic" w:hAnsi="Century Gothic" w:cs="Arial"/>
                <w:sz w:val="22"/>
                <w:szCs w:val="22"/>
              </w:rPr>
              <w:t xml:space="preserve">.000 mensuales durante todo el período liquidado </w:t>
            </w:r>
            <w:r w:rsidR="00330385" w:rsidRPr="00DE4A50">
              <w:rPr>
                <w:rFonts w:ascii="Century Gothic" w:hAnsi="Century Gothic" w:cs="Arial"/>
                <w:sz w:val="22"/>
                <w:szCs w:val="22"/>
              </w:rPr>
              <w:t xml:space="preserve">16 de mayo de 2025 a 12 de febrero de 2028 </w:t>
            </w:r>
            <w:r w:rsidR="00AD7244" w:rsidRPr="00DE4A50">
              <w:rPr>
                <w:rFonts w:ascii="Century Gothic" w:hAnsi="Century Gothic" w:cs="Arial"/>
                <w:sz w:val="22"/>
                <w:szCs w:val="22"/>
              </w:rPr>
              <w:t>(3</w:t>
            </w:r>
            <w:r w:rsidRPr="00DE4A50">
              <w:rPr>
                <w:rFonts w:ascii="Century Gothic" w:hAnsi="Century Gothic" w:cs="Arial"/>
                <w:sz w:val="22"/>
                <w:szCs w:val="22"/>
              </w:rPr>
              <w:t>3</w:t>
            </w:r>
            <w:r w:rsidR="00AD7244" w:rsidRPr="00DE4A50">
              <w:rPr>
                <w:rFonts w:ascii="Century Gothic" w:hAnsi="Century Gothic" w:cs="Arial"/>
                <w:sz w:val="22"/>
                <w:szCs w:val="22"/>
              </w:rPr>
              <w:t xml:space="preserve"> meses), arrojando un lucro cesante futuro estimado de </w:t>
            </w:r>
            <w:r w:rsidRPr="00DE4A50">
              <w:rPr>
                <w:rFonts w:ascii="Century Gothic" w:hAnsi="Century Gothic" w:cs="Arial"/>
                <w:sz w:val="22"/>
                <w:szCs w:val="22"/>
              </w:rPr>
              <w:t>$11.406.682</w:t>
            </w:r>
          </w:p>
          <w:p w14:paraId="2FEDAA18" w14:textId="77777777" w:rsidR="00AD7244" w:rsidRPr="00DE4A50" w:rsidRDefault="00AD7244" w:rsidP="00741F3E">
            <w:pPr>
              <w:pStyle w:val="Prrafodelista"/>
              <w:spacing w:line="360" w:lineRule="auto"/>
              <w:jc w:val="both"/>
              <w:rPr>
                <w:rFonts w:ascii="Century Gothic" w:hAnsi="Century Gothic" w:cs="Arial"/>
                <w:sz w:val="22"/>
                <w:szCs w:val="22"/>
              </w:rPr>
            </w:pPr>
          </w:p>
          <w:p w14:paraId="4BA31B88" w14:textId="0222B2D3" w:rsidR="00AD7244" w:rsidRPr="00DE4A50" w:rsidRDefault="00F97193" w:rsidP="00741F3E">
            <w:pPr>
              <w:pStyle w:val="Prrafodelista"/>
              <w:spacing w:line="360" w:lineRule="auto"/>
              <w:jc w:val="both"/>
              <w:rPr>
                <w:rFonts w:ascii="Century Gothic" w:hAnsi="Century Gothic" w:cs="Arial"/>
                <w:sz w:val="22"/>
                <w:szCs w:val="22"/>
              </w:rPr>
            </w:pPr>
            <w:proofErr w:type="spellStart"/>
            <w:r w:rsidRPr="00DE4A50">
              <w:rPr>
                <w:rFonts w:ascii="Century Gothic" w:hAnsi="Century Gothic" w:cs="Arial"/>
                <w:sz w:val="22"/>
                <w:szCs w:val="22"/>
              </w:rPr>
              <w:t>Keiner</w:t>
            </w:r>
            <w:proofErr w:type="spellEnd"/>
            <w:r w:rsidRPr="00DE4A50">
              <w:rPr>
                <w:rFonts w:ascii="Century Gothic" w:hAnsi="Century Gothic" w:cs="Arial"/>
                <w:sz w:val="22"/>
                <w:szCs w:val="22"/>
              </w:rPr>
              <w:t xml:space="preserve"> David Cervantes Nieto</w:t>
            </w:r>
            <w:r w:rsidR="00AD7244" w:rsidRPr="00DE4A50">
              <w:rPr>
                <w:rFonts w:ascii="Century Gothic" w:hAnsi="Century Gothic" w:cs="Arial"/>
                <w:sz w:val="22"/>
                <w:szCs w:val="22"/>
              </w:rPr>
              <w:t xml:space="preserve">, con derecho hasta </w:t>
            </w:r>
            <w:r w:rsidRPr="00DE4A50">
              <w:rPr>
                <w:rFonts w:ascii="Century Gothic" w:hAnsi="Century Gothic" w:cs="Arial"/>
                <w:sz w:val="22"/>
                <w:szCs w:val="22"/>
              </w:rPr>
              <w:t>15 de mayo de 2030</w:t>
            </w:r>
            <w:r w:rsidR="00573F06" w:rsidRPr="00DE4A50">
              <w:rPr>
                <w:rFonts w:ascii="Century Gothic" w:hAnsi="Century Gothic" w:cs="Arial"/>
                <w:sz w:val="22"/>
                <w:szCs w:val="22"/>
              </w:rPr>
              <w:t xml:space="preserve"> (cumple 25 años) </w:t>
            </w:r>
            <w:r w:rsidR="00AD7244" w:rsidRPr="00DE4A50">
              <w:rPr>
                <w:rFonts w:ascii="Century Gothic" w:hAnsi="Century Gothic" w:cs="Arial"/>
                <w:sz w:val="22"/>
                <w:szCs w:val="22"/>
              </w:rPr>
              <w:t>recibió $</w:t>
            </w:r>
            <w:r w:rsidRPr="00DE4A50">
              <w:rPr>
                <w:rFonts w:ascii="Century Gothic" w:hAnsi="Century Gothic" w:cs="Arial"/>
                <w:sz w:val="22"/>
                <w:szCs w:val="22"/>
              </w:rPr>
              <w:t>375</w:t>
            </w:r>
            <w:r w:rsidR="00AD7244" w:rsidRPr="00DE4A50">
              <w:rPr>
                <w:rFonts w:ascii="Century Gothic" w:hAnsi="Century Gothic" w:cs="Arial"/>
                <w:sz w:val="22"/>
                <w:szCs w:val="22"/>
              </w:rPr>
              <w:t xml:space="preserve">.000 mensuales </w:t>
            </w:r>
            <w:r w:rsidR="00330385" w:rsidRPr="00DE4A50">
              <w:rPr>
                <w:rFonts w:ascii="Century Gothic" w:hAnsi="Century Gothic" w:cs="Arial"/>
                <w:sz w:val="22"/>
                <w:szCs w:val="22"/>
              </w:rPr>
              <w:t xml:space="preserve">desde el 16 de mayo de 2025 </w:t>
            </w:r>
            <w:r w:rsidR="00AD7244" w:rsidRPr="00DE4A50">
              <w:rPr>
                <w:rFonts w:ascii="Century Gothic" w:hAnsi="Century Gothic" w:cs="Arial"/>
                <w:sz w:val="22"/>
                <w:szCs w:val="22"/>
              </w:rPr>
              <w:t xml:space="preserve">hasta </w:t>
            </w:r>
            <w:r w:rsidR="00330385" w:rsidRPr="00DE4A50">
              <w:rPr>
                <w:rFonts w:ascii="Century Gothic" w:hAnsi="Century Gothic" w:cs="Arial"/>
                <w:sz w:val="22"/>
                <w:szCs w:val="22"/>
              </w:rPr>
              <w:t>febrero</w:t>
            </w:r>
            <w:r w:rsidR="00AD7244" w:rsidRPr="00DE4A50">
              <w:rPr>
                <w:rFonts w:ascii="Century Gothic" w:hAnsi="Century Gothic" w:cs="Arial"/>
                <w:sz w:val="22"/>
                <w:szCs w:val="22"/>
              </w:rPr>
              <w:t xml:space="preserve"> de 20</w:t>
            </w:r>
            <w:r w:rsidR="00330385" w:rsidRPr="00DE4A50">
              <w:rPr>
                <w:rFonts w:ascii="Century Gothic" w:hAnsi="Century Gothic" w:cs="Arial"/>
                <w:sz w:val="22"/>
                <w:szCs w:val="22"/>
              </w:rPr>
              <w:t>28 (33 meses)</w:t>
            </w:r>
            <w:r w:rsidR="00AD7244" w:rsidRPr="00DE4A50">
              <w:rPr>
                <w:rFonts w:ascii="Century Gothic" w:hAnsi="Century Gothic" w:cs="Arial"/>
                <w:sz w:val="22"/>
                <w:szCs w:val="22"/>
              </w:rPr>
              <w:t>, y luego $</w:t>
            </w:r>
            <w:r w:rsidR="00330385" w:rsidRPr="00DE4A50">
              <w:rPr>
                <w:rFonts w:ascii="Century Gothic" w:hAnsi="Century Gothic" w:cs="Arial"/>
                <w:sz w:val="22"/>
                <w:szCs w:val="22"/>
              </w:rPr>
              <w:t>750.000</w:t>
            </w:r>
            <w:r w:rsidR="00AD7244" w:rsidRPr="00DE4A50">
              <w:rPr>
                <w:rFonts w:ascii="Century Gothic" w:hAnsi="Century Gothic" w:cs="Arial"/>
                <w:sz w:val="22"/>
                <w:szCs w:val="22"/>
              </w:rPr>
              <w:t xml:space="preserve"> hasta </w:t>
            </w:r>
            <w:r w:rsidR="00330385" w:rsidRPr="00DE4A50">
              <w:rPr>
                <w:rFonts w:ascii="Century Gothic" w:hAnsi="Century Gothic" w:cs="Arial"/>
                <w:sz w:val="22"/>
                <w:szCs w:val="22"/>
              </w:rPr>
              <w:t>mayo</w:t>
            </w:r>
            <w:r w:rsidR="00AD7244" w:rsidRPr="00DE4A50">
              <w:rPr>
                <w:rFonts w:ascii="Century Gothic" w:hAnsi="Century Gothic" w:cs="Arial"/>
                <w:sz w:val="22"/>
                <w:szCs w:val="22"/>
              </w:rPr>
              <w:t xml:space="preserve"> de 203</w:t>
            </w:r>
            <w:r w:rsidR="00330385" w:rsidRPr="00DE4A50">
              <w:rPr>
                <w:rFonts w:ascii="Century Gothic" w:hAnsi="Century Gothic" w:cs="Arial"/>
                <w:sz w:val="22"/>
                <w:szCs w:val="22"/>
              </w:rPr>
              <w:t>0 (27 meses)</w:t>
            </w:r>
            <w:r w:rsidR="00AD7244" w:rsidRPr="00DE4A50">
              <w:rPr>
                <w:rFonts w:ascii="Century Gothic" w:hAnsi="Century Gothic" w:cs="Arial"/>
                <w:sz w:val="22"/>
                <w:szCs w:val="22"/>
              </w:rPr>
              <w:t>,</w:t>
            </w:r>
            <w:r w:rsidR="00330385" w:rsidRPr="00DE4A50">
              <w:rPr>
                <w:rFonts w:ascii="Century Gothic" w:hAnsi="Century Gothic" w:cs="Arial"/>
                <w:sz w:val="22"/>
                <w:szCs w:val="22"/>
              </w:rPr>
              <w:t xml:space="preserve"> de allí hasta con</w:t>
            </w:r>
            <w:r w:rsidR="00AD7244" w:rsidRPr="00DE4A50">
              <w:rPr>
                <w:rFonts w:ascii="Century Gothic" w:hAnsi="Century Gothic" w:cs="Arial"/>
                <w:sz w:val="22"/>
                <w:szCs w:val="22"/>
              </w:rPr>
              <w:t xml:space="preserve"> una liquidación total de $</w:t>
            </w:r>
            <w:r w:rsidR="00330385" w:rsidRPr="00DE4A50">
              <w:rPr>
                <w:rFonts w:ascii="Century Gothic" w:hAnsi="Century Gothic" w:cs="Arial"/>
                <w:sz w:val="22"/>
                <w:szCs w:val="22"/>
              </w:rPr>
              <w:t xml:space="preserve"> 30.339.607</w:t>
            </w:r>
          </w:p>
          <w:p w14:paraId="56AFA69F" w14:textId="04921FD4" w:rsidR="00AD7244" w:rsidRPr="00DE4A50" w:rsidRDefault="00AD7244" w:rsidP="00741F3E">
            <w:pPr>
              <w:spacing w:line="360" w:lineRule="auto"/>
              <w:jc w:val="both"/>
              <w:rPr>
                <w:rFonts w:ascii="Century Gothic" w:hAnsi="Century Gothic" w:cs="Arial"/>
                <w:sz w:val="22"/>
                <w:szCs w:val="22"/>
              </w:rPr>
            </w:pPr>
          </w:p>
          <w:p w14:paraId="2B9801D2" w14:textId="77777777" w:rsidR="00AD7244" w:rsidRPr="00DE4A50" w:rsidRDefault="00AD7244" w:rsidP="00741F3E">
            <w:pPr>
              <w:pStyle w:val="Prrafodelista"/>
              <w:spacing w:line="360" w:lineRule="auto"/>
              <w:jc w:val="both"/>
              <w:rPr>
                <w:rFonts w:ascii="Century Gothic" w:hAnsi="Century Gothic" w:cs="Arial"/>
                <w:sz w:val="22"/>
                <w:szCs w:val="22"/>
              </w:rPr>
            </w:pPr>
            <w:r w:rsidRPr="00DE4A50">
              <w:rPr>
                <w:rFonts w:ascii="Century Gothic" w:hAnsi="Century Gothic" w:cs="Arial"/>
                <w:sz w:val="22"/>
                <w:szCs w:val="22"/>
              </w:rPr>
              <w:t xml:space="preserve">Para todas las proyecciones se aplicó la fórmula del lucro cesante futuro con suma periódica </w:t>
            </w:r>
          </w:p>
          <w:p w14:paraId="018AA9E3" w14:textId="77777777" w:rsidR="00AD7244" w:rsidRPr="00DE4A50" w:rsidRDefault="00AD7244" w:rsidP="00741F3E">
            <w:pPr>
              <w:spacing w:line="360" w:lineRule="auto"/>
              <w:jc w:val="both"/>
              <w:rPr>
                <w:rFonts w:ascii="Century Gothic" w:hAnsi="Century Gothic" w:cs="Arial"/>
                <w:b/>
                <w:bCs/>
                <w:sz w:val="22"/>
                <w:szCs w:val="22"/>
              </w:rPr>
            </w:pPr>
          </w:p>
          <w:p w14:paraId="1D42ACD3" w14:textId="0DE7C0CE" w:rsidR="00E51AF6" w:rsidRPr="00DE4A50" w:rsidRDefault="00AD7244" w:rsidP="00741F3E">
            <w:pPr>
              <w:pStyle w:val="Prrafodelista"/>
              <w:numPr>
                <w:ilvl w:val="0"/>
                <w:numId w:val="3"/>
              </w:numPr>
              <w:spacing w:line="360" w:lineRule="auto"/>
              <w:jc w:val="both"/>
              <w:rPr>
                <w:rFonts w:ascii="Century Gothic" w:hAnsi="Century Gothic" w:cs="Arial"/>
                <w:sz w:val="22"/>
                <w:szCs w:val="22"/>
              </w:rPr>
            </w:pPr>
            <w:r w:rsidRPr="00DE4A50">
              <w:rPr>
                <w:rFonts w:ascii="Century Gothic" w:hAnsi="Century Gothic" w:cs="Arial"/>
                <w:b/>
                <w:bCs/>
                <w:sz w:val="22"/>
                <w:szCs w:val="22"/>
              </w:rPr>
              <w:t>Daño moral</w:t>
            </w:r>
            <w:r w:rsidRPr="00DE4A50">
              <w:rPr>
                <w:rFonts w:ascii="Century Gothic" w:hAnsi="Century Gothic" w:cs="Arial"/>
                <w:sz w:val="22"/>
                <w:szCs w:val="22"/>
              </w:rPr>
              <w:t>:  Se tasará en la suma de $</w:t>
            </w:r>
            <w:r w:rsidR="00075A16" w:rsidRPr="00DE4A50">
              <w:rPr>
                <w:rFonts w:ascii="Century Gothic" w:hAnsi="Century Gothic" w:cs="Arial"/>
                <w:sz w:val="22"/>
                <w:szCs w:val="22"/>
              </w:rPr>
              <w:t>284.700.000</w:t>
            </w:r>
            <w:r w:rsidRPr="00DE4A50">
              <w:rPr>
                <w:rFonts w:ascii="Century Gothic" w:hAnsi="Century Gothic" w:cs="Arial"/>
                <w:sz w:val="22"/>
                <w:szCs w:val="22"/>
              </w:rPr>
              <w:t xml:space="preserve">. </w:t>
            </w:r>
            <w:r w:rsidR="001E26EF" w:rsidRPr="00DE4A50">
              <w:rPr>
                <w:rFonts w:ascii="Century Gothic" w:hAnsi="Century Gothic" w:cs="Arial"/>
                <w:sz w:val="22"/>
                <w:szCs w:val="22"/>
              </w:rPr>
              <w:t>De conformidad con lo establecido por la Sala de Casación Civil de la Corte Suprema de Justicia en la Sentencia SC-072 de 2025, el monto máximo orientador para la indemnización de perjuicios morales por la muerte de un familiar asciende a 100 SMLMV. Este parámetro, contempla la asignación del 100% de dicho tope indemnizatorio a los padres e hijos de la víctima directa, y del 50% cuando se trata de hermanos, atendiendo a la cercanía del vínculo afectivo.</w:t>
            </w:r>
          </w:p>
          <w:p w14:paraId="0404FD0E" w14:textId="4E6CC0F3" w:rsidR="00CB6857" w:rsidRPr="00DE4A50" w:rsidRDefault="00CB6857" w:rsidP="00CB6857">
            <w:pPr>
              <w:pStyle w:val="Prrafodelista"/>
              <w:spacing w:line="360" w:lineRule="auto"/>
              <w:jc w:val="both"/>
              <w:rPr>
                <w:rFonts w:ascii="Century Gothic" w:hAnsi="Century Gothic" w:cs="Arial"/>
                <w:b/>
                <w:bCs/>
                <w:sz w:val="22"/>
                <w:szCs w:val="22"/>
              </w:rPr>
            </w:pPr>
          </w:p>
          <w:p w14:paraId="72088226" w14:textId="67C20561" w:rsidR="00E51AF6" w:rsidRPr="00DE4A50" w:rsidRDefault="00CB6857" w:rsidP="00CB6857">
            <w:pPr>
              <w:pStyle w:val="Prrafodelista"/>
              <w:spacing w:line="360" w:lineRule="auto"/>
              <w:jc w:val="both"/>
              <w:rPr>
                <w:rFonts w:ascii="Century Gothic" w:hAnsi="Century Gothic" w:cs="Arial"/>
                <w:sz w:val="22"/>
                <w:szCs w:val="22"/>
              </w:rPr>
            </w:pPr>
            <w:r w:rsidRPr="00DE4A50">
              <w:rPr>
                <w:rFonts w:ascii="Century Gothic" w:hAnsi="Century Gothic" w:cs="Arial"/>
                <w:sz w:val="22"/>
                <w:szCs w:val="22"/>
              </w:rPr>
              <w:t xml:space="preserve">No obstante, dicho criterio se tendrá en cuenta solo para las sumas que se solicitaron conforme al mismo, en lo restante atendiendo al principio de congruencia, se reconocerán los valores conforme se solicitó en la demanda, toda vez que el juez no puede exceder sus facultades para reconocer una suma mayor a la deprecada. </w:t>
            </w:r>
            <w:r w:rsidR="001E26EF" w:rsidRPr="00DE4A50">
              <w:rPr>
                <w:rFonts w:ascii="Century Gothic" w:hAnsi="Century Gothic" w:cs="Arial"/>
                <w:sz w:val="22"/>
                <w:szCs w:val="22"/>
              </w:rPr>
              <w:t>En ese sentido, se estima procedente reconocer las siguientes sumas a título de perjuicios morales:</w:t>
            </w:r>
          </w:p>
          <w:p w14:paraId="02AD1FED" w14:textId="77777777" w:rsidR="00E51AF6" w:rsidRPr="00DE4A50" w:rsidRDefault="00E51AF6" w:rsidP="00741F3E">
            <w:pPr>
              <w:pStyle w:val="Prrafodelista"/>
              <w:spacing w:line="360" w:lineRule="auto"/>
              <w:jc w:val="both"/>
              <w:rPr>
                <w:rFonts w:ascii="Century Gothic" w:hAnsi="Century Gothic" w:cs="Arial"/>
                <w:sz w:val="22"/>
                <w:szCs w:val="22"/>
              </w:rPr>
            </w:pPr>
          </w:p>
          <w:p w14:paraId="787EA99C" w14:textId="325F29A7" w:rsidR="00CB6857" w:rsidRPr="00DE4A50" w:rsidRDefault="001E26EF" w:rsidP="00741F3E">
            <w:pPr>
              <w:pStyle w:val="Prrafodelista"/>
              <w:spacing w:line="360" w:lineRule="auto"/>
              <w:jc w:val="both"/>
              <w:rPr>
                <w:rFonts w:ascii="Century Gothic" w:hAnsi="Century Gothic" w:cs="Arial"/>
                <w:sz w:val="22"/>
                <w:szCs w:val="22"/>
              </w:rPr>
            </w:pPr>
            <w:r w:rsidRPr="00DE4A50">
              <w:rPr>
                <w:rFonts w:ascii="Century Gothic" w:hAnsi="Century Gothic" w:cs="Arial"/>
                <w:sz w:val="22"/>
                <w:szCs w:val="22"/>
              </w:rPr>
              <w:lastRenderedPageBreak/>
              <w:t xml:space="preserve">Para MARÍA YENITH PÉREZ MENDOZA, madre del fallecido </w:t>
            </w:r>
            <w:proofErr w:type="spellStart"/>
            <w:r w:rsidRPr="00DE4A50">
              <w:rPr>
                <w:rFonts w:ascii="Century Gothic" w:hAnsi="Century Gothic" w:cs="Arial"/>
                <w:sz w:val="22"/>
                <w:szCs w:val="22"/>
              </w:rPr>
              <w:t>Jainer</w:t>
            </w:r>
            <w:proofErr w:type="spellEnd"/>
            <w:r w:rsidRPr="00DE4A50">
              <w:rPr>
                <w:rFonts w:ascii="Century Gothic" w:hAnsi="Century Gothic" w:cs="Arial"/>
                <w:sz w:val="22"/>
                <w:szCs w:val="22"/>
              </w:rPr>
              <w:t xml:space="preserve"> Gustavo Cervantes Pérez (Q.E.P.D.)</w:t>
            </w:r>
            <w:r w:rsidR="00CB6857" w:rsidRPr="00DE4A50">
              <w:rPr>
                <w:rFonts w:ascii="Century Gothic" w:hAnsi="Century Gothic" w:cs="Arial"/>
                <w:sz w:val="22"/>
                <w:szCs w:val="22"/>
              </w:rPr>
              <w:t>, la suma de 50 SMMLV correspondiente a $71.175.000</w:t>
            </w:r>
            <w:r w:rsidR="00075A16" w:rsidRPr="00DE4A50">
              <w:rPr>
                <w:rFonts w:ascii="Century Gothic" w:hAnsi="Century Gothic" w:cs="Arial"/>
                <w:sz w:val="22"/>
                <w:szCs w:val="22"/>
              </w:rPr>
              <w:t>. (Valor solicitado en la demanda</w:t>
            </w:r>
          </w:p>
          <w:p w14:paraId="12DFD3EC" w14:textId="77777777" w:rsidR="00CB6857" w:rsidRPr="00DE4A50" w:rsidRDefault="00CB6857" w:rsidP="00741F3E">
            <w:pPr>
              <w:pStyle w:val="Prrafodelista"/>
              <w:spacing w:line="360" w:lineRule="auto"/>
              <w:jc w:val="both"/>
              <w:rPr>
                <w:rFonts w:ascii="Century Gothic" w:hAnsi="Century Gothic" w:cs="Arial"/>
                <w:sz w:val="22"/>
                <w:szCs w:val="22"/>
              </w:rPr>
            </w:pPr>
          </w:p>
          <w:p w14:paraId="69D46019" w14:textId="30C930AE" w:rsidR="00E51AF6" w:rsidRPr="00DE4A50" w:rsidRDefault="00CB6857" w:rsidP="00741F3E">
            <w:pPr>
              <w:pStyle w:val="Prrafodelista"/>
              <w:spacing w:line="360" w:lineRule="auto"/>
              <w:jc w:val="both"/>
              <w:rPr>
                <w:rFonts w:ascii="Century Gothic" w:hAnsi="Century Gothic" w:cs="Arial"/>
                <w:sz w:val="22"/>
                <w:szCs w:val="22"/>
              </w:rPr>
            </w:pPr>
            <w:r w:rsidRPr="00DE4A50">
              <w:rPr>
                <w:rFonts w:ascii="Century Gothic" w:hAnsi="Century Gothic" w:cs="Arial"/>
                <w:sz w:val="22"/>
                <w:szCs w:val="22"/>
              </w:rPr>
              <w:t xml:space="preserve">Para los hijos del causante </w:t>
            </w:r>
            <w:r w:rsidR="001E26EF" w:rsidRPr="00DE4A50">
              <w:rPr>
                <w:rFonts w:ascii="Century Gothic" w:hAnsi="Century Gothic" w:cs="Arial"/>
                <w:sz w:val="22"/>
                <w:szCs w:val="22"/>
              </w:rPr>
              <w:t>KEINER DAVID CERVANTES NIETO y DAVID JOSÉ CERVANTES TOVAR, el valor de 100 SMLMV equivalente a $142.350.000</w:t>
            </w:r>
            <w:r w:rsidRPr="00DE4A50">
              <w:rPr>
                <w:rFonts w:ascii="Century Gothic" w:hAnsi="Century Gothic" w:cs="Arial"/>
                <w:sz w:val="22"/>
                <w:szCs w:val="22"/>
              </w:rPr>
              <w:t xml:space="preserve"> para cada uno. </w:t>
            </w:r>
          </w:p>
          <w:p w14:paraId="6BF34A0C" w14:textId="77777777" w:rsidR="00E51AF6" w:rsidRPr="00DE4A50" w:rsidRDefault="00E51AF6" w:rsidP="00741F3E">
            <w:pPr>
              <w:pStyle w:val="Prrafodelista"/>
              <w:spacing w:line="360" w:lineRule="auto"/>
              <w:jc w:val="both"/>
              <w:rPr>
                <w:rFonts w:ascii="Century Gothic" w:hAnsi="Century Gothic" w:cs="Arial"/>
                <w:sz w:val="22"/>
                <w:szCs w:val="22"/>
              </w:rPr>
            </w:pPr>
          </w:p>
          <w:p w14:paraId="2AA3F435" w14:textId="3DF78FC5" w:rsidR="00E51AF6" w:rsidRPr="00DE4A50" w:rsidRDefault="001E26EF" w:rsidP="00741F3E">
            <w:pPr>
              <w:pStyle w:val="Prrafodelista"/>
              <w:spacing w:line="360" w:lineRule="auto"/>
              <w:jc w:val="both"/>
              <w:rPr>
                <w:rFonts w:ascii="Century Gothic" w:hAnsi="Century Gothic" w:cs="Arial"/>
                <w:sz w:val="22"/>
                <w:szCs w:val="22"/>
              </w:rPr>
            </w:pPr>
            <w:r w:rsidRPr="00DE4A50">
              <w:rPr>
                <w:rFonts w:ascii="Century Gothic" w:hAnsi="Century Gothic" w:cs="Arial"/>
                <w:sz w:val="22"/>
                <w:szCs w:val="22"/>
              </w:rPr>
              <w:t>Para los hermanos del fallecido, JAVIER GUSTAVO CERVANTES PÉREZ y HEIDYS ISABEL CERVANTES PÉREZ, el valo</w:t>
            </w:r>
            <w:r w:rsidR="00075A16" w:rsidRPr="00DE4A50">
              <w:rPr>
                <w:rFonts w:ascii="Century Gothic" w:hAnsi="Century Gothic" w:cs="Arial"/>
                <w:sz w:val="22"/>
                <w:szCs w:val="22"/>
              </w:rPr>
              <w:t>r de 25 SMMLV</w:t>
            </w:r>
            <w:r w:rsidRPr="00DE4A50">
              <w:rPr>
                <w:rFonts w:ascii="Century Gothic" w:hAnsi="Century Gothic" w:cs="Arial"/>
                <w:sz w:val="22"/>
                <w:szCs w:val="22"/>
              </w:rPr>
              <w:t xml:space="preserve"> equivalente a $</w:t>
            </w:r>
            <w:r w:rsidR="00075A16" w:rsidRPr="00DE4A50">
              <w:rPr>
                <w:rFonts w:ascii="Century Gothic" w:hAnsi="Century Gothic" w:cs="Arial"/>
                <w:sz w:val="22"/>
                <w:szCs w:val="22"/>
              </w:rPr>
              <w:t>35.587.500 para</w:t>
            </w:r>
            <w:r w:rsidRPr="00DE4A50">
              <w:rPr>
                <w:rFonts w:ascii="Century Gothic" w:hAnsi="Century Gothic" w:cs="Arial"/>
                <w:sz w:val="22"/>
                <w:szCs w:val="22"/>
              </w:rPr>
              <w:t xml:space="preserve"> cada uno</w:t>
            </w:r>
            <w:r w:rsidR="00075A16" w:rsidRPr="00DE4A50">
              <w:rPr>
                <w:rFonts w:ascii="Century Gothic" w:hAnsi="Century Gothic" w:cs="Arial"/>
                <w:sz w:val="22"/>
                <w:szCs w:val="22"/>
              </w:rPr>
              <w:t xml:space="preserve">. (Valor solicitado en la demanda) </w:t>
            </w:r>
          </w:p>
          <w:p w14:paraId="1906643F" w14:textId="77777777" w:rsidR="00E51AF6" w:rsidRPr="00DE4A50" w:rsidRDefault="00E51AF6" w:rsidP="00741F3E">
            <w:pPr>
              <w:pStyle w:val="Prrafodelista"/>
              <w:spacing w:line="360" w:lineRule="auto"/>
              <w:jc w:val="both"/>
              <w:rPr>
                <w:rFonts w:ascii="Century Gothic" w:hAnsi="Century Gothic" w:cs="Arial"/>
                <w:sz w:val="22"/>
                <w:szCs w:val="22"/>
              </w:rPr>
            </w:pPr>
          </w:p>
          <w:p w14:paraId="66F38D3E" w14:textId="34E15DA6" w:rsidR="001E26EF" w:rsidRPr="00DE4A50" w:rsidRDefault="001E26EF" w:rsidP="00741F3E">
            <w:pPr>
              <w:pStyle w:val="Prrafodelista"/>
              <w:spacing w:line="360" w:lineRule="auto"/>
              <w:jc w:val="both"/>
              <w:rPr>
                <w:rFonts w:ascii="Century Gothic" w:hAnsi="Century Gothic" w:cs="Arial"/>
                <w:sz w:val="22"/>
                <w:szCs w:val="22"/>
              </w:rPr>
            </w:pPr>
            <w:r w:rsidRPr="00DE4A50">
              <w:rPr>
                <w:rFonts w:ascii="Century Gothic" w:hAnsi="Century Gothic" w:cs="Arial"/>
                <w:sz w:val="22"/>
                <w:szCs w:val="22"/>
              </w:rPr>
              <w:t>Estas sumas se proponen bajo el entendido de que la pérdida de un familiar constituye un daño inmaterial de especial entidad, siempre que se acrediten vínculos afectivos relevantes, como en el presente caso.</w:t>
            </w:r>
          </w:p>
          <w:p w14:paraId="44D285D7" w14:textId="5B656F75" w:rsidR="00075A16" w:rsidRPr="00DE4A50" w:rsidRDefault="00075A16" w:rsidP="00741F3E">
            <w:pPr>
              <w:pStyle w:val="Prrafodelista"/>
              <w:spacing w:line="360" w:lineRule="auto"/>
              <w:jc w:val="both"/>
              <w:rPr>
                <w:rFonts w:ascii="Century Gothic" w:hAnsi="Century Gothic" w:cs="Arial"/>
                <w:sz w:val="22"/>
                <w:szCs w:val="22"/>
              </w:rPr>
            </w:pPr>
          </w:p>
          <w:p w14:paraId="49E99C2F" w14:textId="362F9264" w:rsidR="007A7979" w:rsidRPr="00DE4A50" w:rsidRDefault="00BB2757" w:rsidP="007A7979">
            <w:pPr>
              <w:spacing w:line="360" w:lineRule="auto"/>
              <w:jc w:val="both"/>
              <w:rPr>
                <w:rFonts w:ascii="Century Gothic" w:hAnsi="Century Gothic" w:cs="Arial"/>
                <w:sz w:val="22"/>
                <w:szCs w:val="22"/>
              </w:rPr>
            </w:pPr>
            <w:r w:rsidRPr="00DE4A50">
              <w:rPr>
                <w:rFonts w:ascii="Century Gothic" w:hAnsi="Century Gothic" w:cs="Arial"/>
                <w:sz w:val="22"/>
                <w:szCs w:val="22"/>
              </w:rPr>
              <w:t xml:space="preserve">Si bien la liquidación objetivada se estima en la suma de </w:t>
            </w:r>
            <w:r w:rsidRPr="00DE4A50">
              <w:rPr>
                <w:rFonts w:ascii="Century Gothic" w:hAnsi="Century Gothic" w:cs="Arial"/>
                <w:b/>
                <w:bCs/>
                <w:sz w:val="22"/>
                <w:szCs w:val="22"/>
              </w:rPr>
              <w:t>$351.290.752,</w:t>
            </w:r>
            <w:r w:rsidRPr="00DE4A50">
              <w:rPr>
                <w:rFonts w:ascii="Century Gothic" w:hAnsi="Century Gothic" w:cs="Arial"/>
                <w:sz w:val="22"/>
                <w:szCs w:val="22"/>
              </w:rPr>
              <w:t xml:space="preserve"> debe</w:t>
            </w:r>
            <w:r w:rsidR="007A7979" w:rsidRPr="00DE4A50">
              <w:rPr>
                <w:rFonts w:ascii="Century Gothic" w:hAnsi="Century Gothic" w:cs="Arial"/>
                <w:sz w:val="22"/>
                <w:szCs w:val="22"/>
              </w:rPr>
              <w:t xml:space="preserve"> señalarse que en el presente caso se encuentra acreditada una incidencia significativa de la víctima en la producción del daño, valorada en al menos un 10% de concurrencia causal, debiéndose aplicar la reducción correspondiente lo que arroja un monto total de $316.161.676, como valor de la liquidación objetiva. </w:t>
            </w:r>
          </w:p>
          <w:p w14:paraId="33C8C967" w14:textId="2219A2E6" w:rsidR="007A7979" w:rsidRPr="00DE4A50" w:rsidRDefault="007A7979" w:rsidP="00BB2757">
            <w:pPr>
              <w:spacing w:line="360" w:lineRule="auto"/>
              <w:jc w:val="both"/>
              <w:rPr>
                <w:rFonts w:ascii="Century Gothic" w:hAnsi="Century Gothic" w:cs="Arial"/>
                <w:sz w:val="22"/>
                <w:szCs w:val="22"/>
              </w:rPr>
            </w:pPr>
          </w:p>
          <w:p w14:paraId="03BF65D5" w14:textId="77777777" w:rsidR="007A7979" w:rsidRPr="00DE4A50" w:rsidRDefault="007A7979" w:rsidP="00BB2757">
            <w:pPr>
              <w:spacing w:line="360" w:lineRule="auto"/>
              <w:jc w:val="both"/>
              <w:rPr>
                <w:rFonts w:ascii="Century Gothic" w:hAnsi="Century Gothic" w:cs="Arial"/>
                <w:sz w:val="22"/>
                <w:szCs w:val="22"/>
              </w:rPr>
            </w:pPr>
          </w:p>
          <w:p w14:paraId="36389954" w14:textId="43C97479" w:rsidR="00BB2757" w:rsidRPr="00DE4A50" w:rsidRDefault="007A7979" w:rsidP="00BB2757">
            <w:pPr>
              <w:spacing w:line="360" w:lineRule="auto"/>
              <w:jc w:val="both"/>
              <w:rPr>
                <w:rFonts w:ascii="Century Gothic" w:hAnsi="Century Gothic" w:cs="Arial"/>
                <w:sz w:val="22"/>
                <w:szCs w:val="22"/>
              </w:rPr>
            </w:pPr>
            <w:r w:rsidRPr="00DE4A50">
              <w:rPr>
                <w:rFonts w:ascii="Century Gothic" w:hAnsi="Century Gothic" w:cs="Arial"/>
                <w:b/>
                <w:bCs/>
                <w:sz w:val="22"/>
                <w:szCs w:val="22"/>
              </w:rPr>
              <w:t>Valor asegurado:</w:t>
            </w:r>
            <w:r w:rsidRPr="00DE4A50">
              <w:rPr>
                <w:rFonts w:ascii="Century Gothic" w:hAnsi="Century Gothic" w:cs="Arial"/>
                <w:sz w:val="22"/>
                <w:szCs w:val="22"/>
              </w:rPr>
              <w:t xml:space="preserve"> Debe </w:t>
            </w:r>
            <w:r w:rsidR="00BB2757" w:rsidRPr="00DE4A50">
              <w:rPr>
                <w:rFonts w:ascii="Century Gothic" w:hAnsi="Century Gothic" w:cs="Arial"/>
                <w:sz w:val="22"/>
                <w:szCs w:val="22"/>
              </w:rPr>
              <w:t xml:space="preserve">señalarse que la Póliza de Seguros para Utilitarios No. AA004448, expedida por La Equidad Seguros Generales O.C., contempla un límite asegurado de $200.000.000, el cual constituye el tope máximo indemnizable bajo los términos contractuales pactados. Por tanto, en el evento en que llegara a reconocerse algún tipo de indemnización, dicho valor no podría en ningún caso superar el monto límite previsto en la póliza. </w:t>
            </w:r>
            <w:r w:rsidR="00331B62" w:rsidRPr="00DE4A50">
              <w:rPr>
                <w:rFonts w:ascii="Century Gothic" w:hAnsi="Century Gothic" w:cs="Arial"/>
                <w:sz w:val="22"/>
                <w:szCs w:val="22"/>
              </w:rPr>
              <w:t>Asimismo, debe indicarse que para el caso en concreto no se contempla deducible.</w:t>
            </w:r>
          </w:p>
          <w:p w14:paraId="31FF8AB1" w14:textId="77777777" w:rsidR="00E802BC" w:rsidRPr="00DE4A50" w:rsidRDefault="00E802BC" w:rsidP="00CB6857">
            <w:pPr>
              <w:rPr>
                <w:rFonts w:ascii="Century Gothic" w:hAnsi="Century Gothic" w:cs="Arial"/>
                <w:sz w:val="22"/>
                <w:szCs w:val="22"/>
              </w:rPr>
            </w:pPr>
          </w:p>
        </w:tc>
      </w:tr>
    </w:tbl>
    <w:p w14:paraId="7273C5A1" w14:textId="77777777" w:rsidR="0095378E" w:rsidRDefault="0095378E" w:rsidP="00741F3E">
      <w:pPr>
        <w:spacing w:line="360" w:lineRule="auto"/>
        <w:rPr>
          <w:rFonts w:ascii="Century Gothic" w:hAnsi="Century Gothic" w:cs="Arial"/>
          <w:sz w:val="22"/>
          <w:szCs w:val="22"/>
        </w:rPr>
      </w:pPr>
    </w:p>
    <w:p w14:paraId="6D636816" w14:textId="77777777" w:rsidR="00DE4A50" w:rsidRDefault="00DE4A50" w:rsidP="00741F3E">
      <w:pPr>
        <w:spacing w:line="360" w:lineRule="auto"/>
        <w:rPr>
          <w:rFonts w:ascii="Century Gothic" w:hAnsi="Century Gothic" w:cs="Arial"/>
          <w:sz w:val="22"/>
          <w:szCs w:val="22"/>
        </w:rPr>
      </w:pPr>
    </w:p>
    <w:p w14:paraId="353A2C18" w14:textId="77777777" w:rsidR="00DE4A50" w:rsidRPr="00DE4A50" w:rsidRDefault="00DE4A50" w:rsidP="00741F3E">
      <w:pPr>
        <w:spacing w:line="360" w:lineRule="auto"/>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DE4A50" w14:paraId="05674BEA" w14:textId="77777777" w:rsidTr="0095378E">
        <w:trPr>
          <w:trHeight w:val="321"/>
        </w:trPr>
        <w:tc>
          <w:tcPr>
            <w:tcW w:w="10207" w:type="dxa"/>
            <w:shd w:val="clear" w:color="auto" w:fill="C5E0B3" w:themeFill="accent6" w:themeFillTint="66"/>
            <w:vAlign w:val="center"/>
          </w:tcPr>
          <w:p w14:paraId="2BB97918" w14:textId="52E94393" w:rsidR="003B7F1A" w:rsidRPr="00DE4A50" w:rsidRDefault="003B7F1A" w:rsidP="00741F3E">
            <w:pPr>
              <w:spacing w:line="360" w:lineRule="auto"/>
              <w:jc w:val="center"/>
              <w:rPr>
                <w:rFonts w:ascii="Century Gothic" w:hAnsi="Century Gothic" w:cs="Arial"/>
                <w:sz w:val="22"/>
                <w:szCs w:val="22"/>
              </w:rPr>
            </w:pPr>
            <w:r w:rsidRPr="00DE4A50">
              <w:rPr>
                <w:rFonts w:ascii="Century Gothic" w:hAnsi="Century Gothic" w:cs="Arial"/>
                <w:b/>
                <w:bCs/>
                <w:sz w:val="22"/>
                <w:szCs w:val="22"/>
              </w:rPr>
              <w:lastRenderedPageBreak/>
              <w:t>Excepciones</w:t>
            </w:r>
          </w:p>
        </w:tc>
      </w:tr>
      <w:tr w:rsidR="003B7F1A" w:rsidRPr="00DE4A50" w14:paraId="4AAD7549" w14:textId="77777777" w:rsidTr="0095378E">
        <w:trPr>
          <w:trHeight w:val="3906"/>
        </w:trPr>
        <w:tc>
          <w:tcPr>
            <w:tcW w:w="10207" w:type="dxa"/>
            <w:vAlign w:val="center"/>
          </w:tcPr>
          <w:p w14:paraId="2209BD35" w14:textId="61E9A8C8" w:rsidR="007F48DC" w:rsidRPr="00DE4A50" w:rsidRDefault="007F48DC" w:rsidP="00741F3E">
            <w:pPr>
              <w:pStyle w:val="Prrafodelista"/>
              <w:numPr>
                <w:ilvl w:val="0"/>
                <w:numId w:val="12"/>
              </w:numPr>
              <w:spacing w:before="126" w:line="360" w:lineRule="auto"/>
              <w:ind w:right="117"/>
              <w:rPr>
                <w:rFonts w:ascii="Century Gothic" w:hAnsi="Century Gothic" w:cs="Arial"/>
                <w:b/>
                <w:sz w:val="22"/>
                <w:szCs w:val="22"/>
              </w:rPr>
            </w:pPr>
            <w:r w:rsidRPr="00DE4A50">
              <w:rPr>
                <w:rFonts w:ascii="Century Gothic" w:hAnsi="Century Gothic" w:cs="Arial"/>
                <w:b/>
                <w:sz w:val="22"/>
                <w:szCs w:val="22"/>
                <w:u w:val="thick"/>
              </w:rPr>
              <w:t>EXCEPCIONES</w:t>
            </w:r>
            <w:r w:rsidRPr="00DE4A50">
              <w:rPr>
                <w:rFonts w:ascii="Century Gothic" w:hAnsi="Century Gothic" w:cs="Arial"/>
                <w:b/>
                <w:spacing w:val="-3"/>
                <w:sz w:val="22"/>
                <w:szCs w:val="22"/>
                <w:u w:val="thick"/>
              </w:rPr>
              <w:t xml:space="preserve"> </w:t>
            </w:r>
            <w:r w:rsidRPr="00DE4A50">
              <w:rPr>
                <w:rFonts w:ascii="Century Gothic" w:hAnsi="Century Gothic" w:cs="Arial"/>
                <w:b/>
                <w:sz w:val="22"/>
                <w:szCs w:val="22"/>
                <w:u w:val="thick"/>
              </w:rPr>
              <w:t>DE</w:t>
            </w:r>
            <w:r w:rsidRPr="00DE4A50">
              <w:rPr>
                <w:rFonts w:ascii="Century Gothic" w:hAnsi="Century Gothic" w:cs="Arial"/>
                <w:b/>
                <w:spacing w:val="-3"/>
                <w:sz w:val="22"/>
                <w:szCs w:val="22"/>
                <w:u w:val="thick"/>
              </w:rPr>
              <w:t xml:space="preserve"> </w:t>
            </w:r>
            <w:r w:rsidRPr="00DE4A50">
              <w:rPr>
                <w:rFonts w:ascii="Century Gothic" w:hAnsi="Century Gothic" w:cs="Arial"/>
                <w:b/>
                <w:sz w:val="22"/>
                <w:szCs w:val="22"/>
                <w:u w:val="thick"/>
              </w:rPr>
              <w:t>FONDO FRENTE</w:t>
            </w:r>
            <w:r w:rsidRPr="00DE4A50">
              <w:rPr>
                <w:rFonts w:ascii="Century Gothic" w:hAnsi="Century Gothic" w:cs="Arial"/>
                <w:b/>
                <w:spacing w:val="-6"/>
                <w:sz w:val="22"/>
                <w:szCs w:val="22"/>
                <w:u w:val="thick"/>
              </w:rPr>
              <w:t xml:space="preserve"> </w:t>
            </w:r>
            <w:r w:rsidRPr="00DE4A50">
              <w:rPr>
                <w:rFonts w:ascii="Century Gothic" w:hAnsi="Century Gothic" w:cs="Arial"/>
                <w:b/>
                <w:sz w:val="22"/>
                <w:szCs w:val="22"/>
                <w:u w:val="thick"/>
              </w:rPr>
              <w:t>A</w:t>
            </w:r>
            <w:r w:rsidRPr="00DE4A50">
              <w:rPr>
                <w:rFonts w:ascii="Century Gothic" w:hAnsi="Century Gothic" w:cs="Arial"/>
                <w:b/>
                <w:spacing w:val="-2"/>
                <w:sz w:val="22"/>
                <w:szCs w:val="22"/>
                <w:u w:val="thick"/>
              </w:rPr>
              <w:t xml:space="preserve"> </w:t>
            </w:r>
            <w:r w:rsidRPr="00DE4A50">
              <w:rPr>
                <w:rFonts w:ascii="Century Gothic" w:hAnsi="Century Gothic" w:cs="Arial"/>
                <w:b/>
                <w:sz w:val="22"/>
                <w:szCs w:val="22"/>
                <w:u w:val="thick"/>
              </w:rPr>
              <w:t>LA</w:t>
            </w:r>
            <w:r w:rsidRPr="00DE4A50">
              <w:rPr>
                <w:rFonts w:ascii="Century Gothic" w:hAnsi="Century Gothic" w:cs="Arial"/>
                <w:b/>
                <w:spacing w:val="-1"/>
                <w:sz w:val="22"/>
                <w:szCs w:val="22"/>
                <w:u w:val="thick"/>
              </w:rPr>
              <w:t xml:space="preserve"> </w:t>
            </w:r>
            <w:r w:rsidRPr="00DE4A50">
              <w:rPr>
                <w:rFonts w:ascii="Century Gothic" w:hAnsi="Century Gothic" w:cs="Arial"/>
                <w:b/>
                <w:sz w:val="22"/>
                <w:szCs w:val="22"/>
                <w:u w:val="thick"/>
              </w:rPr>
              <w:t>DEMANDA</w:t>
            </w:r>
          </w:p>
          <w:p w14:paraId="7D4A9BB9" w14:textId="77777777" w:rsidR="007F48DC" w:rsidRPr="00DE4A50" w:rsidRDefault="007F48DC" w:rsidP="00741F3E">
            <w:pPr>
              <w:widowControl w:val="0"/>
              <w:autoSpaceDE w:val="0"/>
              <w:autoSpaceDN w:val="0"/>
              <w:adjustRightInd w:val="0"/>
              <w:spacing w:line="360" w:lineRule="auto"/>
              <w:jc w:val="both"/>
              <w:rPr>
                <w:rFonts w:ascii="Century Gothic" w:hAnsi="Century Gothic" w:cs="Arial"/>
                <w:b/>
                <w:bCs/>
                <w:color w:val="0D0D0D"/>
                <w:sz w:val="22"/>
                <w:szCs w:val="22"/>
              </w:rPr>
            </w:pPr>
          </w:p>
          <w:p w14:paraId="74A40511" w14:textId="5C81DEBB" w:rsidR="005724F0" w:rsidRPr="00DE4A50" w:rsidRDefault="005724F0" w:rsidP="00741F3E">
            <w:pPr>
              <w:pStyle w:val="Prrafodelista"/>
              <w:widowControl w:val="0"/>
              <w:numPr>
                <w:ilvl w:val="0"/>
                <w:numId w:val="6"/>
              </w:numPr>
              <w:autoSpaceDE w:val="0"/>
              <w:autoSpaceDN w:val="0"/>
              <w:adjustRightInd w:val="0"/>
              <w:spacing w:line="360" w:lineRule="auto"/>
              <w:jc w:val="both"/>
              <w:rPr>
                <w:rFonts w:ascii="Century Gothic" w:hAnsi="Century Gothic" w:cs="Arial"/>
                <w:color w:val="0D0D0D"/>
                <w:sz w:val="22"/>
                <w:szCs w:val="22"/>
              </w:rPr>
            </w:pPr>
            <w:r w:rsidRPr="00DE4A50">
              <w:rPr>
                <w:rFonts w:ascii="Century Gothic" w:hAnsi="Century Gothic" w:cs="Arial"/>
                <w:color w:val="0D0D0D"/>
                <w:sz w:val="22"/>
                <w:szCs w:val="22"/>
              </w:rPr>
              <w:t xml:space="preserve">EXIMENTE DE LA RESPONSABILIDAD DE LOS DEMANDADOS POR CONFIGURARSE UN HECHO EXCLUSIVA DE LA VICTIMA. </w:t>
            </w:r>
          </w:p>
          <w:p w14:paraId="72E78EC2" w14:textId="77777777" w:rsidR="005724F0" w:rsidRPr="00DE4A50" w:rsidRDefault="005724F0" w:rsidP="00741F3E">
            <w:pPr>
              <w:pStyle w:val="Prrafodelista"/>
              <w:widowControl w:val="0"/>
              <w:numPr>
                <w:ilvl w:val="0"/>
                <w:numId w:val="6"/>
              </w:numPr>
              <w:autoSpaceDE w:val="0"/>
              <w:autoSpaceDN w:val="0"/>
              <w:adjustRightInd w:val="0"/>
              <w:spacing w:line="360" w:lineRule="auto"/>
              <w:jc w:val="both"/>
              <w:rPr>
                <w:rFonts w:ascii="Century Gothic" w:hAnsi="Century Gothic" w:cs="Arial"/>
                <w:color w:val="0D0D0D"/>
                <w:sz w:val="22"/>
                <w:szCs w:val="22"/>
              </w:rPr>
            </w:pPr>
            <w:r w:rsidRPr="00DE4A50">
              <w:rPr>
                <w:rFonts w:ascii="Century Gothic" w:hAnsi="Century Gothic" w:cs="Arial"/>
                <w:sz w:val="22"/>
                <w:szCs w:val="22"/>
              </w:rPr>
              <w:t>INEXISTENCIA DE RESPONSABILIDAD A CARGO DE LOS DEMANDADOS POR LA FALTA DE ACREDITACIÓN DEL NEXO CAUSAL.</w:t>
            </w:r>
          </w:p>
          <w:p w14:paraId="7EA2A5ED" w14:textId="5C498E1C" w:rsidR="005724F0" w:rsidRPr="00DE4A50" w:rsidRDefault="005724F0" w:rsidP="00741F3E">
            <w:pPr>
              <w:pStyle w:val="Prrafodelista"/>
              <w:widowControl w:val="0"/>
              <w:numPr>
                <w:ilvl w:val="0"/>
                <w:numId w:val="6"/>
              </w:numPr>
              <w:autoSpaceDE w:val="0"/>
              <w:autoSpaceDN w:val="0"/>
              <w:adjustRightInd w:val="0"/>
              <w:spacing w:line="360" w:lineRule="auto"/>
              <w:jc w:val="both"/>
              <w:rPr>
                <w:rFonts w:ascii="Century Gothic" w:hAnsi="Century Gothic" w:cs="Arial"/>
                <w:color w:val="0D0D0D"/>
                <w:sz w:val="22"/>
                <w:szCs w:val="22"/>
              </w:rPr>
            </w:pPr>
            <w:r w:rsidRPr="00DE4A50">
              <w:rPr>
                <w:rFonts w:ascii="Century Gothic" w:hAnsi="Century Gothic" w:cs="Arial"/>
                <w:color w:val="0D0D0D"/>
                <w:sz w:val="22"/>
                <w:szCs w:val="22"/>
              </w:rPr>
              <w:t>REDUCCIÓN DE LA EVENTUAL INDEMNIZACIÓN COMO CONSECUENCIA DE LA INCIDENCIA DE LA CONDUCTA DE LA VICTIMA EN LA PRODUCCION DEL DAÑO EN AL MENOS EL 95%.</w:t>
            </w:r>
          </w:p>
          <w:p w14:paraId="18EF0C34" w14:textId="0A6DCAF0" w:rsidR="005724F0" w:rsidRPr="00DE4A50" w:rsidRDefault="005724F0" w:rsidP="00741F3E">
            <w:pPr>
              <w:pStyle w:val="Ttulo1"/>
              <w:numPr>
                <w:ilvl w:val="0"/>
                <w:numId w:val="6"/>
              </w:numPr>
              <w:tabs>
                <w:tab w:val="left" w:pos="0"/>
              </w:tabs>
              <w:spacing w:line="360" w:lineRule="auto"/>
              <w:jc w:val="both"/>
              <w:rPr>
                <w:rFonts w:ascii="Century Gothic" w:hAnsi="Century Gothic" w:cs="Arial"/>
                <w:b w:val="0"/>
                <w:bCs w:val="0"/>
                <w:sz w:val="22"/>
                <w:szCs w:val="22"/>
              </w:rPr>
            </w:pPr>
            <w:r w:rsidRPr="00DE4A50">
              <w:rPr>
                <w:rFonts w:ascii="Century Gothic" w:hAnsi="Century Gothic" w:cs="Arial"/>
                <w:b w:val="0"/>
                <w:bCs w:val="0"/>
                <w:sz w:val="22"/>
                <w:szCs w:val="22"/>
              </w:rPr>
              <w:t>IMPROCEDENCIA DEL RECONOCIMIENTO DEL LUCRO CESANTE</w:t>
            </w:r>
          </w:p>
          <w:p w14:paraId="2ECF43B4" w14:textId="3DD45945" w:rsidR="005724F0" w:rsidRPr="00DE4A50" w:rsidRDefault="005724F0" w:rsidP="00741F3E">
            <w:pPr>
              <w:pStyle w:val="Ttulo1"/>
              <w:numPr>
                <w:ilvl w:val="0"/>
                <w:numId w:val="6"/>
              </w:numPr>
              <w:tabs>
                <w:tab w:val="left" w:pos="0"/>
              </w:tabs>
              <w:spacing w:line="360" w:lineRule="auto"/>
              <w:jc w:val="both"/>
              <w:rPr>
                <w:rFonts w:ascii="Century Gothic" w:hAnsi="Century Gothic" w:cs="Arial"/>
                <w:b w:val="0"/>
                <w:bCs w:val="0"/>
                <w:sz w:val="22"/>
                <w:szCs w:val="22"/>
              </w:rPr>
            </w:pPr>
            <w:r w:rsidRPr="00DE4A50">
              <w:rPr>
                <w:rFonts w:ascii="Century Gothic" w:hAnsi="Century Gothic" w:cs="Arial"/>
                <w:b w:val="0"/>
                <w:bCs w:val="0"/>
                <w:sz w:val="22"/>
                <w:szCs w:val="22"/>
              </w:rPr>
              <w:t>TASACIÓN EXORBITANTE DEL DAÑO MORAL</w:t>
            </w:r>
          </w:p>
          <w:p w14:paraId="7F5FDEBB" w14:textId="77777777" w:rsidR="005724F0" w:rsidRPr="00DE4A50" w:rsidRDefault="005724F0" w:rsidP="00741F3E">
            <w:pPr>
              <w:pStyle w:val="Prrafodelista"/>
              <w:widowControl w:val="0"/>
              <w:numPr>
                <w:ilvl w:val="0"/>
                <w:numId w:val="6"/>
              </w:numPr>
              <w:autoSpaceDE w:val="0"/>
              <w:autoSpaceDN w:val="0"/>
              <w:spacing w:line="360" w:lineRule="auto"/>
              <w:contextualSpacing w:val="0"/>
              <w:jc w:val="both"/>
              <w:rPr>
                <w:rFonts w:ascii="Century Gothic" w:hAnsi="Century Gothic" w:cs="Arial"/>
                <w:sz w:val="22"/>
                <w:szCs w:val="22"/>
              </w:rPr>
            </w:pPr>
            <w:r w:rsidRPr="00DE4A50">
              <w:rPr>
                <w:rFonts w:ascii="Century Gothic" w:hAnsi="Century Gothic" w:cs="Arial"/>
                <w:sz w:val="22"/>
                <w:szCs w:val="22"/>
              </w:rPr>
              <w:t>IMPOSIBILIDAD DE CONDENAR A LA EQUIDAD SEGUROS GENERALES O.C DE MANERA SOLIDARIA.</w:t>
            </w:r>
          </w:p>
          <w:p w14:paraId="0D31C141" w14:textId="77777777" w:rsidR="005724F0" w:rsidRPr="00DE4A50" w:rsidRDefault="005724F0" w:rsidP="00741F3E">
            <w:pPr>
              <w:pStyle w:val="Prrafodelista"/>
              <w:widowControl w:val="0"/>
              <w:numPr>
                <w:ilvl w:val="0"/>
                <w:numId w:val="6"/>
              </w:numPr>
              <w:autoSpaceDE w:val="0"/>
              <w:autoSpaceDN w:val="0"/>
              <w:spacing w:line="360" w:lineRule="auto"/>
              <w:contextualSpacing w:val="0"/>
              <w:jc w:val="both"/>
              <w:rPr>
                <w:rFonts w:ascii="Century Gothic" w:hAnsi="Century Gothic" w:cs="Arial"/>
                <w:sz w:val="22"/>
                <w:szCs w:val="22"/>
              </w:rPr>
            </w:pPr>
            <w:r w:rsidRPr="00DE4A50">
              <w:rPr>
                <w:rFonts w:ascii="Century Gothic" w:hAnsi="Century Gothic" w:cs="Arial"/>
                <w:sz w:val="22"/>
                <w:szCs w:val="22"/>
              </w:rPr>
              <w:t>GENÉRICA O INNOMINADA</w:t>
            </w:r>
          </w:p>
          <w:p w14:paraId="2825AC6A" w14:textId="77777777" w:rsidR="003B7F1A" w:rsidRPr="00DE4A50" w:rsidRDefault="003B7F1A" w:rsidP="00741F3E">
            <w:pPr>
              <w:spacing w:line="360" w:lineRule="auto"/>
              <w:ind w:left="360"/>
              <w:rPr>
                <w:rFonts w:ascii="Century Gothic" w:hAnsi="Century Gothic" w:cs="Arial"/>
                <w:sz w:val="22"/>
                <w:szCs w:val="22"/>
              </w:rPr>
            </w:pPr>
          </w:p>
          <w:p w14:paraId="7E7E035D" w14:textId="6023E7B3" w:rsidR="005724F0" w:rsidRPr="00DE4A50" w:rsidRDefault="005724F0" w:rsidP="00741F3E">
            <w:pPr>
              <w:pStyle w:val="Prrafodelista"/>
              <w:spacing w:line="360" w:lineRule="auto"/>
              <w:ind w:left="0"/>
              <w:rPr>
                <w:rFonts w:ascii="Century Gothic" w:hAnsi="Century Gothic" w:cs="Arial"/>
                <w:b/>
                <w:bCs/>
                <w:sz w:val="22"/>
                <w:szCs w:val="22"/>
                <w:u w:val="single"/>
              </w:rPr>
            </w:pPr>
            <w:r w:rsidRPr="00DE4A50">
              <w:rPr>
                <w:rFonts w:ascii="Century Gothic" w:hAnsi="Century Gothic" w:cs="Arial"/>
                <w:sz w:val="22"/>
                <w:szCs w:val="22"/>
              </w:rPr>
              <w:t xml:space="preserve">B.  </w:t>
            </w:r>
            <w:r w:rsidRPr="00DE4A50">
              <w:rPr>
                <w:rFonts w:ascii="Century Gothic" w:hAnsi="Century Gothic" w:cs="Arial"/>
                <w:b/>
                <w:bCs/>
                <w:sz w:val="22"/>
                <w:szCs w:val="22"/>
                <w:u w:val="single"/>
              </w:rPr>
              <w:t>EXCEPCIONES DE FONDO FRENTE AL CONTRATO DE SEGURO</w:t>
            </w:r>
          </w:p>
          <w:p w14:paraId="32879512" w14:textId="77777777" w:rsidR="005724F0" w:rsidRPr="00DE4A50" w:rsidRDefault="005724F0" w:rsidP="00741F3E">
            <w:pPr>
              <w:pStyle w:val="paragraph"/>
              <w:numPr>
                <w:ilvl w:val="0"/>
                <w:numId w:val="8"/>
              </w:numPr>
              <w:spacing w:before="0" w:beforeAutospacing="0" w:after="0" w:afterAutospacing="0" w:line="360" w:lineRule="auto"/>
              <w:jc w:val="both"/>
              <w:textAlignment w:val="baseline"/>
              <w:rPr>
                <w:rStyle w:val="normaltextrun"/>
                <w:rFonts w:ascii="Century Gothic" w:eastAsia="Arial MT" w:hAnsi="Century Gothic" w:cs="Arial"/>
                <w:sz w:val="22"/>
                <w:szCs w:val="22"/>
                <w:lang w:val="es-ES"/>
              </w:rPr>
            </w:pPr>
            <w:r w:rsidRPr="00DE4A50">
              <w:rPr>
                <w:rStyle w:val="normaltextrun"/>
                <w:rFonts w:ascii="Century Gothic" w:hAnsi="Century Gothic" w:cs="Arial"/>
                <w:sz w:val="22"/>
                <w:szCs w:val="22"/>
                <w:lang w:val="es-ES"/>
              </w:rPr>
              <w:t>INEXISTENCIA DE OBLIGACIÓN DE INDEMNIZAR A CARGO DE</w:t>
            </w:r>
            <w:r w:rsidRPr="00DE4A50">
              <w:rPr>
                <w:rFonts w:ascii="Century Gothic" w:hAnsi="Century Gothic" w:cs="Arial"/>
                <w:sz w:val="22"/>
                <w:szCs w:val="22"/>
              </w:rPr>
              <w:t xml:space="preserve"> LA EQUIDAD SEGUROS GENERALES O.C </w:t>
            </w:r>
            <w:r w:rsidRPr="00DE4A50">
              <w:rPr>
                <w:rStyle w:val="normaltextrun"/>
                <w:rFonts w:ascii="Century Gothic" w:hAnsi="Century Gothic" w:cs="Arial"/>
                <w:sz w:val="22"/>
                <w:szCs w:val="22"/>
                <w:lang w:val="es-ES"/>
              </w:rPr>
              <w:t>POR INCUMPLIMIENTO DE LAS CARGAS DEL ARTÍCULO 1077 DEL CÓDIGO DE COMERCIO.</w:t>
            </w:r>
          </w:p>
          <w:p w14:paraId="36F1FACA" w14:textId="77777777" w:rsidR="005724F0" w:rsidRPr="00DE4A50" w:rsidRDefault="005724F0" w:rsidP="00741F3E">
            <w:pPr>
              <w:pStyle w:val="Prrafodelista"/>
              <w:widowControl w:val="0"/>
              <w:numPr>
                <w:ilvl w:val="0"/>
                <w:numId w:val="8"/>
              </w:numPr>
              <w:autoSpaceDE w:val="0"/>
              <w:autoSpaceDN w:val="0"/>
              <w:spacing w:line="360" w:lineRule="auto"/>
              <w:contextualSpacing w:val="0"/>
              <w:jc w:val="both"/>
              <w:rPr>
                <w:rFonts w:ascii="Century Gothic" w:hAnsi="Century Gothic" w:cs="Arial"/>
                <w:iCs/>
                <w:sz w:val="22"/>
                <w:szCs w:val="22"/>
              </w:rPr>
            </w:pPr>
            <w:r w:rsidRPr="00DE4A50">
              <w:rPr>
                <w:rFonts w:ascii="Century Gothic" w:hAnsi="Century Gothic" w:cs="Arial"/>
                <w:sz w:val="22"/>
                <w:szCs w:val="22"/>
              </w:rPr>
              <w:t xml:space="preserve">RIESGOS EXPRESAMENTE EXCLUIDOS EN LA </w:t>
            </w:r>
            <w:r w:rsidRPr="00DE4A50">
              <w:rPr>
                <w:rFonts w:ascii="Century Gothic" w:eastAsia="Times New Roman" w:hAnsi="Century Gothic" w:cs="Arial"/>
                <w:color w:val="000000"/>
                <w:sz w:val="22"/>
                <w:szCs w:val="22"/>
                <w:lang w:eastAsia="es-CO"/>
              </w:rPr>
              <w:t>PÓLIZA</w:t>
            </w:r>
            <w:r w:rsidRPr="00DE4A50">
              <w:rPr>
                <w:rFonts w:ascii="Century Gothic" w:hAnsi="Century Gothic" w:cs="Arial"/>
                <w:sz w:val="22"/>
                <w:szCs w:val="22"/>
              </w:rPr>
              <w:t xml:space="preserve"> DE SEGUROS PARA UTILITARIOS No. AA004448</w:t>
            </w:r>
          </w:p>
          <w:p w14:paraId="7B6A6E24" w14:textId="77777777" w:rsidR="005724F0" w:rsidRPr="00DE4A50" w:rsidRDefault="005724F0" w:rsidP="00741F3E">
            <w:pPr>
              <w:pStyle w:val="paragraph"/>
              <w:numPr>
                <w:ilvl w:val="0"/>
                <w:numId w:val="8"/>
              </w:numPr>
              <w:spacing w:before="0" w:beforeAutospacing="0" w:after="0" w:afterAutospacing="0" w:line="360" w:lineRule="auto"/>
              <w:jc w:val="both"/>
              <w:textAlignment w:val="baseline"/>
              <w:rPr>
                <w:rStyle w:val="normaltextrun"/>
                <w:rFonts w:ascii="Century Gothic" w:eastAsia="Arial MT" w:hAnsi="Century Gothic" w:cs="Arial"/>
                <w:sz w:val="22"/>
                <w:szCs w:val="22"/>
                <w:lang w:val="es-ES"/>
              </w:rPr>
            </w:pPr>
            <w:r w:rsidRPr="00DE4A50">
              <w:rPr>
                <w:rStyle w:val="normaltextrun"/>
                <w:rFonts w:ascii="Century Gothic" w:eastAsia="Arial MT" w:hAnsi="Century Gothic" w:cs="Arial"/>
                <w:sz w:val="22"/>
                <w:szCs w:val="22"/>
                <w:lang w:val="es-ES"/>
              </w:rPr>
              <w:t xml:space="preserve">CARÁCTER MERAMENTE INDEMNIZATORIO DE LOS CONTRATOS DE SEGURO. </w:t>
            </w:r>
          </w:p>
          <w:p w14:paraId="2C2C0406" w14:textId="77777777" w:rsidR="005724F0" w:rsidRPr="00DE4A50" w:rsidRDefault="005724F0" w:rsidP="00741F3E">
            <w:pPr>
              <w:pStyle w:val="Prrafodelista"/>
              <w:numPr>
                <w:ilvl w:val="0"/>
                <w:numId w:val="8"/>
              </w:numPr>
              <w:spacing w:line="360" w:lineRule="auto"/>
              <w:jc w:val="both"/>
              <w:rPr>
                <w:rFonts w:ascii="Century Gothic" w:hAnsi="Century Gothic" w:cs="Arial"/>
                <w:sz w:val="22"/>
                <w:szCs w:val="22"/>
              </w:rPr>
            </w:pPr>
            <w:r w:rsidRPr="00DE4A50">
              <w:rPr>
                <w:rFonts w:ascii="Century Gothic" w:hAnsi="Century Gothic" w:cs="Arial"/>
                <w:sz w:val="22"/>
                <w:szCs w:val="22"/>
              </w:rPr>
              <w:t>SUJECIÓN A LAS CONDICIONES PARTICULARES Y GENERALES DEL CONTRATO DE SEGURO EN LA QUE SE IDENTIFICA LA PÓLIZA, EL CLAUSULADO Y LOS AMPAROS</w:t>
            </w:r>
          </w:p>
          <w:p w14:paraId="2508FFF0" w14:textId="77777777" w:rsidR="005724F0" w:rsidRPr="00DE4A50" w:rsidRDefault="005724F0" w:rsidP="00741F3E">
            <w:pPr>
              <w:pStyle w:val="paragraph"/>
              <w:numPr>
                <w:ilvl w:val="0"/>
                <w:numId w:val="8"/>
              </w:numPr>
              <w:spacing w:before="0" w:beforeAutospacing="0" w:after="0" w:afterAutospacing="0" w:line="360" w:lineRule="auto"/>
              <w:jc w:val="both"/>
              <w:textAlignment w:val="baseline"/>
              <w:rPr>
                <w:rStyle w:val="eop"/>
                <w:rFonts w:ascii="Century Gothic" w:eastAsia="Arial MT" w:hAnsi="Century Gothic" w:cs="Arial"/>
                <w:sz w:val="22"/>
                <w:szCs w:val="22"/>
                <w:lang w:val="es-ES"/>
              </w:rPr>
            </w:pPr>
            <w:r w:rsidRPr="00DE4A50">
              <w:rPr>
                <w:rStyle w:val="normaltextrun"/>
                <w:rFonts w:ascii="Century Gothic" w:hAnsi="Century Gothic" w:cs="Arial"/>
                <w:sz w:val="22"/>
                <w:szCs w:val="22"/>
                <w:lang w:val="es-ES"/>
              </w:rPr>
              <w:t>EN CUALQUIER CASO, DE NINGUNA FORMA SE PODRÁ EXCEDER EL LÍMITE DEL VALOR ASEGURADO.</w:t>
            </w:r>
          </w:p>
          <w:p w14:paraId="5C7C95B1" w14:textId="69745EA5" w:rsidR="005724F0" w:rsidRPr="00DE4A50" w:rsidRDefault="005724F0" w:rsidP="00741F3E">
            <w:pPr>
              <w:pStyle w:val="paragraph"/>
              <w:numPr>
                <w:ilvl w:val="0"/>
                <w:numId w:val="8"/>
              </w:numPr>
              <w:spacing w:before="0" w:beforeAutospacing="0" w:after="0" w:afterAutospacing="0" w:line="360" w:lineRule="auto"/>
              <w:jc w:val="both"/>
              <w:textAlignment w:val="baseline"/>
              <w:rPr>
                <w:rFonts w:ascii="Century Gothic" w:eastAsia="Arial MT" w:hAnsi="Century Gothic" w:cs="Arial"/>
                <w:sz w:val="22"/>
                <w:szCs w:val="22"/>
                <w:lang w:val="es-ES"/>
              </w:rPr>
            </w:pPr>
            <w:r w:rsidRPr="00DE4A50">
              <w:rPr>
                <w:rStyle w:val="normaltextrun"/>
                <w:rFonts w:ascii="Century Gothic" w:hAnsi="Century Gothic" w:cs="Arial"/>
                <w:color w:val="000000"/>
                <w:sz w:val="22"/>
                <w:szCs w:val="22"/>
                <w:lang w:val="es-ES"/>
              </w:rPr>
              <w:t>DISPONIBILIDAD DEL VALOR ASEGURADO</w:t>
            </w:r>
            <w:r w:rsidRPr="00DE4A50">
              <w:rPr>
                <w:rStyle w:val="eop"/>
                <w:rFonts w:ascii="Century Gothic" w:hAnsi="Century Gothic" w:cs="Arial"/>
                <w:color w:val="000000"/>
                <w:sz w:val="22"/>
                <w:szCs w:val="22"/>
              </w:rPr>
              <w:t> </w:t>
            </w:r>
          </w:p>
          <w:p w14:paraId="3C302E26" w14:textId="77777777" w:rsidR="005724F0" w:rsidRPr="00DE4A50" w:rsidRDefault="005724F0" w:rsidP="00741F3E">
            <w:pPr>
              <w:pStyle w:val="Prrafodelista"/>
              <w:numPr>
                <w:ilvl w:val="0"/>
                <w:numId w:val="8"/>
              </w:numPr>
              <w:spacing w:before="83" w:line="360" w:lineRule="auto"/>
              <w:jc w:val="both"/>
              <w:rPr>
                <w:rFonts w:ascii="Century Gothic" w:eastAsia="Times New Roman" w:hAnsi="Century Gothic" w:cs="Arial"/>
                <w:sz w:val="22"/>
                <w:szCs w:val="22"/>
                <w:shd w:val="clear" w:color="auto" w:fill="FFFFFF"/>
              </w:rPr>
            </w:pPr>
            <w:r w:rsidRPr="00DE4A50">
              <w:rPr>
                <w:rFonts w:ascii="Century Gothic" w:eastAsia="Times New Roman" w:hAnsi="Century Gothic" w:cs="Arial"/>
                <w:sz w:val="22"/>
                <w:szCs w:val="22"/>
                <w:shd w:val="clear" w:color="auto" w:fill="FFFFFF"/>
              </w:rPr>
              <w:t xml:space="preserve">PRESCRIPCIÓN DE LA ACCIÓN DERIVADA DEL CONTRATO DE SEGURO. </w:t>
            </w:r>
          </w:p>
          <w:p w14:paraId="50CE3DFD" w14:textId="04B3773C" w:rsidR="005724F0" w:rsidRPr="00DE4A50" w:rsidRDefault="005724F0" w:rsidP="00741F3E">
            <w:pPr>
              <w:pStyle w:val="paragraph"/>
              <w:numPr>
                <w:ilvl w:val="0"/>
                <w:numId w:val="10"/>
              </w:numPr>
              <w:spacing w:before="0" w:beforeAutospacing="0" w:after="0" w:afterAutospacing="0" w:line="360" w:lineRule="auto"/>
              <w:textAlignment w:val="baseline"/>
              <w:rPr>
                <w:rFonts w:ascii="Century Gothic" w:hAnsi="Century Gothic" w:cs="Arial"/>
                <w:sz w:val="22"/>
                <w:szCs w:val="22"/>
              </w:rPr>
            </w:pPr>
            <w:r w:rsidRPr="00DE4A50">
              <w:rPr>
                <w:rStyle w:val="normaltextrun"/>
                <w:rFonts w:ascii="Century Gothic" w:hAnsi="Century Gothic" w:cs="Arial"/>
                <w:sz w:val="22"/>
                <w:szCs w:val="22"/>
                <w:lang w:val="es-ES"/>
              </w:rPr>
              <w:t>GENÉRICA O INNOMINADA</w:t>
            </w:r>
            <w:r w:rsidRPr="00DE4A50">
              <w:rPr>
                <w:rStyle w:val="eop"/>
                <w:rFonts w:ascii="Century Gothic" w:hAnsi="Century Gothic" w:cs="Arial"/>
                <w:sz w:val="22"/>
                <w:szCs w:val="22"/>
              </w:rPr>
              <w:t> </w:t>
            </w:r>
          </w:p>
          <w:p w14:paraId="52CE2D52" w14:textId="4353F8FA" w:rsidR="005724F0" w:rsidRPr="00DE4A50" w:rsidRDefault="005724F0" w:rsidP="00741F3E">
            <w:pPr>
              <w:spacing w:line="360" w:lineRule="auto"/>
              <w:ind w:left="360"/>
              <w:rPr>
                <w:rFonts w:ascii="Century Gothic" w:hAnsi="Century Gothic" w:cs="Arial"/>
                <w:sz w:val="22"/>
                <w:szCs w:val="22"/>
              </w:rPr>
            </w:pPr>
          </w:p>
        </w:tc>
      </w:tr>
    </w:tbl>
    <w:p w14:paraId="0AA122B4" w14:textId="77777777" w:rsidR="00F67EF8" w:rsidRPr="00DE4A50" w:rsidRDefault="00F67EF8" w:rsidP="00741F3E">
      <w:pPr>
        <w:spacing w:line="360" w:lineRule="auto"/>
        <w:jc w:val="both"/>
        <w:rPr>
          <w:rFonts w:ascii="Century Gothic" w:hAnsi="Century Gothic" w:cs="Arial"/>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DE4A50" w14:paraId="4B531C7D" w14:textId="77777777" w:rsidTr="40F7E47C">
        <w:trPr>
          <w:trHeight w:val="454"/>
        </w:trPr>
        <w:tc>
          <w:tcPr>
            <w:tcW w:w="3266" w:type="dxa"/>
            <w:vAlign w:val="center"/>
            <w:hideMark/>
          </w:tcPr>
          <w:p w14:paraId="3F99B56F" w14:textId="1315CCDB" w:rsidR="00EE687D" w:rsidRPr="00DE4A50" w:rsidRDefault="006F0CAA"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Siniestro</w:t>
            </w:r>
          </w:p>
        </w:tc>
        <w:tc>
          <w:tcPr>
            <w:tcW w:w="6941" w:type="dxa"/>
            <w:vAlign w:val="center"/>
            <w:hideMark/>
          </w:tcPr>
          <w:p w14:paraId="06D242A3" w14:textId="3CA6B985" w:rsidR="00EE687D" w:rsidRPr="00DE4A50" w:rsidRDefault="00741F3E"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rPr>
              <w:t>SP119751</w:t>
            </w:r>
          </w:p>
        </w:tc>
      </w:tr>
      <w:tr w:rsidR="006F0CAA" w:rsidRPr="00DE4A50" w14:paraId="7A21B905" w14:textId="77777777" w:rsidTr="40F7E47C">
        <w:trPr>
          <w:trHeight w:val="454"/>
        </w:trPr>
        <w:tc>
          <w:tcPr>
            <w:tcW w:w="3266" w:type="dxa"/>
            <w:vAlign w:val="center"/>
          </w:tcPr>
          <w:p w14:paraId="533380A9" w14:textId="7103E52D" w:rsidR="006F0CAA" w:rsidRPr="00DE4A50" w:rsidRDefault="006F0CAA" w:rsidP="00741F3E">
            <w:pPr>
              <w:spacing w:line="360" w:lineRule="auto"/>
              <w:jc w:val="both"/>
              <w:textAlignment w:val="baseline"/>
              <w:rPr>
                <w:rFonts w:ascii="Century Gothic" w:hAnsi="Century Gothic" w:cs="Arial"/>
                <w:b/>
                <w:bCs/>
                <w:color w:val="000000"/>
                <w:sz w:val="22"/>
                <w:szCs w:val="22"/>
                <w:shd w:val="clear" w:color="auto" w:fill="FFFFFF"/>
                <w:lang w:val="es-ES" w:eastAsia="es-CO"/>
              </w:rPr>
            </w:pPr>
            <w:r w:rsidRPr="00DE4A50">
              <w:rPr>
                <w:rFonts w:ascii="Century Gothic" w:hAnsi="Century Gothic" w:cs="Arial"/>
                <w:b/>
                <w:bCs/>
                <w:color w:val="000000"/>
                <w:sz w:val="22"/>
                <w:szCs w:val="22"/>
                <w:shd w:val="clear" w:color="auto" w:fill="FFFFFF"/>
                <w:lang w:val="es-ES" w:eastAsia="es-CO"/>
              </w:rPr>
              <w:t xml:space="preserve">Caso </w:t>
            </w:r>
            <w:proofErr w:type="spellStart"/>
            <w:r w:rsidRPr="00DE4A50">
              <w:rPr>
                <w:rFonts w:ascii="Century Gothic" w:hAnsi="Century Gothic" w:cs="Arial"/>
                <w:b/>
                <w:bCs/>
                <w:color w:val="000000"/>
                <w:sz w:val="22"/>
                <w:szCs w:val="22"/>
                <w:shd w:val="clear" w:color="auto" w:fill="FFFFFF"/>
                <w:lang w:val="es-ES" w:eastAsia="es-CO"/>
              </w:rPr>
              <w:t>Onbase</w:t>
            </w:r>
            <w:proofErr w:type="spellEnd"/>
          </w:p>
        </w:tc>
        <w:tc>
          <w:tcPr>
            <w:tcW w:w="6941" w:type="dxa"/>
            <w:vAlign w:val="center"/>
          </w:tcPr>
          <w:p w14:paraId="79DBA3A4" w14:textId="580D059F" w:rsidR="006F0CAA" w:rsidRPr="00DE4A50" w:rsidRDefault="00741F3E"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rPr>
              <w:t>135066</w:t>
            </w:r>
          </w:p>
        </w:tc>
      </w:tr>
      <w:tr w:rsidR="00EE687D" w:rsidRPr="00DE4A50" w14:paraId="00877764" w14:textId="77777777" w:rsidTr="40F7E47C">
        <w:trPr>
          <w:trHeight w:val="454"/>
        </w:trPr>
        <w:tc>
          <w:tcPr>
            <w:tcW w:w="3266" w:type="dxa"/>
            <w:vAlign w:val="center"/>
            <w:hideMark/>
          </w:tcPr>
          <w:p w14:paraId="749E810E" w14:textId="77777777" w:rsidR="00EE687D" w:rsidRPr="00DE4A50" w:rsidRDefault="00EE687D"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Póliza</w:t>
            </w:r>
          </w:p>
        </w:tc>
        <w:tc>
          <w:tcPr>
            <w:tcW w:w="6941" w:type="dxa"/>
            <w:vAlign w:val="center"/>
          </w:tcPr>
          <w:p w14:paraId="7FC9EC9E" w14:textId="6DAD7767" w:rsidR="00EE687D" w:rsidRPr="00DE4A50" w:rsidRDefault="00741F3E"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rPr>
              <w:t>AA004448</w:t>
            </w:r>
          </w:p>
        </w:tc>
      </w:tr>
      <w:tr w:rsidR="00EE687D" w:rsidRPr="00DE4A50" w14:paraId="3260B646" w14:textId="77777777" w:rsidTr="40F7E47C">
        <w:trPr>
          <w:trHeight w:val="454"/>
        </w:trPr>
        <w:tc>
          <w:tcPr>
            <w:tcW w:w="3266" w:type="dxa"/>
            <w:vAlign w:val="center"/>
            <w:hideMark/>
          </w:tcPr>
          <w:p w14:paraId="67FBF2E5" w14:textId="77777777" w:rsidR="00EE687D" w:rsidRPr="00DE4A50" w:rsidRDefault="00EE687D"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Certificado</w:t>
            </w:r>
          </w:p>
        </w:tc>
        <w:tc>
          <w:tcPr>
            <w:tcW w:w="6941" w:type="dxa"/>
            <w:vAlign w:val="center"/>
          </w:tcPr>
          <w:p w14:paraId="47A2248B" w14:textId="70522938" w:rsidR="00EE687D" w:rsidRPr="00DE4A50" w:rsidRDefault="00741F3E"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rPr>
              <w:t>AA019975</w:t>
            </w:r>
          </w:p>
        </w:tc>
      </w:tr>
      <w:tr w:rsidR="00EE687D" w:rsidRPr="00DE4A50" w14:paraId="0BC7C6A3" w14:textId="77777777" w:rsidTr="40F7E47C">
        <w:trPr>
          <w:trHeight w:val="454"/>
        </w:trPr>
        <w:tc>
          <w:tcPr>
            <w:tcW w:w="3266" w:type="dxa"/>
            <w:vAlign w:val="center"/>
            <w:hideMark/>
          </w:tcPr>
          <w:p w14:paraId="433D63BC" w14:textId="77777777" w:rsidR="00EE687D" w:rsidRPr="00DE4A50" w:rsidRDefault="00EE687D"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Orden</w:t>
            </w:r>
          </w:p>
        </w:tc>
        <w:tc>
          <w:tcPr>
            <w:tcW w:w="6941" w:type="dxa"/>
            <w:vAlign w:val="center"/>
          </w:tcPr>
          <w:p w14:paraId="25280801" w14:textId="28B17206" w:rsidR="00EE687D" w:rsidRPr="00DE4A50" w:rsidRDefault="00741F3E"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lang w:eastAsia="es-CO"/>
              </w:rPr>
              <w:t>1</w:t>
            </w:r>
          </w:p>
        </w:tc>
      </w:tr>
      <w:tr w:rsidR="00B90E05" w:rsidRPr="00DE4A50" w14:paraId="3ACEF28A" w14:textId="77777777" w:rsidTr="40F7E47C">
        <w:trPr>
          <w:trHeight w:val="454"/>
        </w:trPr>
        <w:tc>
          <w:tcPr>
            <w:tcW w:w="3266" w:type="dxa"/>
            <w:vAlign w:val="center"/>
          </w:tcPr>
          <w:p w14:paraId="0881BFDC" w14:textId="40C44F4A" w:rsidR="00B90E05" w:rsidRPr="00DE4A50" w:rsidRDefault="00B90E05" w:rsidP="00741F3E">
            <w:pPr>
              <w:spacing w:line="360" w:lineRule="auto"/>
              <w:jc w:val="both"/>
              <w:textAlignment w:val="baseline"/>
              <w:rPr>
                <w:rFonts w:ascii="Century Gothic" w:hAnsi="Century Gothic" w:cs="Arial"/>
                <w:b/>
                <w:bCs/>
                <w:color w:val="000000"/>
                <w:sz w:val="22"/>
                <w:szCs w:val="22"/>
                <w:shd w:val="clear" w:color="auto" w:fill="FFFFFF"/>
                <w:lang w:eastAsia="es-CO"/>
              </w:rPr>
            </w:pPr>
            <w:r w:rsidRPr="00DE4A50">
              <w:rPr>
                <w:rFonts w:ascii="Century Gothic" w:hAnsi="Century Gothic" w:cs="Arial"/>
                <w:b/>
                <w:bCs/>
                <w:color w:val="000000"/>
                <w:sz w:val="22"/>
                <w:szCs w:val="22"/>
                <w:shd w:val="clear" w:color="auto" w:fill="FFFFFF"/>
                <w:lang w:eastAsia="es-CO"/>
              </w:rPr>
              <w:t>Sucursal</w:t>
            </w:r>
          </w:p>
        </w:tc>
        <w:tc>
          <w:tcPr>
            <w:tcW w:w="6941" w:type="dxa"/>
            <w:vAlign w:val="center"/>
          </w:tcPr>
          <w:p w14:paraId="74AA0D59" w14:textId="1E08A1FB" w:rsidR="00B90E05" w:rsidRPr="00DE4A50" w:rsidRDefault="00DE4A50" w:rsidP="00741F3E">
            <w:pPr>
              <w:spacing w:line="360" w:lineRule="auto"/>
              <w:jc w:val="both"/>
              <w:rPr>
                <w:rFonts w:ascii="Century Gothic" w:hAnsi="Century Gothic" w:cs="Arial"/>
                <w:sz w:val="22"/>
                <w:szCs w:val="22"/>
                <w:lang w:eastAsia="es-CO"/>
              </w:rPr>
            </w:pPr>
            <w:r>
              <w:rPr>
                <w:rFonts w:ascii="Century Gothic" w:hAnsi="Century Gothic" w:cs="Arial"/>
                <w:sz w:val="22"/>
                <w:szCs w:val="22"/>
                <w:lang w:eastAsia="es-CO"/>
              </w:rPr>
              <w:t>1</w:t>
            </w:r>
          </w:p>
        </w:tc>
      </w:tr>
      <w:tr w:rsidR="00EE687D" w:rsidRPr="00DE4A50" w14:paraId="4BCD09C7" w14:textId="77777777" w:rsidTr="40F7E47C">
        <w:trPr>
          <w:trHeight w:val="454"/>
        </w:trPr>
        <w:tc>
          <w:tcPr>
            <w:tcW w:w="3266" w:type="dxa"/>
            <w:vAlign w:val="center"/>
            <w:hideMark/>
          </w:tcPr>
          <w:p w14:paraId="0A1C1E81" w14:textId="17519C67" w:rsidR="00EE687D" w:rsidRPr="00DE4A50" w:rsidRDefault="001C44B4"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Placa del vehículo</w:t>
            </w:r>
          </w:p>
        </w:tc>
        <w:tc>
          <w:tcPr>
            <w:tcW w:w="6941" w:type="dxa"/>
            <w:vAlign w:val="center"/>
          </w:tcPr>
          <w:p w14:paraId="73CAF2AF" w14:textId="0E9DA1D7" w:rsidR="00EE687D" w:rsidRPr="00DE4A50" w:rsidRDefault="00741F3E" w:rsidP="00741F3E">
            <w:pPr>
              <w:spacing w:line="360" w:lineRule="auto"/>
              <w:jc w:val="both"/>
              <w:rPr>
                <w:rFonts w:ascii="Century Gothic" w:hAnsi="Century Gothic" w:cs="Arial"/>
                <w:b/>
                <w:bCs/>
                <w:sz w:val="22"/>
                <w:szCs w:val="22"/>
                <w:lang w:eastAsia="es-CO"/>
              </w:rPr>
            </w:pPr>
            <w:r w:rsidRPr="00DE4A50">
              <w:rPr>
                <w:rStyle w:val="Textoennegrita"/>
                <w:rFonts w:ascii="Century Gothic" w:hAnsi="Century Gothic" w:cs="Arial"/>
                <w:b w:val="0"/>
                <w:bCs w:val="0"/>
                <w:sz w:val="22"/>
                <w:szCs w:val="22"/>
              </w:rPr>
              <w:t>DTV-201</w:t>
            </w:r>
          </w:p>
        </w:tc>
      </w:tr>
      <w:tr w:rsidR="001C44B4" w:rsidRPr="00DE4A50" w14:paraId="0BA9ECEE" w14:textId="77777777" w:rsidTr="40F7E47C">
        <w:trPr>
          <w:trHeight w:val="454"/>
        </w:trPr>
        <w:tc>
          <w:tcPr>
            <w:tcW w:w="3266" w:type="dxa"/>
            <w:vAlign w:val="center"/>
          </w:tcPr>
          <w:p w14:paraId="7B70AF59" w14:textId="749D67BE" w:rsidR="001C44B4" w:rsidRPr="00DE4A50" w:rsidRDefault="001C44B4" w:rsidP="00741F3E">
            <w:pPr>
              <w:spacing w:line="360" w:lineRule="auto"/>
              <w:jc w:val="both"/>
              <w:textAlignment w:val="baseline"/>
              <w:rPr>
                <w:rFonts w:ascii="Century Gothic" w:hAnsi="Century Gothic" w:cs="Arial"/>
                <w:b/>
                <w:bCs/>
                <w:color w:val="000000"/>
                <w:sz w:val="22"/>
                <w:szCs w:val="22"/>
                <w:shd w:val="clear" w:color="auto" w:fill="FFFFFF"/>
                <w:lang w:eastAsia="es-CO"/>
              </w:rPr>
            </w:pPr>
            <w:r w:rsidRPr="00DE4A50">
              <w:rPr>
                <w:rFonts w:ascii="Century Gothic" w:hAnsi="Century Gothic" w:cs="Arial"/>
                <w:b/>
                <w:bCs/>
                <w:color w:val="000000"/>
                <w:sz w:val="22"/>
                <w:szCs w:val="22"/>
                <w:shd w:val="clear" w:color="auto" w:fill="FFFFFF"/>
                <w:lang w:eastAsia="es-CO"/>
              </w:rPr>
              <w:t>Fecha del siniestro</w:t>
            </w:r>
          </w:p>
        </w:tc>
        <w:tc>
          <w:tcPr>
            <w:tcW w:w="6941" w:type="dxa"/>
            <w:vAlign w:val="center"/>
          </w:tcPr>
          <w:p w14:paraId="2D03F3BA" w14:textId="2DD73D96" w:rsidR="001C44B4" w:rsidRPr="00DE4A50" w:rsidRDefault="00741F3E"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lang w:eastAsia="es-CO"/>
              </w:rPr>
              <w:t>15 de abril de 2022</w:t>
            </w:r>
          </w:p>
        </w:tc>
      </w:tr>
      <w:tr w:rsidR="001C44B4" w:rsidRPr="00DE4A50" w14:paraId="05412033" w14:textId="77777777" w:rsidTr="40F7E47C">
        <w:trPr>
          <w:trHeight w:val="454"/>
        </w:trPr>
        <w:tc>
          <w:tcPr>
            <w:tcW w:w="3266" w:type="dxa"/>
            <w:vAlign w:val="center"/>
          </w:tcPr>
          <w:p w14:paraId="43E688BB" w14:textId="54B02C3E" w:rsidR="001C44B4" w:rsidRPr="00DE4A50" w:rsidRDefault="001C44B4" w:rsidP="00741F3E">
            <w:pPr>
              <w:spacing w:line="360" w:lineRule="auto"/>
              <w:jc w:val="both"/>
              <w:textAlignment w:val="baseline"/>
              <w:rPr>
                <w:rFonts w:ascii="Century Gothic" w:hAnsi="Century Gothic" w:cs="Arial"/>
                <w:b/>
                <w:bCs/>
                <w:color w:val="000000"/>
                <w:sz w:val="22"/>
                <w:szCs w:val="22"/>
                <w:shd w:val="clear" w:color="auto" w:fill="FFFFFF"/>
                <w:lang w:eastAsia="es-CO"/>
              </w:rPr>
            </w:pPr>
            <w:r w:rsidRPr="00DE4A50">
              <w:rPr>
                <w:rFonts w:ascii="Century Gothic" w:hAnsi="Century Gothic" w:cs="Arial"/>
                <w:b/>
                <w:bCs/>
                <w:color w:val="000000"/>
                <w:sz w:val="22"/>
                <w:szCs w:val="22"/>
                <w:shd w:val="clear" w:color="auto" w:fill="FFFFFF"/>
                <w:lang w:eastAsia="es-CO"/>
              </w:rPr>
              <w:t>Fecha del aviso</w:t>
            </w:r>
          </w:p>
        </w:tc>
        <w:tc>
          <w:tcPr>
            <w:tcW w:w="6941" w:type="dxa"/>
            <w:vAlign w:val="center"/>
          </w:tcPr>
          <w:p w14:paraId="7E184CA4" w14:textId="1B8338C3" w:rsidR="001C44B4" w:rsidRPr="00DE4A50" w:rsidRDefault="00BB2757"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lang w:eastAsia="es-CO"/>
              </w:rPr>
              <w:t>21 de abril de 2022</w:t>
            </w:r>
          </w:p>
        </w:tc>
      </w:tr>
      <w:tr w:rsidR="001C44B4" w:rsidRPr="00DE4A50" w14:paraId="6DB6B020" w14:textId="77777777" w:rsidTr="40F7E47C">
        <w:trPr>
          <w:trHeight w:val="454"/>
        </w:trPr>
        <w:tc>
          <w:tcPr>
            <w:tcW w:w="3266" w:type="dxa"/>
            <w:vAlign w:val="center"/>
          </w:tcPr>
          <w:p w14:paraId="13FCE7D8" w14:textId="6EA7D194" w:rsidR="001C44B4" w:rsidRPr="00DE4A50" w:rsidRDefault="001C44B4" w:rsidP="00741F3E">
            <w:pPr>
              <w:spacing w:line="360" w:lineRule="auto"/>
              <w:jc w:val="both"/>
              <w:textAlignment w:val="baseline"/>
              <w:rPr>
                <w:rFonts w:ascii="Century Gothic" w:hAnsi="Century Gothic" w:cs="Arial"/>
                <w:b/>
                <w:bCs/>
                <w:color w:val="000000"/>
                <w:sz w:val="22"/>
                <w:szCs w:val="22"/>
                <w:shd w:val="clear" w:color="auto" w:fill="FFFFFF"/>
                <w:lang w:eastAsia="es-CO"/>
              </w:rPr>
            </w:pPr>
            <w:r w:rsidRPr="00DE4A50">
              <w:rPr>
                <w:rFonts w:ascii="Century Gothic" w:hAnsi="Century Gothic" w:cs="Arial"/>
                <w:b/>
                <w:bCs/>
                <w:color w:val="000000"/>
                <w:sz w:val="22"/>
                <w:szCs w:val="22"/>
                <w:shd w:val="clear" w:color="auto" w:fill="FFFFFF"/>
                <w:lang w:eastAsia="es-CO"/>
              </w:rPr>
              <w:t>Colocación de reaseguro</w:t>
            </w:r>
          </w:p>
        </w:tc>
        <w:tc>
          <w:tcPr>
            <w:tcW w:w="6941" w:type="dxa"/>
            <w:vAlign w:val="center"/>
          </w:tcPr>
          <w:p w14:paraId="6857070F" w14:textId="0ACF53CC" w:rsidR="001C44B4" w:rsidRPr="00DE4A50" w:rsidRDefault="007946F6" w:rsidP="00741F3E">
            <w:pPr>
              <w:spacing w:line="360" w:lineRule="auto"/>
              <w:jc w:val="both"/>
              <w:rPr>
                <w:rFonts w:ascii="Century Gothic" w:hAnsi="Century Gothic" w:cs="Arial"/>
                <w:sz w:val="22"/>
                <w:szCs w:val="22"/>
                <w:lang w:eastAsia="es-CO"/>
              </w:rPr>
            </w:pPr>
            <w:r w:rsidRPr="00DE4A50">
              <w:rPr>
                <w:rStyle w:val="normaltextrun"/>
                <w:rFonts w:ascii="Century Gothic" w:hAnsi="Century Gothic" w:cs="Arial"/>
                <w:color w:val="000000"/>
                <w:sz w:val="22"/>
                <w:szCs w:val="22"/>
                <w:shd w:val="clear" w:color="auto" w:fill="FFFFFF"/>
              </w:rPr>
              <w:t>CUOTA PARTE</w:t>
            </w:r>
            <w:r w:rsidRPr="00DE4A50">
              <w:rPr>
                <w:rStyle w:val="eop"/>
                <w:rFonts w:ascii="Century Gothic" w:hAnsi="Century Gothic" w:cs="Arial"/>
                <w:color w:val="000000"/>
                <w:sz w:val="22"/>
                <w:szCs w:val="22"/>
                <w:shd w:val="clear" w:color="auto" w:fill="FFFFFF"/>
              </w:rPr>
              <w:t> </w:t>
            </w:r>
          </w:p>
        </w:tc>
      </w:tr>
      <w:tr w:rsidR="001C44B4" w:rsidRPr="00DE4A50" w14:paraId="2F1DA9E6" w14:textId="77777777" w:rsidTr="40F7E47C">
        <w:trPr>
          <w:trHeight w:val="454"/>
        </w:trPr>
        <w:tc>
          <w:tcPr>
            <w:tcW w:w="3266" w:type="dxa"/>
            <w:vAlign w:val="center"/>
          </w:tcPr>
          <w:p w14:paraId="3ECF2237" w14:textId="5FB6285C" w:rsidR="001C44B4" w:rsidRPr="00DE4A50" w:rsidRDefault="008B685D" w:rsidP="00741F3E">
            <w:pPr>
              <w:spacing w:line="360" w:lineRule="auto"/>
              <w:jc w:val="both"/>
              <w:textAlignment w:val="baseline"/>
              <w:rPr>
                <w:rFonts w:ascii="Century Gothic" w:hAnsi="Century Gothic" w:cs="Arial"/>
                <w:b/>
                <w:bCs/>
                <w:color w:val="000000"/>
                <w:sz w:val="22"/>
                <w:szCs w:val="22"/>
                <w:shd w:val="clear" w:color="auto" w:fill="FFFFFF"/>
                <w:lang w:eastAsia="es-CO"/>
              </w:rPr>
            </w:pPr>
            <w:r w:rsidRPr="00DE4A50">
              <w:rPr>
                <w:rFonts w:ascii="Century Gothic" w:hAnsi="Century Gothic" w:cs="Arial"/>
                <w:b/>
                <w:bCs/>
                <w:color w:val="000000"/>
                <w:sz w:val="22"/>
                <w:szCs w:val="22"/>
                <w:shd w:val="clear" w:color="auto" w:fill="FFFFFF"/>
                <w:lang w:eastAsia="es-CO"/>
              </w:rPr>
              <w:t>Tomador</w:t>
            </w:r>
          </w:p>
        </w:tc>
        <w:tc>
          <w:tcPr>
            <w:tcW w:w="6941" w:type="dxa"/>
            <w:vAlign w:val="center"/>
          </w:tcPr>
          <w:p w14:paraId="2B607964" w14:textId="0615A597" w:rsidR="001C44B4" w:rsidRPr="00DE4A50" w:rsidRDefault="000B7378"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rPr>
              <w:t>CLINICA LA VICTORIA SAS</w:t>
            </w:r>
          </w:p>
        </w:tc>
      </w:tr>
      <w:tr w:rsidR="001C44B4" w:rsidRPr="00DE4A50" w14:paraId="1165CBE1" w14:textId="77777777" w:rsidTr="40F7E47C">
        <w:trPr>
          <w:trHeight w:val="454"/>
        </w:trPr>
        <w:tc>
          <w:tcPr>
            <w:tcW w:w="3266" w:type="dxa"/>
            <w:vAlign w:val="center"/>
          </w:tcPr>
          <w:p w14:paraId="640F2169" w14:textId="4903327C" w:rsidR="001C44B4" w:rsidRPr="00DE4A50" w:rsidRDefault="008B685D"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Asegurado</w:t>
            </w:r>
          </w:p>
        </w:tc>
        <w:tc>
          <w:tcPr>
            <w:tcW w:w="6941" w:type="dxa"/>
            <w:vAlign w:val="center"/>
          </w:tcPr>
          <w:p w14:paraId="3381B0BB" w14:textId="36F61D3B" w:rsidR="001C44B4" w:rsidRPr="00DE4A50" w:rsidRDefault="000B7378"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rPr>
              <w:t>BANCO BILBAO VIZCAYA ARGENTARIA COLOMBIA SA - BBVA</w:t>
            </w:r>
          </w:p>
        </w:tc>
      </w:tr>
      <w:tr w:rsidR="001C44B4" w:rsidRPr="00DE4A50" w14:paraId="513C2A8D" w14:textId="77777777" w:rsidTr="40F7E47C">
        <w:trPr>
          <w:trHeight w:val="454"/>
        </w:trPr>
        <w:tc>
          <w:tcPr>
            <w:tcW w:w="3266" w:type="dxa"/>
            <w:vAlign w:val="center"/>
            <w:hideMark/>
          </w:tcPr>
          <w:p w14:paraId="5E1FDA28" w14:textId="16DB1B8E" w:rsidR="001C44B4" w:rsidRPr="00DE4A50" w:rsidRDefault="008B685D"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Ramo</w:t>
            </w:r>
          </w:p>
        </w:tc>
        <w:tc>
          <w:tcPr>
            <w:tcW w:w="6941" w:type="dxa"/>
            <w:vAlign w:val="center"/>
          </w:tcPr>
          <w:p w14:paraId="0701202E" w14:textId="6F888CD7" w:rsidR="001C44B4" w:rsidRPr="00DE4A50" w:rsidRDefault="00BB2757" w:rsidP="00741F3E">
            <w:pPr>
              <w:spacing w:line="360" w:lineRule="auto"/>
              <w:jc w:val="both"/>
              <w:rPr>
                <w:rFonts w:ascii="Century Gothic" w:hAnsi="Century Gothic" w:cs="Arial"/>
                <w:sz w:val="22"/>
                <w:szCs w:val="22"/>
                <w:lang w:eastAsia="es-CO"/>
              </w:rPr>
            </w:pPr>
            <w:r w:rsidRPr="00DE4A50">
              <w:rPr>
                <w:rStyle w:val="normaltextrun"/>
                <w:rFonts w:ascii="Century Gothic" w:hAnsi="Century Gothic" w:cs="Arial"/>
                <w:color w:val="000000"/>
                <w:sz w:val="22"/>
                <w:szCs w:val="22"/>
                <w:shd w:val="clear" w:color="auto" w:fill="FFFFFF"/>
              </w:rPr>
              <w:t>VEHICULOS UTILITARIOS</w:t>
            </w:r>
            <w:r w:rsidRPr="00DE4A50">
              <w:rPr>
                <w:rStyle w:val="eop"/>
                <w:rFonts w:ascii="Century Gothic" w:hAnsi="Century Gothic" w:cs="Arial"/>
                <w:color w:val="000000"/>
                <w:sz w:val="22"/>
                <w:szCs w:val="22"/>
                <w:shd w:val="clear" w:color="auto" w:fill="FFFFFF"/>
              </w:rPr>
              <w:t> </w:t>
            </w:r>
          </w:p>
        </w:tc>
      </w:tr>
      <w:tr w:rsidR="001C44B4" w:rsidRPr="00DE4A50" w14:paraId="2F8ECFA3" w14:textId="77777777" w:rsidTr="40F7E47C">
        <w:trPr>
          <w:trHeight w:val="454"/>
        </w:trPr>
        <w:tc>
          <w:tcPr>
            <w:tcW w:w="3266" w:type="dxa"/>
            <w:vAlign w:val="center"/>
            <w:hideMark/>
          </w:tcPr>
          <w:p w14:paraId="0C3932A6" w14:textId="2792643B" w:rsidR="001C44B4" w:rsidRPr="00DE4A50" w:rsidRDefault="008B685D"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Cobertura</w:t>
            </w:r>
          </w:p>
        </w:tc>
        <w:tc>
          <w:tcPr>
            <w:tcW w:w="6941" w:type="dxa"/>
            <w:vAlign w:val="center"/>
          </w:tcPr>
          <w:p w14:paraId="0958D277" w14:textId="2A0149F9" w:rsidR="001C44B4" w:rsidRPr="00DE4A50" w:rsidRDefault="000B7378"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lang w:eastAsia="es-CO"/>
              </w:rPr>
              <w:t>Responsabilidad civil extracontractual</w:t>
            </w:r>
          </w:p>
        </w:tc>
      </w:tr>
      <w:tr w:rsidR="001C44B4" w:rsidRPr="00DE4A50" w14:paraId="59B4A554" w14:textId="77777777" w:rsidTr="40F7E47C">
        <w:trPr>
          <w:trHeight w:val="454"/>
        </w:trPr>
        <w:tc>
          <w:tcPr>
            <w:tcW w:w="3266" w:type="dxa"/>
            <w:vAlign w:val="center"/>
            <w:hideMark/>
          </w:tcPr>
          <w:p w14:paraId="0412A958" w14:textId="77777777" w:rsidR="001C44B4" w:rsidRPr="00DE4A50" w:rsidRDefault="001C44B4"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Valor asegurado</w:t>
            </w:r>
          </w:p>
        </w:tc>
        <w:tc>
          <w:tcPr>
            <w:tcW w:w="6941" w:type="dxa"/>
            <w:vAlign w:val="center"/>
          </w:tcPr>
          <w:p w14:paraId="5AF73B8E" w14:textId="7DA31E27" w:rsidR="001C44B4" w:rsidRPr="00DE4A50" w:rsidRDefault="000B7378"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lang w:eastAsia="es-CO"/>
              </w:rPr>
              <w:t>$200.000.000</w:t>
            </w:r>
          </w:p>
        </w:tc>
      </w:tr>
      <w:tr w:rsidR="001129B6" w:rsidRPr="00DE4A50" w14:paraId="2F24D88E" w14:textId="77777777" w:rsidTr="40F7E47C">
        <w:trPr>
          <w:trHeight w:val="454"/>
        </w:trPr>
        <w:tc>
          <w:tcPr>
            <w:tcW w:w="3266" w:type="dxa"/>
            <w:vAlign w:val="center"/>
          </w:tcPr>
          <w:p w14:paraId="0E72F2CD" w14:textId="1A6BE851" w:rsidR="001129B6" w:rsidRPr="00DE4A50" w:rsidRDefault="001129B6" w:rsidP="00741F3E">
            <w:pPr>
              <w:spacing w:line="360" w:lineRule="auto"/>
              <w:jc w:val="both"/>
              <w:textAlignment w:val="baseline"/>
              <w:rPr>
                <w:rFonts w:ascii="Century Gothic" w:hAnsi="Century Gothic" w:cs="Arial"/>
                <w:b/>
                <w:bCs/>
                <w:color w:val="000000"/>
                <w:sz w:val="22"/>
                <w:szCs w:val="22"/>
                <w:shd w:val="clear" w:color="auto" w:fill="FFFFFF"/>
                <w:lang w:eastAsia="es-CO"/>
              </w:rPr>
            </w:pPr>
            <w:r w:rsidRPr="00DE4A50">
              <w:rPr>
                <w:rFonts w:ascii="Century Gothic" w:hAnsi="Century Gothic" w:cs="Arial"/>
                <w:b/>
                <w:bCs/>
                <w:color w:val="000000"/>
                <w:sz w:val="22"/>
                <w:szCs w:val="22"/>
                <w:shd w:val="clear" w:color="auto" w:fill="FFFFFF"/>
                <w:lang w:eastAsia="es-CO"/>
              </w:rPr>
              <w:t>Audiencia prejudicial</w:t>
            </w:r>
          </w:p>
        </w:tc>
        <w:tc>
          <w:tcPr>
            <w:tcW w:w="6941" w:type="dxa"/>
            <w:vAlign w:val="center"/>
          </w:tcPr>
          <w:p w14:paraId="6AD9587E" w14:textId="31CEADBD" w:rsidR="001129B6" w:rsidRPr="00DE4A50" w:rsidRDefault="000B7378"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lang w:eastAsia="es-CO"/>
              </w:rPr>
              <w:t>SI</w:t>
            </w:r>
          </w:p>
        </w:tc>
      </w:tr>
      <w:tr w:rsidR="001C44B4" w:rsidRPr="00DE4A50" w14:paraId="658B9E4D" w14:textId="77777777" w:rsidTr="40F7E47C">
        <w:trPr>
          <w:trHeight w:val="454"/>
        </w:trPr>
        <w:tc>
          <w:tcPr>
            <w:tcW w:w="3266" w:type="dxa"/>
            <w:vAlign w:val="center"/>
            <w:hideMark/>
          </w:tcPr>
          <w:p w14:paraId="02377331" w14:textId="79A3F98F" w:rsidR="001C44B4" w:rsidRPr="00DE4A50" w:rsidRDefault="002633C0" w:rsidP="00741F3E">
            <w:pPr>
              <w:spacing w:line="360" w:lineRule="auto"/>
              <w:jc w:val="both"/>
              <w:textAlignment w:val="baseline"/>
              <w:rPr>
                <w:rFonts w:ascii="Century Gothic" w:hAnsi="Century Gothic" w:cs="Arial"/>
                <w:sz w:val="22"/>
                <w:szCs w:val="22"/>
                <w:lang w:eastAsia="es-CO"/>
              </w:rPr>
            </w:pPr>
            <w:r w:rsidRPr="00DE4A50">
              <w:rPr>
                <w:rFonts w:ascii="Century Gothic" w:hAnsi="Century Gothic" w:cs="Arial"/>
                <w:b/>
                <w:bCs/>
                <w:color w:val="000000"/>
                <w:sz w:val="22"/>
                <w:szCs w:val="22"/>
                <w:shd w:val="clear" w:color="auto" w:fill="FFFFFF"/>
                <w:lang w:eastAsia="es-CO"/>
              </w:rPr>
              <w:t>Ofrecimiento previo</w:t>
            </w:r>
          </w:p>
        </w:tc>
        <w:tc>
          <w:tcPr>
            <w:tcW w:w="6941" w:type="dxa"/>
            <w:vAlign w:val="center"/>
          </w:tcPr>
          <w:p w14:paraId="244AD2F4" w14:textId="60EC00B4" w:rsidR="001C44B4" w:rsidRPr="00DE4A50" w:rsidRDefault="002633C0" w:rsidP="00741F3E">
            <w:pPr>
              <w:spacing w:line="360" w:lineRule="auto"/>
              <w:jc w:val="both"/>
              <w:rPr>
                <w:rFonts w:ascii="Century Gothic" w:hAnsi="Century Gothic" w:cs="Arial"/>
                <w:sz w:val="22"/>
                <w:szCs w:val="22"/>
                <w:lang w:eastAsia="es-CO"/>
              </w:rPr>
            </w:pPr>
            <w:r w:rsidRPr="00DE4A50">
              <w:rPr>
                <w:rFonts w:ascii="Century Gothic" w:hAnsi="Century Gothic" w:cs="Arial"/>
                <w:sz w:val="22"/>
                <w:szCs w:val="22"/>
                <w:lang w:eastAsia="es-CO"/>
              </w:rPr>
              <w:t xml:space="preserve"> $ </w:t>
            </w:r>
            <w:r w:rsidR="000B7378" w:rsidRPr="00DE4A50">
              <w:rPr>
                <w:rFonts w:ascii="Century Gothic" w:hAnsi="Century Gothic" w:cs="Arial"/>
                <w:sz w:val="22"/>
                <w:szCs w:val="22"/>
                <w:lang w:eastAsia="es-CO"/>
              </w:rPr>
              <w:t>0</w:t>
            </w:r>
          </w:p>
        </w:tc>
      </w:tr>
    </w:tbl>
    <w:p w14:paraId="397A1D68" w14:textId="77777777" w:rsidR="003B44CB" w:rsidRPr="00DE4A50" w:rsidRDefault="003B44CB" w:rsidP="00741F3E">
      <w:pPr>
        <w:spacing w:line="360" w:lineRule="auto"/>
        <w:rPr>
          <w:rFonts w:ascii="Century Gothic" w:hAnsi="Century Gothic" w:cs="Arial"/>
          <w:sz w:val="22"/>
          <w:szCs w:val="22"/>
        </w:rPr>
      </w:pPr>
    </w:p>
    <w:p w14:paraId="61F56879" w14:textId="77777777" w:rsidR="0095378E" w:rsidRPr="00DE4A50" w:rsidRDefault="0095378E" w:rsidP="00741F3E">
      <w:pPr>
        <w:spacing w:line="360" w:lineRule="auto"/>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DE4A50" w14:paraId="49B1F103" w14:textId="77777777" w:rsidTr="00BA1E5F">
        <w:tc>
          <w:tcPr>
            <w:tcW w:w="3687" w:type="dxa"/>
          </w:tcPr>
          <w:p w14:paraId="673B76C6" w14:textId="23992614" w:rsidR="002633C0" w:rsidRPr="00DE4A50" w:rsidRDefault="00BA1E5F" w:rsidP="00741F3E">
            <w:pPr>
              <w:spacing w:line="360" w:lineRule="auto"/>
              <w:rPr>
                <w:rFonts w:ascii="Century Gothic" w:hAnsi="Century Gothic" w:cs="Arial"/>
                <w:sz w:val="22"/>
                <w:szCs w:val="22"/>
              </w:rPr>
            </w:pPr>
            <w:r w:rsidRPr="00DE4A50">
              <w:rPr>
                <w:rFonts w:ascii="Century Gothic" w:hAnsi="Century Gothic" w:cs="Arial"/>
                <w:b/>
                <w:bCs/>
                <w:sz w:val="22"/>
                <w:szCs w:val="22"/>
              </w:rPr>
              <w:t>Calificación de la contingencia</w:t>
            </w:r>
          </w:p>
        </w:tc>
        <w:tc>
          <w:tcPr>
            <w:tcW w:w="6520" w:type="dxa"/>
          </w:tcPr>
          <w:p w14:paraId="6F4874B3" w14:textId="6D6B2D2A" w:rsidR="002633C0" w:rsidRPr="00DE4A50" w:rsidRDefault="007946F6" w:rsidP="00741F3E">
            <w:pPr>
              <w:spacing w:line="360" w:lineRule="auto"/>
              <w:rPr>
                <w:rFonts w:ascii="Century Gothic" w:hAnsi="Century Gothic" w:cs="Arial"/>
                <w:sz w:val="22"/>
                <w:szCs w:val="22"/>
              </w:rPr>
            </w:pPr>
            <w:r w:rsidRPr="00DE4A50">
              <w:rPr>
                <w:rFonts w:ascii="Century Gothic" w:hAnsi="Century Gothic" w:cs="Arial"/>
                <w:sz w:val="22"/>
                <w:szCs w:val="22"/>
              </w:rPr>
              <w:t>PROB</w:t>
            </w:r>
            <w:r w:rsidR="00331B62" w:rsidRPr="00DE4A50">
              <w:rPr>
                <w:rFonts w:ascii="Century Gothic" w:hAnsi="Century Gothic" w:cs="Arial"/>
                <w:sz w:val="22"/>
                <w:szCs w:val="22"/>
              </w:rPr>
              <w:t>ABLE</w:t>
            </w:r>
          </w:p>
        </w:tc>
      </w:tr>
      <w:tr w:rsidR="002633C0" w:rsidRPr="00DE4A50" w14:paraId="47B026EC" w14:textId="77777777" w:rsidTr="00BA1E5F">
        <w:tc>
          <w:tcPr>
            <w:tcW w:w="3687" w:type="dxa"/>
          </w:tcPr>
          <w:p w14:paraId="4A77CED7" w14:textId="00C97735" w:rsidR="002633C0" w:rsidRPr="00DE4A50" w:rsidRDefault="00BA1E5F" w:rsidP="00741F3E">
            <w:pPr>
              <w:spacing w:line="360" w:lineRule="auto"/>
              <w:rPr>
                <w:rFonts w:ascii="Century Gothic" w:hAnsi="Century Gothic" w:cs="Arial"/>
                <w:b/>
                <w:bCs/>
                <w:sz w:val="22"/>
                <w:szCs w:val="22"/>
              </w:rPr>
            </w:pPr>
            <w:r w:rsidRPr="00DE4A50">
              <w:rPr>
                <w:rFonts w:ascii="Century Gothic" w:hAnsi="Century Gothic" w:cs="Arial"/>
                <w:b/>
                <w:bCs/>
                <w:sz w:val="22"/>
                <w:szCs w:val="22"/>
              </w:rPr>
              <w:t xml:space="preserve">Reserva sugerida: </w:t>
            </w:r>
          </w:p>
        </w:tc>
        <w:tc>
          <w:tcPr>
            <w:tcW w:w="6520" w:type="dxa"/>
          </w:tcPr>
          <w:p w14:paraId="7146E445" w14:textId="6F394449" w:rsidR="002633C0" w:rsidRPr="00DE4A50" w:rsidRDefault="000B7378" w:rsidP="00741F3E">
            <w:pPr>
              <w:spacing w:line="360" w:lineRule="auto"/>
              <w:rPr>
                <w:rFonts w:ascii="Century Gothic" w:hAnsi="Century Gothic" w:cs="Arial"/>
                <w:sz w:val="22"/>
                <w:szCs w:val="22"/>
              </w:rPr>
            </w:pPr>
            <w:r w:rsidRPr="00DE4A50">
              <w:rPr>
                <w:rFonts w:ascii="Century Gothic" w:hAnsi="Century Gothic" w:cs="Arial"/>
                <w:sz w:val="22"/>
                <w:szCs w:val="22"/>
              </w:rPr>
              <w:t>$</w:t>
            </w:r>
            <w:r w:rsidR="00A66B04" w:rsidRPr="00DE4A50">
              <w:rPr>
                <w:rFonts w:ascii="Century Gothic" w:hAnsi="Century Gothic" w:cs="Arial"/>
                <w:sz w:val="22"/>
                <w:szCs w:val="22"/>
              </w:rPr>
              <w:t>160.000,000</w:t>
            </w:r>
            <w:r w:rsidR="00331B62" w:rsidRPr="00DE4A50">
              <w:rPr>
                <w:rFonts w:ascii="Century Gothic" w:hAnsi="Century Gothic" w:cs="Arial"/>
                <w:sz w:val="22"/>
                <w:szCs w:val="22"/>
              </w:rPr>
              <w:t xml:space="preserve"> (correspondiente al 80% de la liquidación objetiva de las pretensiones)</w:t>
            </w:r>
          </w:p>
        </w:tc>
      </w:tr>
      <w:tr w:rsidR="00BA1E5F" w:rsidRPr="00DE4A50" w14:paraId="22F780E0" w14:textId="77777777" w:rsidTr="008B59F4">
        <w:tc>
          <w:tcPr>
            <w:tcW w:w="10207" w:type="dxa"/>
            <w:gridSpan w:val="2"/>
            <w:shd w:val="clear" w:color="auto" w:fill="C5E0B3" w:themeFill="accent6" w:themeFillTint="66"/>
            <w:vAlign w:val="center"/>
          </w:tcPr>
          <w:p w14:paraId="2E984764" w14:textId="51214522" w:rsidR="00BA1E5F" w:rsidRPr="00DE4A50" w:rsidRDefault="00BA1E5F" w:rsidP="00741F3E">
            <w:pPr>
              <w:spacing w:line="360" w:lineRule="auto"/>
              <w:jc w:val="center"/>
              <w:rPr>
                <w:rFonts w:ascii="Century Gothic" w:hAnsi="Century Gothic" w:cs="Arial"/>
                <w:sz w:val="22"/>
                <w:szCs w:val="22"/>
              </w:rPr>
            </w:pPr>
            <w:r w:rsidRPr="00DE4A50">
              <w:rPr>
                <w:rFonts w:ascii="Century Gothic" w:hAnsi="Century Gothic" w:cs="Arial"/>
                <w:b/>
                <w:bCs/>
                <w:sz w:val="22"/>
                <w:szCs w:val="22"/>
              </w:rPr>
              <w:t>Concepto del apoderado</w:t>
            </w:r>
          </w:p>
        </w:tc>
      </w:tr>
      <w:tr w:rsidR="00BA1E5F" w:rsidRPr="00DE4A50" w14:paraId="4C51FAC2" w14:textId="77777777" w:rsidTr="00BA1E5F">
        <w:trPr>
          <w:trHeight w:val="3401"/>
        </w:trPr>
        <w:tc>
          <w:tcPr>
            <w:tcW w:w="10207" w:type="dxa"/>
            <w:gridSpan w:val="2"/>
            <w:vAlign w:val="center"/>
          </w:tcPr>
          <w:p w14:paraId="10AFB78E" w14:textId="48BCD603" w:rsidR="000F7FDA" w:rsidRPr="00DE4A50" w:rsidRDefault="007A7979" w:rsidP="000F7FDA">
            <w:pPr>
              <w:spacing w:line="360" w:lineRule="auto"/>
              <w:jc w:val="both"/>
              <w:rPr>
                <w:rFonts w:ascii="Century Gothic" w:hAnsi="Century Gothic" w:cs="Arial"/>
                <w:sz w:val="22"/>
                <w:szCs w:val="22"/>
              </w:rPr>
            </w:pPr>
            <w:r w:rsidRPr="00DE4A50">
              <w:rPr>
                <w:rFonts w:ascii="Century Gothic" w:hAnsi="Century Gothic" w:cs="Arial"/>
                <w:sz w:val="22"/>
                <w:szCs w:val="22"/>
              </w:rPr>
              <w:lastRenderedPageBreak/>
              <w:t xml:space="preserve">La contingencia se califica como </w:t>
            </w:r>
            <w:r w:rsidR="004F7779" w:rsidRPr="00DE4A50">
              <w:rPr>
                <w:rFonts w:ascii="Century Gothic" w:hAnsi="Century Gothic" w:cs="Arial"/>
                <w:sz w:val="22"/>
                <w:szCs w:val="22"/>
              </w:rPr>
              <w:t>PROBABLE</w:t>
            </w:r>
            <w:r w:rsidRPr="00DE4A50">
              <w:rPr>
                <w:rFonts w:ascii="Century Gothic" w:hAnsi="Century Gothic" w:cs="Arial"/>
                <w:sz w:val="22"/>
                <w:szCs w:val="22"/>
              </w:rPr>
              <w:t xml:space="preserve"> debido a que la póliza presta cobertura material y temporal. Aunado a ello la responsabilidad del asegurado se encuentra acreditada.</w:t>
            </w:r>
          </w:p>
          <w:p w14:paraId="4790FF0D" w14:textId="77777777" w:rsidR="000F7FDA" w:rsidRPr="00DE4A50" w:rsidRDefault="000F7FDA" w:rsidP="000F7FDA">
            <w:pPr>
              <w:spacing w:line="360" w:lineRule="auto"/>
              <w:jc w:val="both"/>
              <w:rPr>
                <w:rFonts w:ascii="Century Gothic" w:hAnsi="Century Gothic" w:cs="Arial"/>
                <w:sz w:val="22"/>
                <w:szCs w:val="22"/>
              </w:rPr>
            </w:pPr>
          </w:p>
          <w:p w14:paraId="402175D6" w14:textId="5704AE5E" w:rsidR="000F7FDA" w:rsidRPr="00DE4A50" w:rsidRDefault="000F7FDA" w:rsidP="000F7FDA">
            <w:pPr>
              <w:spacing w:line="360" w:lineRule="auto"/>
              <w:jc w:val="both"/>
              <w:rPr>
                <w:rFonts w:ascii="Century Gothic" w:hAnsi="Century Gothic" w:cs="Arial"/>
                <w:sz w:val="22"/>
                <w:szCs w:val="22"/>
              </w:rPr>
            </w:pPr>
            <w:r w:rsidRPr="00DE4A50">
              <w:rPr>
                <w:rFonts w:ascii="Century Gothic" w:hAnsi="Century Gothic" w:cs="Arial"/>
                <w:sz w:val="22"/>
                <w:szCs w:val="22"/>
              </w:rPr>
              <w:t>Debe indicarse que la Póliza de Seguros Para Utilitarios No. AA004448, expedida por La Equidad Seguros Generales O.C., otorga cobertura tanto material como temporal, conforme a los hechos y pretensiones planteadas en el libelo de demanda. En cuanto a la cobertura temporal, se evidencia que el accidente ocurrió el 15 de abril de 2022, dentro del periodo de vigencia de la póliza, comprendido entre el 9 de julio de 2021 y el 9 de julio de 2022. Así mismo, se verifica cobertura material, por cuanto el contrato de seguro ampara la responsabilidad civil extracontractual derivada de accidentes de tránsito que involucren el vehículo asegurado</w:t>
            </w:r>
            <w:r w:rsidR="003E7B47" w:rsidRPr="00DE4A50">
              <w:rPr>
                <w:rFonts w:ascii="Century Gothic" w:hAnsi="Century Gothic" w:cs="Arial"/>
                <w:sz w:val="22"/>
                <w:szCs w:val="22"/>
              </w:rPr>
              <w:t>.</w:t>
            </w:r>
          </w:p>
          <w:p w14:paraId="69A21DBE" w14:textId="0B5BFAD0" w:rsidR="00AD12B6" w:rsidRPr="00DE4A50" w:rsidRDefault="00AD12B6" w:rsidP="00702E0D">
            <w:pPr>
              <w:spacing w:line="360" w:lineRule="auto"/>
              <w:jc w:val="both"/>
              <w:rPr>
                <w:rFonts w:ascii="Century Gothic" w:hAnsi="Century Gothic" w:cs="Arial"/>
                <w:sz w:val="22"/>
                <w:szCs w:val="22"/>
              </w:rPr>
            </w:pPr>
          </w:p>
          <w:p w14:paraId="62B1A98B" w14:textId="37F56115" w:rsidR="00AD12B6" w:rsidRPr="00DE4A50" w:rsidRDefault="00702E0D" w:rsidP="00702E0D">
            <w:pPr>
              <w:spacing w:line="360" w:lineRule="auto"/>
              <w:jc w:val="both"/>
              <w:rPr>
                <w:rFonts w:ascii="Century Gothic" w:hAnsi="Century Gothic" w:cs="Arial"/>
                <w:sz w:val="22"/>
                <w:szCs w:val="22"/>
              </w:rPr>
            </w:pPr>
            <w:r w:rsidRPr="00DE4A50">
              <w:rPr>
                <w:rFonts w:ascii="Century Gothic" w:hAnsi="Century Gothic" w:cs="Arial"/>
                <w:sz w:val="22"/>
                <w:szCs w:val="22"/>
              </w:rPr>
              <w:t xml:space="preserve">En cuanto a la responsabilidad de la entidad debe decirse que </w:t>
            </w:r>
            <w:r w:rsidR="00AD12B6" w:rsidRPr="00DE4A50">
              <w:rPr>
                <w:rFonts w:ascii="Century Gothic" w:hAnsi="Century Gothic" w:cs="Arial"/>
                <w:sz w:val="22"/>
                <w:szCs w:val="22"/>
              </w:rPr>
              <w:t xml:space="preserve">nos encontramos ante un régimen de responsabilidad </w:t>
            </w:r>
            <w:r w:rsidR="00F37829" w:rsidRPr="00DE4A50">
              <w:rPr>
                <w:rFonts w:ascii="Century Gothic" w:hAnsi="Century Gothic" w:cs="Arial"/>
                <w:sz w:val="22"/>
                <w:szCs w:val="22"/>
              </w:rPr>
              <w:t>de</w:t>
            </w:r>
            <w:r w:rsidR="00AD12B6" w:rsidRPr="00DE4A50">
              <w:rPr>
                <w:rFonts w:ascii="Century Gothic" w:hAnsi="Century Gothic" w:cs="Arial"/>
                <w:sz w:val="22"/>
                <w:szCs w:val="22"/>
              </w:rPr>
              <w:t xml:space="preserve"> culpa pr</w:t>
            </w:r>
            <w:r w:rsidR="00F37829" w:rsidRPr="00DE4A50">
              <w:rPr>
                <w:rFonts w:ascii="Century Gothic" w:hAnsi="Century Gothic" w:cs="Arial"/>
                <w:sz w:val="22"/>
                <w:szCs w:val="22"/>
              </w:rPr>
              <w:t>esunta</w:t>
            </w:r>
            <w:r w:rsidR="00AD12B6" w:rsidRPr="00DE4A50">
              <w:rPr>
                <w:rFonts w:ascii="Century Gothic" w:hAnsi="Century Gothic" w:cs="Arial"/>
                <w:sz w:val="22"/>
                <w:szCs w:val="22"/>
              </w:rPr>
              <w:t xml:space="preserve">, al tratarse </w:t>
            </w:r>
            <w:r w:rsidR="00F3520D" w:rsidRPr="00DE4A50">
              <w:rPr>
                <w:rFonts w:ascii="Century Gothic" w:hAnsi="Century Gothic" w:cs="Arial"/>
                <w:sz w:val="22"/>
                <w:szCs w:val="22"/>
              </w:rPr>
              <w:t>de una actividad peligrosa la conducción de un vehículo.</w:t>
            </w:r>
            <w:r w:rsidR="00AD12B6" w:rsidRPr="00DE4A50">
              <w:rPr>
                <w:rFonts w:ascii="Century Gothic" w:hAnsi="Century Gothic" w:cs="Arial"/>
                <w:sz w:val="22"/>
                <w:szCs w:val="22"/>
              </w:rPr>
              <w:t xml:space="preserve"> En este contexto, el Informe Policial de Accidente de </w:t>
            </w:r>
            <w:r w:rsidR="00F3520D" w:rsidRPr="00DE4A50">
              <w:rPr>
                <w:rFonts w:ascii="Century Gothic" w:hAnsi="Century Gothic" w:cs="Arial"/>
                <w:sz w:val="22"/>
                <w:szCs w:val="22"/>
              </w:rPr>
              <w:t>Tránsito atribuye</w:t>
            </w:r>
            <w:r w:rsidR="00AD12B6" w:rsidRPr="00DE4A50">
              <w:rPr>
                <w:rFonts w:ascii="Century Gothic" w:hAnsi="Century Gothic" w:cs="Arial"/>
                <w:sz w:val="22"/>
                <w:szCs w:val="22"/>
              </w:rPr>
              <w:t xml:space="preserve"> al conductor de la ambulancia implicada la hipótesis 116 </w:t>
            </w:r>
            <w:r w:rsidR="00F3520D" w:rsidRPr="00DE4A50">
              <w:rPr>
                <w:rFonts w:ascii="Century Gothic" w:hAnsi="Century Gothic" w:cs="Arial"/>
                <w:sz w:val="22"/>
                <w:szCs w:val="22"/>
              </w:rPr>
              <w:t xml:space="preserve">correspondiste a conducir con </w:t>
            </w:r>
            <w:r w:rsidR="00AD12B6" w:rsidRPr="00DE4A50">
              <w:rPr>
                <w:rFonts w:ascii="Century Gothic" w:hAnsi="Century Gothic" w:cs="Arial"/>
                <w:sz w:val="22"/>
                <w:szCs w:val="22"/>
              </w:rPr>
              <w:t>exceso de velocidad</w:t>
            </w:r>
            <w:r w:rsidR="00F3520D" w:rsidRPr="00DE4A50">
              <w:rPr>
                <w:rFonts w:ascii="Century Gothic" w:hAnsi="Century Gothic" w:cs="Arial"/>
                <w:sz w:val="22"/>
                <w:szCs w:val="22"/>
              </w:rPr>
              <w:t xml:space="preserve">, adicionalmente, se detalla que transitaba por un carril de </w:t>
            </w:r>
            <w:r w:rsidR="00AD12B6" w:rsidRPr="00DE4A50">
              <w:rPr>
                <w:rFonts w:ascii="Century Gothic" w:hAnsi="Century Gothic" w:cs="Arial"/>
                <w:sz w:val="22"/>
                <w:szCs w:val="22"/>
              </w:rPr>
              <w:t xml:space="preserve">uso </w:t>
            </w:r>
            <w:r w:rsidR="00F3520D" w:rsidRPr="00DE4A50">
              <w:rPr>
                <w:rFonts w:ascii="Century Gothic" w:hAnsi="Century Gothic" w:cs="Arial"/>
                <w:sz w:val="22"/>
                <w:szCs w:val="22"/>
              </w:rPr>
              <w:t xml:space="preserve">exclusivo para buses de transporte público. Por su parte </w:t>
            </w:r>
            <w:r w:rsidR="00AD12B6" w:rsidRPr="00DE4A50">
              <w:rPr>
                <w:rFonts w:ascii="Century Gothic" w:hAnsi="Century Gothic" w:cs="Arial"/>
                <w:sz w:val="22"/>
                <w:szCs w:val="22"/>
              </w:rPr>
              <w:t>no obra en el expediente prueba concluyente de que el vehículo asegurado se encontrara efectivamente circulando con señales sonoras y luminosas activadas en servicio de emergencia al momento del accidente.</w:t>
            </w:r>
            <w:r w:rsidR="008C5334" w:rsidRPr="00DE4A50">
              <w:rPr>
                <w:rFonts w:ascii="Century Gothic" w:hAnsi="Century Gothic" w:cs="Arial"/>
                <w:sz w:val="22"/>
                <w:szCs w:val="22"/>
              </w:rPr>
              <w:t xml:space="preserve"> Sin perjuicio de ello, se </w:t>
            </w:r>
            <w:r w:rsidR="004734F4" w:rsidRPr="00DE4A50">
              <w:rPr>
                <w:rFonts w:ascii="Century Gothic" w:hAnsi="Century Gothic" w:cs="Arial"/>
                <w:sz w:val="22"/>
                <w:szCs w:val="22"/>
              </w:rPr>
              <w:t xml:space="preserve">presentó la recepción consistente en el hecho exclusivo de la víctima, en tanto, </w:t>
            </w:r>
            <w:r w:rsidR="00027582" w:rsidRPr="00DE4A50">
              <w:rPr>
                <w:rFonts w:ascii="Century Gothic" w:hAnsi="Century Gothic" w:cs="Arial"/>
                <w:sz w:val="22"/>
                <w:szCs w:val="22"/>
              </w:rPr>
              <w:t xml:space="preserve">el peatón cruzó en una zona no habilitada para tales efectos. Sin </w:t>
            </w:r>
            <w:r w:rsidR="004F7779" w:rsidRPr="00DE4A50">
              <w:rPr>
                <w:rFonts w:ascii="Century Gothic" w:hAnsi="Century Gothic" w:cs="Arial"/>
                <w:sz w:val="22"/>
                <w:szCs w:val="22"/>
              </w:rPr>
              <w:t>embargo,</w:t>
            </w:r>
            <w:r w:rsidR="00AD12B6" w:rsidRPr="00DE4A50">
              <w:rPr>
                <w:rFonts w:ascii="Century Gothic" w:hAnsi="Century Gothic" w:cs="Arial"/>
                <w:sz w:val="22"/>
                <w:szCs w:val="22"/>
              </w:rPr>
              <w:t xml:space="preserve"> la ruptura del nexo causal deberá ser objeto de valoración dentro del debate probatorio, por lo que, mientras ello no se esclarezca, subsiste la posibilidad jurídica de una imputación de responsabilidad. En consecuencia, la contingencia debe calificarse como probable.</w:t>
            </w:r>
          </w:p>
          <w:p w14:paraId="0304BB8E" w14:textId="36BF9942" w:rsidR="00C31875" w:rsidRPr="00DE4A50" w:rsidRDefault="00C31875" w:rsidP="00C31875">
            <w:pPr>
              <w:rPr>
                <w:rFonts w:ascii="Century Gothic" w:eastAsia="Times New Roman" w:hAnsi="Century Gothic" w:cs="Arial"/>
                <w:sz w:val="22"/>
                <w:szCs w:val="22"/>
                <w:lang w:val="es-CO" w:eastAsia="es-CO"/>
              </w:rPr>
            </w:pPr>
          </w:p>
          <w:p w14:paraId="58FF1192" w14:textId="11CA6D54" w:rsidR="00BA1E5F" w:rsidRPr="00DE4A50" w:rsidRDefault="000F7FDA" w:rsidP="000F7FDA">
            <w:pPr>
              <w:spacing w:before="100" w:beforeAutospacing="1" w:after="100" w:afterAutospacing="1"/>
              <w:rPr>
                <w:rFonts w:ascii="Century Gothic" w:hAnsi="Century Gothic" w:cs="Arial"/>
                <w:sz w:val="22"/>
                <w:szCs w:val="22"/>
              </w:rPr>
            </w:pPr>
            <w:r w:rsidRPr="00DE4A50">
              <w:rPr>
                <w:rFonts w:ascii="Century Gothic" w:hAnsi="Century Gothic" w:cs="Arial"/>
                <w:sz w:val="22"/>
                <w:szCs w:val="22"/>
              </w:rPr>
              <w:t>Lo anterior, sin perjuicio del carácter contingente del proceso.</w:t>
            </w:r>
          </w:p>
        </w:tc>
      </w:tr>
      <w:tr w:rsidR="00BA1E5F" w:rsidRPr="00DE4A50" w14:paraId="6A3F4D91" w14:textId="77777777" w:rsidTr="008B59F4">
        <w:trPr>
          <w:trHeight w:val="1361"/>
        </w:trPr>
        <w:tc>
          <w:tcPr>
            <w:tcW w:w="10207" w:type="dxa"/>
            <w:gridSpan w:val="2"/>
            <w:vAlign w:val="center"/>
          </w:tcPr>
          <w:p w14:paraId="3A806213" w14:textId="67A6C599" w:rsidR="00BA1E5F" w:rsidRPr="00DE4A50" w:rsidRDefault="00BA1E5F" w:rsidP="00741F3E">
            <w:pPr>
              <w:spacing w:line="360" w:lineRule="auto"/>
              <w:jc w:val="center"/>
              <w:rPr>
                <w:rFonts w:ascii="Century Gothic" w:hAnsi="Century Gothic" w:cs="Arial"/>
                <w:b/>
                <w:bCs/>
                <w:sz w:val="22"/>
                <w:szCs w:val="22"/>
              </w:rPr>
            </w:pPr>
            <w:r w:rsidRPr="00DE4A50">
              <w:rPr>
                <w:rFonts w:ascii="Century Gothic" w:hAnsi="Century Gothic" w:cs="Arial"/>
                <w:b/>
                <w:bCs/>
                <w:sz w:val="22"/>
                <w:szCs w:val="22"/>
              </w:rPr>
              <w:t>Firma del abogado</w:t>
            </w:r>
          </w:p>
        </w:tc>
      </w:tr>
    </w:tbl>
    <w:p w14:paraId="66CA6B89" w14:textId="77777777" w:rsidR="002633C0" w:rsidRPr="00DE4A50" w:rsidRDefault="002633C0" w:rsidP="00741F3E">
      <w:pPr>
        <w:spacing w:line="360" w:lineRule="auto"/>
        <w:rPr>
          <w:rFonts w:ascii="Century Gothic" w:hAnsi="Century Gothic" w:cs="Arial"/>
          <w:sz w:val="22"/>
          <w:szCs w:val="22"/>
        </w:rPr>
      </w:pPr>
    </w:p>
    <w:sectPr w:rsidR="002633C0" w:rsidRPr="00DE4A50"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8273C" w14:textId="77777777" w:rsidR="00B23F4F" w:rsidRDefault="00B23F4F" w:rsidP="00E7033F">
      <w:r>
        <w:separator/>
      </w:r>
    </w:p>
  </w:endnote>
  <w:endnote w:type="continuationSeparator" w:id="0">
    <w:p w14:paraId="01B04499" w14:textId="77777777" w:rsidR="00B23F4F" w:rsidRDefault="00B23F4F"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8233B" w14:textId="77777777" w:rsidR="00B23F4F" w:rsidRDefault="00B23F4F" w:rsidP="00E7033F">
      <w:r>
        <w:separator/>
      </w:r>
    </w:p>
  </w:footnote>
  <w:footnote w:type="continuationSeparator" w:id="0">
    <w:p w14:paraId="2E766F0C" w14:textId="77777777" w:rsidR="00B23F4F" w:rsidRDefault="00B23F4F"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5168;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D78CA"/>
    <w:multiLevelType w:val="multilevel"/>
    <w:tmpl w:val="6C40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75FCC"/>
    <w:multiLevelType w:val="multilevel"/>
    <w:tmpl w:val="6B90EBBA"/>
    <w:lvl w:ilvl="0">
      <w:start w:val="1"/>
      <w:numFmt w:val="decimal"/>
      <w:lvlText w:val="%1."/>
      <w:lvlJc w:val="left"/>
      <w:pPr>
        <w:ind w:left="950" w:hanging="708"/>
      </w:pPr>
      <w:rPr>
        <w:rFonts w:ascii="Arial MT" w:eastAsia="Arial MT" w:hAnsi="Arial MT" w:cs="Arial MT"/>
        <w:b/>
        <w:bCs/>
        <w:sz w:val="22"/>
        <w:szCs w:val="22"/>
      </w:rPr>
    </w:lvl>
    <w:lvl w:ilvl="1">
      <w:start w:val="1"/>
      <w:numFmt w:val="decimal"/>
      <w:lvlText w:val="%2."/>
      <w:lvlJc w:val="left"/>
      <w:pPr>
        <w:ind w:left="962" w:hanging="360"/>
      </w:pPr>
      <w:rPr>
        <w:rFonts w:ascii="Arial" w:eastAsia="Arial" w:hAnsi="Arial" w:cs="Arial"/>
        <w:b/>
        <w:sz w:val="22"/>
        <w:szCs w:val="22"/>
      </w:rPr>
    </w:lvl>
    <w:lvl w:ilvl="2">
      <w:numFmt w:val="bullet"/>
      <w:lvlText w:val="•"/>
      <w:lvlJc w:val="left"/>
      <w:pPr>
        <w:ind w:left="2608" w:hanging="360"/>
      </w:pPr>
    </w:lvl>
    <w:lvl w:ilvl="3">
      <w:numFmt w:val="bullet"/>
      <w:lvlText w:val="•"/>
      <w:lvlJc w:val="left"/>
      <w:pPr>
        <w:ind w:left="3432" w:hanging="360"/>
      </w:pPr>
    </w:lvl>
    <w:lvl w:ilvl="4">
      <w:numFmt w:val="bullet"/>
      <w:lvlText w:val="•"/>
      <w:lvlJc w:val="left"/>
      <w:pPr>
        <w:ind w:left="4256" w:hanging="360"/>
      </w:pPr>
    </w:lvl>
    <w:lvl w:ilvl="5">
      <w:numFmt w:val="bullet"/>
      <w:lvlText w:val="•"/>
      <w:lvlJc w:val="left"/>
      <w:pPr>
        <w:ind w:left="5081" w:hanging="360"/>
      </w:pPr>
    </w:lvl>
    <w:lvl w:ilvl="6">
      <w:numFmt w:val="bullet"/>
      <w:lvlText w:val="•"/>
      <w:lvlJc w:val="left"/>
      <w:pPr>
        <w:ind w:left="5905" w:hanging="360"/>
      </w:pPr>
    </w:lvl>
    <w:lvl w:ilvl="7">
      <w:numFmt w:val="bullet"/>
      <w:lvlText w:val="•"/>
      <w:lvlJc w:val="left"/>
      <w:pPr>
        <w:ind w:left="6729" w:hanging="360"/>
      </w:pPr>
    </w:lvl>
    <w:lvl w:ilvl="8">
      <w:numFmt w:val="bullet"/>
      <w:lvlText w:val="•"/>
      <w:lvlJc w:val="left"/>
      <w:pPr>
        <w:ind w:left="7553" w:hanging="360"/>
      </w:pPr>
    </w:lvl>
  </w:abstractNum>
  <w:abstractNum w:abstractNumId="2" w15:restartNumberingAfterBreak="0">
    <w:nsid w:val="269715B4"/>
    <w:multiLevelType w:val="hybridMultilevel"/>
    <w:tmpl w:val="98D6F3D0"/>
    <w:lvl w:ilvl="0" w:tplc="07800700">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3EA527F"/>
    <w:multiLevelType w:val="hybridMultilevel"/>
    <w:tmpl w:val="83D880F8"/>
    <w:lvl w:ilvl="0" w:tplc="1EBC9902">
      <w:start w:val="1"/>
      <w:numFmt w:val="lowerLetter"/>
      <w:lvlText w:val="%1."/>
      <w:lvlJc w:val="left"/>
      <w:pPr>
        <w:ind w:left="596" w:hanging="360"/>
      </w:pPr>
      <w:rPr>
        <w:rFonts w:hint="default"/>
        <w:u w:val="thick"/>
      </w:rPr>
    </w:lvl>
    <w:lvl w:ilvl="1" w:tplc="240A0019" w:tentative="1">
      <w:start w:val="1"/>
      <w:numFmt w:val="lowerLetter"/>
      <w:lvlText w:val="%2."/>
      <w:lvlJc w:val="left"/>
      <w:pPr>
        <w:ind w:left="1316" w:hanging="360"/>
      </w:pPr>
    </w:lvl>
    <w:lvl w:ilvl="2" w:tplc="240A001B" w:tentative="1">
      <w:start w:val="1"/>
      <w:numFmt w:val="lowerRoman"/>
      <w:lvlText w:val="%3."/>
      <w:lvlJc w:val="right"/>
      <w:pPr>
        <w:ind w:left="2036" w:hanging="180"/>
      </w:pPr>
    </w:lvl>
    <w:lvl w:ilvl="3" w:tplc="240A000F" w:tentative="1">
      <w:start w:val="1"/>
      <w:numFmt w:val="decimal"/>
      <w:lvlText w:val="%4."/>
      <w:lvlJc w:val="left"/>
      <w:pPr>
        <w:ind w:left="2756" w:hanging="360"/>
      </w:pPr>
    </w:lvl>
    <w:lvl w:ilvl="4" w:tplc="240A0019" w:tentative="1">
      <w:start w:val="1"/>
      <w:numFmt w:val="lowerLetter"/>
      <w:lvlText w:val="%5."/>
      <w:lvlJc w:val="left"/>
      <w:pPr>
        <w:ind w:left="3476" w:hanging="360"/>
      </w:pPr>
    </w:lvl>
    <w:lvl w:ilvl="5" w:tplc="240A001B" w:tentative="1">
      <w:start w:val="1"/>
      <w:numFmt w:val="lowerRoman"/>
      <w:lvlText w:val="%6."/>
      <w:lvlJc w:val="right"/>
      <w:pPr>
        <w:ind w:left="4196" w:hanging="180"/>
      </w:pPr>
    </w:lvl>
    <w:lvl w:ilvl="6" w:tplc="240A000F" w:tentative="1">
      <w:start w:val="1"/>
      <w:numFmt w:val="decimal"/>
      <w:lvlText w:val="%7."/>
      <w:lvlJc w:val="left"/>
      <w:pPr>
        <w:ind w:left="4916" w:hanging="360"/>
      </w:pPr>
    </w:lvl>
    <w:lvl w:ilvl="7" w:tplc="240A0019" w:tentative="1">
      <w:start w:val="1"/>
      <w:numFmt w:val="lowerLetter"/>
      <w:lvlText w:val="%8."/>
      <w:lvlJc w:val="left"/>
      <w:pPr>
        <w:ind w:left="5636" w:hanging="360"/>
      </w:pPr>
    </w:lvl>
    <w:lvl w:ilvl="8" w:tplc="240A001B" w:tentative="1">
      <w:start w:val="1"/>
      <w:numFmt w:val="lowerRoman"/>
      <w:lvlText w:val="%9."/>
      <w:lvlJc w:val="right"/>
      <w:pPr>
        <w:ind w:left="6356" w:hanging="180"/>
      </w:pPr>
    </w:lvl>
  </w:abstractNum>
  <w:abstractNum w:abstractNumId="4" w15:restartNumberingAfterBreak="0">
    <w:nsid w:val="3A033ECE"/>
    <w:multiLevelType w:val="hybridMultilevel"/>
    <w:tmpl w:val="EFF8B1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18147E"/>
    <w:multiLevelType w:val="hybridMultilevel"/>
    <w:tmpl w:val="98964D3E"/>
    <w:lvl w:ilvl="0" w:tplc="2AA0A3E8">
      <w:start w:val="1"/>
      <w:numFmt w:val="decimal"/>
      <w:lvlText w:val="%1."/>
      <w:lvlJc w:val="left"/>
      <w:pPr>
        <w:ind w:left="720" w:hanging="360"/>
      </w:pPr>
      <w:rPr>
        <w:rFonts w:asciiTheme="minorHAnsi" w:hAnsiTheme="minorHAnsi" w:cstheme="minorBid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CE1540"/>
    <w:multiLevelType w:val="hybridMultilevel"/>
    <w:tmpl w:val="98D6F3D0"/>
    <w:lvl w:ilvl="0" w:tplc="07800700">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BFC0F03"/>
    <w:multiLevelType w:val="hybridMultilevel"/>
    <w:tmpl w:val="53CC1322"/>
    <w:lvl w:ilvl="0" w:tplc="F57AE060">
      <w:start w:val="1"/>
      <w:numFmt w:val="upperLetter"/>
      <w:lvlText w:val="%1."/>
      <w:lvlJc w:val="left"/>
      <w:pPr>
        <w:ind w:left="720" w:hanging="360"/>
      </w:pPr>
      <w:rPr>
        <w:rFonts w:hint="default"/>
        <w:u w:val="thick"/>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64E7D85"/>
    <w:multiLevelType w:val="hybridMultilevel"/>
    <w:tmpl w:val="447CBE6E"/>
    <w:lvl w:ilvl="0" w:tplc="AD26F5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2E71BD"/>
    <w:multiLevelType w:val="hybridMultilevel"/>
    <w:tmpl w:val="7CD6A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DEC1D3A"/>
    <w:multiLevelType w:val="hybridMultilevel"/>
    <w:tmpl w:val="7F94DBE2"/>
    <w:lvl w:ilvl="0" w:tplc="F9B0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9397399">
    <w:abstractNumId w:val="4"/>
  </w:num>
  <w:num w:numId="2" w16cid:durableId="1183788036">
    <w:abstractNumId w:val="9"/>
  </w:num>
  <w:num w:numId="3" w16cid:durableId="1095370884">
    <w:abstractNumId w:val="8"/>
  </w:num>
  <w:num w:numId="4" w16cid:durableId="2081444768">
    <w:abstractNumId w:val="0"/>
  </w:num>
  <w:num w:numId="5" w16cid:durableId="700017483">
    <w:abstractNumId w:val="5"/>
  </w:num>
  <w:num w:numId="6" w16cid:durableId="1439332295">
    <w:abstractNumId w:val="10"/>
  </w:num>
  <w:num w:numId="7" w16cid:durableId="199899095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781725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101181">
    <w:abstractNumId w:val="2"/>
  </w:num>
  <w:num w:numId="10" w16cid:durableId="64575038">
    <w:abstractNumId w:val="6"/>
  </w:num>
  <w:num w:numId="11" w16cid:durableId="1268082594">
    <w:abstractNumId w:val="3"/>
  </w:num>
  <w:num w:numId="12" w16cid:durableId="274022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7582"/>
    <w:rsid w:val="000554F9"/>
    <w:rsid w:val="00060489"/>
    <w:rsid w:val="00072BFC"/>
    <w:rsid w:val="00075A16"/>
    <w:rsid w:val="000B7378"/>
    <w:rsid w:val="000D23FC"/>
    <w:rsid w:val="000F7FDA"/>
    <w:rsid w:val="001129B6"/>
    <w:rsid w:val="0013065F"/>
    <w:rsid w:val="001547FF"/>
    <w:rsid w:val="00181E11"/>
    <w:rsid w:val="001A60DB"/>
    <w:rsid w:val="001C44B4"/>
    <w:rsid w:val="001E096B"/>
    <w:rsid w:val="001E1616"/>
    <w:rsid w:val="001E26EF"/>
    <w:rsid w:val="001E5C79"/>
    <w:rsid w:val="001E6F12"/>
    <w:rsid w:val="00262A7D"/>
    <w:rsid w:val="00263011"/>
    <w:rsid w:val="002633C0"/>
    <w:rsid w:val="002A0E98"/>
    <w:rsid w:val="00311097"/>
    <w:rsid w:val="00314CAF"/>
    <w:rsid w:val="00324E27"/>
    <w:rsid w:val="00330385"/>
    <w:rsid w:val="003314A2"/>
    <w:rsid w:val="00331B62"/>
    <w:rsid w:val="003827E1"/>
    <w:rsid w:val="003B44CB"/>
    <w:rsid w:val="003B7F1A"/>
    <w:rsid w:val="003D0F9A"/>
    <w:rsid w:val="003E7B47"/>
    <w:rsid w:val="003F3AA8"/>
    <w:rsid w:val="00403BFC"/>
    <w:rsid w:val="00425E0D"/>
    <w:rsid w:val="00437455"/>
    <w:rsid w:val="004734F4"/>
    <w:rsid w:val="00493936"/>
    <w:rsid w:val="004C7D4E"/>
    <w:rsid w:val="004F7779"/>
    <w:rsid w:val="00504FFB"/>
    <w:rsid w:val="005724F0"/>
    <w:rsid w:val="00573F06"/>
    <w:rsid w:val="005E468D"/>
    <w:rsid w:val="005F61D3"/>
    <w:rsid w:val="006056E7"/>
    <w:rsid w:val="00677C32"/>
    <w:rsid w:val="006841B9"/>
    <w:rsid w:val="00694306"/>
    <w:rsid w:val="006A1563"/>
    <w:rsid w:val="006B38C4"/>
    <w:rsid w:val="006F0CAA"/>
    <w:rsid w:val="00702E0D"/>
    <w:rsid w:val="0072336E"/>
    <w:rsid w:val="00741F3E"/>
    <w:rsid w:val="00761B63"/>
    <w:rsid w:val="007946F6"/>
    <w:rsid w:val="007A7979"/>
    <w:rsid w:val="007C37D7"/>
    <w:rsid w:val="007C69CC"/>
    <w:rsid w:val="007F48DC"/>
    <w:rsid w:val="0083202B"/>
    <w:rsid w:val="00880E0B"/>
    <w:rsid w:val="008B59F4"/>
    <w:rsid w:val="008B61E5"/>
    <w:rsid w:val="008B685D"/>
    <w:rsid w:val="008C5334"/>
    <w:rsid w:val="008E249B"/>
    <w:rsid w:val="008F6B57"/>
    <w:rsid w:val="00915F25"/>
    <w:rsid w:val="00930632"/>
    <w:rsid w:val="0095378E"/>
    <w:rsid w:val="009820E4"/>
    <w:rsid w:val="00987619"/>
    <w:rsid w:val="00992368"/>
    <w:rsid w:val="00996B7A"/>
    <w:rsid w:val="009A06ED"/>
    <w:rsid w:val="009E636F"/>
    <w:rsid w:val="009E740D"/>
    <w:rsid w:val="00A46105"/>
    <w:rsid w:val="00A6192A"/>
    <w:rsid w:val="00A66B04"/>
    <w:rsid w:val="00AD12B6"/>
    <w:rsid w:val="00AD7244"/>
    <w:rsid w:val="00B158D5"/>
    <w:rsid w:val="00B23F4F"/>
    <w:rsid w:val="00B2787D"/>
    <w:rsid w:val="00B90E05"/>
    <w:rsid w:val="00B9132B"/>
    <w:rsid w:val="00BA0472"/>
    <w:rsid w:val="00BA1E5F"/>
    <w:rsid w:val="00BB2757"/>
    <w:rsid w:val="00BB390D"/>
    <w:rsid w:val="00C31875"/>
    <w:rsid w:val="00C31A15"/>
    <w:rsid w:val="00CB6857"/>
    <w:rsid w:val="00D15E0F"/>
    <w:rsid w:val="00D33414"/>
    <w:rsid w:val="00D35F0D"/>
    <w:rsid w:val="00D61832"/>
    <w:rsid w:val="00D74F68"/>
    <w:rsid w:val="00DB76EC"/>
    <w:rsid w:val="00DD6A64"/>
    <w:rsid w:val="00DE4A50"/>
    <w:rsid w:val="00DE5BEB"/>
    <w:rsid w:val="00DF1E48"/>
    <w:rsid w:val="00E51AF6"/>
    <w:rsid w:val="00E521F8"/>
    <w:rsid w:val="00E7033F"/>
    <w:rsid w:val="00E802BC"/>
    <w:rsid w:val="00EB5FFB"/>
    <w:rsid w:val="00EE687D"/>
    <w:rsid w:val="00F17757"/>
    <w:rsid w:val="00F3520D"/>
    <w:rsid w:val="00F37829"/>
    <w:rsid w:val="00F62D63"/>
    <w:rsid w:val="00F67EF8"/>
    <w:rsid w:val="00F75DE2"/>
    <w:rsid w:val="00F856C2"/>
    <w:rsid w:val="00F90650"/>
    <w:rsid w:val="00F97193"/>
    <w:rsid w:val="00FC01A7"/>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link w:val="Ttulo1Car"/>
    <w:uiPriority w:val="9"/>
    <w:qFormat/>
    <w:rsid w:val="005724F0"/>
    <w:pPr>
      <w:widowControl w:val="0"/>
      <w:autoSpaceDE w:val="0"/>
      <w:autoSpaceDN w:val="0"/>
      <w:ind w:left="821"/>
      <w:outlineLvl w:val="0"/>
    </w:pPr>
    <w:rPr>
      <w:rFonts w:ascii="Calibri" w:eastAsia="Calibri" w:hAnsi="Calibri" w:cs="Calibri"/>
      <w:b/>
      <w:bCs/>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5E0F"/>
    <w:pPr>
      <w:spacing w:before="100" w:beforeAutospacing="1" w:after="100" w:afterAutospacing="1"/>
    </w:pPr>
    <w:rPr>
      <w:rFonts w:ascii="Times New Roman" w:eastAsia="Times New Roman" w:hAnsi="Times New Roman" w:cs="Times New Roman"/>
      <w:lang w:val="es-CO" w:eastAsia="es-CO"/>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DB76EC"/>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AD7244"/>
  </w:style>
  <w:style w:type="character" w:styleId="Textoennegrita">
    <w:name w:val="Strong"/>
    <w:basedOn w:val="Fuentedeprrafopredeter"/>
    <w:uiPriority w:val="22"/>
    <w:qFormat/>
    <w:rsid w:val="00573F06"/>
    <w:rPr>
      <w:b/>
      <w:bCs/>
    </w:rPr>
  </w:style>
  <w:style w:type="character" w:customStyle="1" w:styleId="Ttulo1Car">
    <w:name w:val="Título 1 Car"/>
    <w:basedOn w:val="Fuentedeprrafopredeter"/>
    <w:link w:val="Ttulo1"/>
    <w:uiPriority w:val="9"/>
    <w:rsid w:val="005724F0"/>
    <w:rPr>
      <w:rFonts w:ascii="Calibri" w:eastAsia="Calibri" w:hAnsi="Calibri" w:cs="Calibri"/>
      <w:b/>
      <w:bCs/>
      <w:sz w:val="21"/>
      <w:szCs w:val="21"/>
      <w:lang w:val="es-ES"/>
    </w:rPr>
  </w:style>
  <w:style w:type="paragraph" w:customStyle="1" w:styleId="paragraph">
    <w:name w:val="paragraph"/>
    <w:basedOn w:val="Normal"/>
    <w:uiPriority w:val="99"/>
    <w:rsid w:val="005724F0"/>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5724F0"/>
  </w:style>
  <w:style w:type="character" w:customStyle="1" w:styleId="eop">
    <w:name w:val="eop"/>
    <w:basedOn w:val="Fuentedeprrafopredeter"/>
    <w:rsid w:val="005724F0"/>
  </w:style>
  <w:style w:type="character" w:styleId="nfasis">
    <w:name w:val="Emphasis"/>
    <w:basedOn w:val="Fuentedeprrafopredeter"/>
    <w:uiPriority w:val="20"/>
    <w:qFormat/>
    <w:rsid w:val="0013065F"/>
    <w:rPr>
      <w:i/>
      <w:iCs/>
    </w:rPr>
  </w:style>
  <w:style w:type="paragraph" w:styleId="Revisin">
    <w:name w:val="Revision"/>
    <w:hidden/>
    <w:uiPriority w:val="99"/>
    <w:semiHidden/>
    <w:rsid w:val="00677C32"/>
  </w:style>
  <w:style w:type="character" w:styleId="Refdecomentario">
    <w:name w:val="annotation reference"/>
    <w:basedOn w:val="Fuentedeprrafopredeter"/>
    <w:uiPriority w:val="99"/>
    <w:semiHidden/>
    <w:unhideWhenUsed/>
    <w:rsid w:val="00677C32"/>
    <w:rPr>
      <w:sz w:val="16"/>
      <w:szCs w:val="16"/>
    </w:rPr>
  </w:style>
  <w:style w:type="paragraph" w:styleId="Textocomentario">
    <w:name w:val="annotation text"/>
    <w:basedOn w:val="Normal"/>
    <w:link w:val="TextocomentarioCar"/>
    <w:uiPriority w:val="99"/>
    <w:semiHidden/>
    <w:unhideWhenUsed/>
    <w:rsid w:val="00677C32"/>
    <w:rPr>
      <w:sz w:val="20"/>
      <w:szCs w:val="20"/>
    </w:rPr>
  </w:style>
  <w:style w:type="character" w:customStyle="1" w:styleId="TextocomentarioCar">
    <w:name w:val="Texto comentario Car"/>
    <w:basedOn w:val="Fuentedeprrafopredeter"/>
    <w:link w:val="Textocomentario"/>
    <w:uiPriority w:val="99"/>
    <w:semiHidden/>
    <w:rsid w:val="00677C32"/>
    <w:rPr>
      <w:sz w:val="20"/>
      <w:szCs w:val="20"/>
    </w:rPr>
  </w:style>
  <w:style w:type="paragraph" w:styleId="Asuntodelcomentario">
    <w:name w:val="annotation subject"/>
    <w:basedOn w:val="Textocomentario"/>
    <w:next w:val="Textocomentario"/>
    <w:link w:val="AsuntodelcomentarioCar"/>
    <w:uiPriority w:val="99"/>
    <w:semiHidden/>
    <w:unhideWhenUsed/>
    <w:rsid w:val="00677C32"/>
    <w:rPr>
      <w:b/>
      <w:bCs/>
    </w:rPr>
  </w:style>
  <w:style w:type="character" w:customStyle="1" w:styleId="AsuntodelcomentarioCar">
    <w:name w:val="Asunto del comentario Car"/>
    <w:basedOn w:val="TextocomentarioCar"/>
    <w:link w:val="Asuntodelcomentario"/>
    <w:uiPriority w:val="99"/>
    <w:semiHidden/>
    <w:rsid w:val="00677C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61334">
      <w:bodyDiv w:val="1"/>
      <w:marLeft w:val="0"/>
      <w:marRight w:val="0"/>
      <w:marTop w:val="0"/>
      <w:marBottom w:val="0"/>
      <w:divBdr>
        <w:top w:val="none" w:sz="0" w:space="0" w:color="auto"/>
        <w:left w:val="none" w:sz="0" w:space="0" w:color="auto"/>
        <w:bottom w:val="none" w:sz="0" w:space="0" w:color="auto"/>
        <w:right w:val="none" w:sz="0" w:space="0" w:color="auto"/>
      </w:divBdr>
    </w:div>
    <w:div w:id="831987013">
      <w:bodyDiv w:val="1"/>
      <w:marLeft w:val="0"/>
      <w:marRight w:val="0"/>
      <w:marTop w:val="0"/>
      <w:marBottom w:val="0"/>
      <w:divBdr>
        <w:top w:val="none" w:sz="0" w:space="0" w:color="auto"/>
        <w:left w:val="none" w:sz="0" w:space="0" w:color="auto"/>
        <w:bottom w:val="none" w:sz="0" w:space="0" w:color="auto"/>
        <w:right w:val="none" w:sz="0" w:space="0" w:color="auto"/>
      </w:divBdr>
    </w:div>
    <w:div w:id="1440954405">
      <w:bodyDiv w:val="1"/>
      <w:marLeft w:val="0"/>
      <w:marRight w:val="0"/>
      <w:marTop w:val="0"/>
      <w:marBottom w:val="0"/>
      <w:divBdr>
        <w:top w:val="none" w:sz="0" w:space="0" w:color="auto"/>
        <w:left w:val="none" w:sz="0" w:space="0" w:color="auto"/>
        <w:bottom w:val="none" w:sz="0" w:space="0" w:color="auto"/>
        <w:right w:val="none" w:sz="0" w:space="0" w:color="auto"/>
      </w:divBdr>
    </w:div>
    <w:div w:id="1473251375">
      <w:bodyDiv w:val="1"/>
      <w:marLeft w:val="0"/>
      <w:marRight w:val="0"/>
      <w:marTop w:val="0"/>
      <w:marBottom w:val="0"/>
      <w:divBdr>
        <w:top w:val="none" w:sz="0" w:space="0" w:color="auto"/>
        <w:left w:val="none" w:sz="0" w:space="0" w:color="auto"/>
        <w:bottom w:val="none" w:sz="0" w:space="0" w:color="auto"/>
        <w:right w:val="none" w:sz="0" w:space="0" w:color="auto"/>
      </w:divBdr>
    </w:div>
    <w:div w:id="1582985423">
      <w:bodyDiv w:val="1"/>
      <w:marLeft w:val="0"/>
      <w:marRight w:val="0"/>
      <w:marTop w:val="0"/>
      <w:marBottom w:val="0"/>
      <w:divBdr>
        <w:top w:val="none" w:sz="0" w:space="0" w:color="auto"/>
        <w:left w:val="none" w:sz="0" w:space="0" w:color="auto"/>
        <w:bottom w:val="none" w:sz="0" w:space="0" w:color="auto"/>
        <w:right w:val="none" w:sz="0" w:space="0" w:color="auto"/>
      </w:divBdr>
    </w:div>
    <w:div w:id="1690523916">
      <w:bodyDiv w:val="1"/>
      <w:marLeft w:val="0"/>
      <w:marRight w:val="0"/>
      <w:marTop w:val="0"/>
      <w:marBottom w:val="0"/>
      <w:divBdr>
        <w:top w:val="none" w:sz="0" w:space="0" w:color="auto"/>
        <w:left w:val="none" w:sz="0" w:space="0" w:color="auto"/>
        <w:bottom w:val="none" w:sz="0" w:space="0" w:color="auto"/>
        <w:right w:val="none" w:sz="0" w:space="0" w:color="auto"/>
      </w:divBdr>
    </w:div>
    <w:div w:id="1931350061">
      <w:bodyDiv w:val="1"/>
      <w:marLeft w:val="0"/>
      <w:marRight w:val="0"/>
      <w:marTop w:val="0"/>
      <w:marBottom w:val="0"/>
      <w:divBdr>
        <w:top w:val="none" w:sz="0" w:space="0" w:color="auto"/>
        <w:left w:val="none" w:sz="0" w:space="0" w:color="auto"/>
        <w:bottom w:val="none" w:sz="0" w:space="0" w:color="auto"/>
        <w:right w:val="none" w:sz="0" w:space="0" w:color="auto"/>
      </w:divBdr>
      <w:divsChild>
        <w:div w:id="1766684199">
          <w:marLeft w:val="720"/>
          <w:marRight w:val="0"/>
          <w:marTop w:val="0"/>
          <w:marBottom w:val="0"/>
          <w:divBdr>
            <w:top w:val="none" w:sz="0" w:space="0" w:color="auto"/>
            <w:left w:val="none" w:sz="0" w:space="0" w:color="auto"/>
            <w:bottom w:val="none" w:sz="0" w:space="0" w:color="auto"/>
            <w:right w:val="none" w:sz="0" w:space="0" w:color="auto"/>
          </w:divBdr>
        </w:div>
        <w:div w:id="1858497420">
          <w:marLeft w:val="720"/>
          <w:marRight w:val="0"/>
          <w:marTop w:val="0"/>
          <w:marBottom w:val="0"/>
          <w:divBdr>
            <w:top w:val="none" w:sz="0" w:space="0" w:color="auto"/>
            <w:left w:val="none" w:sz="0" w:space="0" w:color="auto"/>
            <w:bottom w:val="none" w:sz="0" w:space="0" w:color="auto"/>
            <w:right w:val="none" w:sz="0" w:space="0" w:color="auto"/>
          </w:divBdr>
        </w:div>
        <w:div w:id="304820679">
          <w:marLeft w:val="720"/>
          <w:marRight w:val="0"/>
          <w:marTop w:val="0"/>
          <w:marBottom w:val="0"/>
          <w:divBdr>
            <w:top w:val="none" w:sz="0" w:space="0" w:color="auto"/>
            <w:left w:val="none" w:sz="0" w:space="0" w:color="auto"/>
            <w:bottom w:val="none" w:sz="0" w:space="0" w:color="auto"/>
            <w:right w:val="none" w:sz="0" w:space="0" w:color="auto"/>
          </w:divBdr>
        </w:div>
        <w:div w:id="1100292970">
          <w:marLeft w:val="708"/>
          <w:marRight w:val="0"/>
          <w:marTop w:val="0"/>
          <w:marBottom w:val="160"/>
          <w:divBdr>
            <w:top w:val="none" w:sz="0" w:space="0" w:color="auto"/>
            <w:left w:val="none" w:sz="0" w:space="0" w:color="auto"/>
            <w:bottom w:val="none" w:sz="0" w:space="0" w:color="auto"/>
            <w:right w:val="none" w:sz="0" w:space="0" w:color="auto"/>
          </w:divBdr>
        </w:div>
        <w:div w:id="832338340">
          <w:marLeft w:val="708"/>
          <w:marRight w:val="0"/>
          <w:marTop w:val="0"/>
          <w:marBottom w:val="160"/>
          <w:divBdr>
            <w:top w:val="none" w:sz="0" w:space="0" w:color="auto"/>
            <w:left w:val="none" w:sz="0" w:space="0" w:color="auto"/>
            <w:bottom w:val="none" w:sz="0" w:space="0" w:color="auto"/>
            <w:right w:val="none" w:sz="0" w:space="0" w:color="auto"/>
          </w:divBdr>
        </w:div>
        <w:div w:id="1185555770">
          <w:marLeft w:val="708"/>
          <w:marRight w:val="0"/>
          <w:marTop w:val="0"/>
          <w:marBottom w:val="160"/>
          <w:divBdr>
            <w:top w:val="none" w:sz="0" w:space="0" w:color="auto"/>
            <w:left w:val="none" w:sz="0" w:space="0" w:color="auto"/>
            <w:bottom w:val="none" w:sz="0" w:space="0" w:color="auto"/>
            <w:right w:val="none" w:sz="0" w:space="0" w:color="auto"/>
          </w:divBdr>
        </w:div>
        <w:div w:id="856776928">
          <w:marLeft w:val="708"/>
          <w:marRight w:val="0"/>
          <w:marTop w:val="0"/>
          <w:marBottom w:val="160"/>
          <w:divBdr>
            <w:top w:val="none" w:sz="0" w:space="0" w:color="auto"/>
            <w:left w:val="none" w:sz="0" w:space="0" w:color="auto"/>
            <w:bottom w:val="none" w:sz="0" w:space="0" w:color="auto"/>
            <w:right w:val="none" w:sz="0" w:space="0" w:color="auto"/>
          </w:divBdr>
        </w:div>
        <w:div w:id="640309436">
          <w:marLeft w:val="708"/>
          <w:marRight w:val="0"/>
          <w:marTop w:val="0"/>
          <w:marBottom w:val="160"/>
          <w:divBdr>
            <w:top w:val="none" w:sz="0" w:space="0" w:color="auto"/>
            <w:left w:val="none" w:sz="0" w:space="0" w:color="auto"/>
            <w:bottom w:val="none" w:sz="0" w:space="0" w:color="auto"/>
            <w:right w:val="none" w:sz="0" w:space="0" w:color="auto"/>
          </w:divBdr>
        </w:div>
        <w:div w:id="912156318">
          <w:marLeft w:val="720"/>
          <w:marRight w:val="0"/>
          <w:marTop w:val="0"/>
          <w:marBottom w:val="0"/>
          <w:divBdr>
            <w:top w:val="none" w:sz="0" w:space="0" w:color="auto"/>
            <w:left w:val="none" w:sz="0" w:space="0" w:color="auto"/>
            <w:bottom w:val="none" w:sz="0" w:space="0" w:color="auto"/>
            <w:right w:val="none" w:sz="0" w:space="0" w:color="auto"/>
          </w:divBdr>
        </w:div>
      </w:divsChild>
    </w:div>
    <w:div w:id="1989744432">
      <w:bodyDiv w:val="1"/>
      <w:marLeft w:val="0"/>
      <w:marRight w:val="0"/>
      <w:marTop w:val="0"/>
      <w:marBottom w:val="0"/>
      <w:divBdr>
        <w:top w:val="none" w:sz="0" w:space="0" w:color="auto"/>
        <w:left w:val="none" w:sz="0" w:space="0" w:color="auto"/>
        <w:bottom w:val="none" w:sz="0" w:space="0" w:color="auto"/>
        <w:right w:val="none" w:sz="0" w:space="0" w:color="auto"/>
      </w:divBdr>
    </w:div>
    <w:div w:id="2096172727">
      <w:bodyDiv w:val="1"/>
      <w:marLeft w:val="0"/>
      <w:marRight w:val="0"/>
      <w:marTop w:val="0"/>
      <w:marBottom w:val="0"/>
      <w:divBdr>
        <w:top w:val="none" w:sz="0" w:space="0" w:color="auto"/>
        <w:left w:val="none" w:sz="0" w:space="0" w:color="auto"/>
        <w:bottom w:val="none" w:sz="0" w:space="0" w:color="auto"/>
        <w:right w:val="none" w:sz="0" w:space="0" w:color="auto"/>
      </w:divBdr>
      <w:divsChild>
        <w:div w:id="309797995">
          <w:marLeft w:val="0"/>
          <w:marRight w:val="0"/>
          <w:marTop w:val="0"/>
          <w:marBottom w:val="160"/>
          <w:divBdr>
            <w:top w:val="none" w:sz="0" w:space="0" w:color="auto"/>
            <w:left w:val="none" w:sz="0" w:space="0" w:color="auto"/>
            <w:bottom w:val="none" w:sz="0" w:space="0" w:color="auto"/>
            <w:right w:val="none" w:sz="0" w:space="0" w:color="auto"/>
          </w:divBdr>
        </w:div>
        <w:div w:id="1105034212">
          <w:marLeft w:val="0"/>
          <w:marRight w:val="0"/>
          <w:marTop w:val="0"/>
          <w:marBottom w:val="160"/>
          <w:divBdr>
            <w:top w:val="none" w:sz="0" w:space="0" w:color="auto"/>
            <w:left w:val="none" w:sz="0" w:space="0" w:color="auto"/>
            <w:bottom w:val="none" w:sz="0" w:space="0" w:color="auto"/>
            <w:right w:val="none" w:sz="0" w:space="0" w:color="auto"/>
          </w:divBdr>
        </w:div>
        <w:div w:id="144904709">
          <w:marLeft w:val="0"/>
          <w:marRight w:val="0"/>
          <w:marTop w:val="0"/>
          <w:marBottom w:val="160"/>
          <w:divBdr>
            <w:top w:val="none" w:sz="0" w:space="0" w:color="auto"/>
            <w:left w:val="none" w:sz="0" w:space="0" w:color="auto"/>
            <w:bottom w:val="none" w:sz="0" w:space="0" w:color="auto"/>
            <w:right w:val="none" w:sz="0" w:space="0" w:color="auto"/>
          </w:divBdr>
        </w:div>
        <w:div w:id="1698778510">
          <w:marLeft w:val="0"/>
          <w:marRight w:val="0"/>
          <w:marTop w:val="0"/>
          <w:marBottom w:val="160"/>
          <w:divBdr>
            <w:top w:val="none" w:sz="0" w:space="0" w:color="auto"/>
            <w:left w:val="none" w:sz="0" w:space="0" w:color="auto"/>
            <w:bottom w:val="none" w:sz="0" w:space="0" w:color="auto"/>
            <w:right w:val="none" w:sz="0" w:space="0" w:color="auto"/>
          </w:divBdr>
        </w:div>
        <w:div w:id="1415011858">
          <w:marLeft w:val="0"/>
          <w:marRight w:val="0"/>
          <w:marTop w:val="0"/>
          <w:marBottom w:val="160"/>
          <w:divBdr>
            <w:top w:val="none" w:sz="0" w:space="0" w:color="auto"/>
            <w:left w:val="none" w:sz="0" w:space="0" w:color="auto"/>
            <w:bottom w:val="none" w:sz="0" w:space="0" w:color="auto"/>
            <w:right w:val="none" w:sz="0" w:space="0" w:color="auto"/>
          </w:divBdr>
        </w:div>
      </w:divsChild>
    </w:div>
    <w:div w:id="210560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2106</Words>
  <Characters>11588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2025-06-24T13:43:00Z</dcterms:created>
  <dcterms:modified xsi:type="dcterms:W3CDTF">2025-06-24T13:43:00Z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2025-06-24T13:43:14Z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6f2e18f5-3131-4945-b936-3397f3892a16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