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994295" w:rsidRDefault="003314A2" w:rsidP="003314A2">
      <w:pPr>
        <w:spacing w:line="360" w:lineRule="auto"/>
        <w:rPr>
          <w:rFonts w:ascii="Century Gothic" w:hAnsi="Century Gothic"/>
          <w:color w:val="FF0000"/>
          <w:sz w:val="22"/>
          <w:szCs w:val="22"/>
        </w:rPr>
      </w:pPr>
      <w:r w:rsidRPr="00994295">
        <w:rPr>
          <w:rFonts w:ascii="Century Gothic" w:hAnsi="Century Gothic"/>
          <w:noProof/>
          <w:color w:val="FF0000"/>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tbl>
      <w:tblPr>
        <w:tblStyle w:val="Tablaconcuadrcula"/>
        <w:tblW w:w="10207" w:type="dxa"/>
        <w:tblInd w:w="-431" w:type="dxa"/>
        <w:tblLook w:val="04A0" w:firstRow="1" w:lastRow="0" w:firstColumn="1" w:lastColumn="0" w:noHBand="0" w:noVBand="1"/>
      </w:tblPr>
      <w:tblGrid>
        <w:gridCol w:w="4537"/>
        <w:gridCol w:w="5670"/>
      </w:tblGrid>
      <w:tr w:rsidR="00391A6B" w:rsidRPr="00994295" w14:paraId="077F9E4D" w14:textId="77777777" w:rsidTr="003827E1">
        <w:trPr>
          <w:trHeight w:val="454"/>
        </w:trPr>
        <w:tc>
          <w:tcPr>
            <w:tcW w:w="4537" w:type="dxa"/>
            <w:vAlign w:val="center"/>
          </w:tcPr>
          <w:p w14:paraId="239BC5A7" w14:textId="7E10D35F" w:rsidR="00F67EF8" w:rsidRPr="00994295" w:rsidRDefault="00F67EF8" w:rsidP="003B7F1A">
            <w:pPr>
              <w:spacing w:line="360" w:lineRule="auto"/>
              <w:rPr>
                <w:rFonts w:ascii="Century Gothic" w:hAnsi="Century Gothic"/>
                <w:b/>
                <w:bCs/>
                <w:sz w:val="22"/>
                <w:szCs w:val="22"/>
              </w:rPr>
            </w:pPr>
            <w:r w:rsidRPr="00994295">
              <w:rPr>
                <w:rFonts w:ascii="Century Gothic" w:hAnsi="Century Gothic"/>
                <w:b/>
                <w:bCs/>
                <w:sz w:val="22"/>
                <w:szCs w:val="22"/>
              </w:rPr>
              <w:t>Fecha de presentación</w:t>
            </w:r>
          </w:p>
        </w:tc>
        <w:tc>
          <w:tcPr>
            <w:tcW w:w="5670" w:type="dxa"/>
          </w:tcPr>
          <w:p w14:paraId="29FA6EF6" w14:textId="528D9691" w:rsidR="00F67EF8" w:rsidRPr="00994295" w:rsidRDefault="00E70FE1" w:rsidP="00F67EF8">
            <w:pPr>
              <w:spacing w:line="276" w:lineRule="auto"/>
              <w:jc w:val="both"/>
              <w:rPr>
                <w:rFonts w:ascii="Century Gothic" w:hAnsi="Century Gothic"/>
                <w:sz w:val="22"/>
                <w:szCs w:val="22"/>
              </w:rPr>
            </w:pPr>
            <w:r w:rsidRPr="00994295">
              <w:rPr>
                <w:rFonts w:ascii="Century Gothic" w:hAnsi="Century Gothic"/>
                <w:sz w:val="22"/>
                <w:szCs w:val="22"/>
              </w:rPr>
              <w:t>2</w:t>
            </w:r>
            <w:r w:rsidR="00157716" w:rsidRPr="00994295">
              <w:rPr>
                <w:rFonts w:ascii="Century Gothic" w:hAnsi="Century Gothic"/>
                <w:sz w:val="22"/>
                <w:szCs w:val="22"/>
              </w:rPr>
              <w:t>4</w:t>
            </w:r>
            <w:r w:rsidR="002E1D33" w:rsidRPr="00994295">
              <w:rPr>
                <w:rFonts w:ascii="Century Gothic" w:hAnsi="Century Gothic"/>
                <w:sz w:val="22"/>
                <w:szCs w:val="22"/>
              </w:rPr>
              <w:t>/0</w:t>
            </w:r>
            <w:r w:rsidR="00157716" w:rsidRPr="00994295">
              <w:rPr>
                <w:rFonts w:ascii="Century Gothic" w:hAnsi="Century Gothic"/>
                <w:sz w:val="22"/>
                <w:szCs w:val="22"/>
              </w:rPr>
              <w:t>5</w:t>
            </w:r>
            <w:r w:rsidR="002E1D33" w:rsidRPr="00994295">
              <w:rPr>
                <w:rFonts w:ascii="Century Gothic" w:hAnsi="Century Gothic"/>
                <w:sz w:val="22"/>
                <w:szCs w:val="22"/>
              </w:rPr>
              <w:t>/2025</w:t>
            </w:r>
          </w:p>
        </w:tc>
      </w:tr>
      <w:tr w:rsidR="00A70D57" w:rsidRPr="00994295" w14:paraId="6959AD48" w14:textId="77777777" w:rsidTr="003827E1">
        <w:trPr>
          <w:trHeight w:val="454"/>
        </w:trPr>
        <w:tc>
          <w:tcPr>
            <w:tcW w:w="4537" w:type="dxa"/>
            <w:vAlign w:val="center"/>
          </w:tcPr>
          <w:p w14:paraId="45E895A9" w14:textId="1E20E681" w:rsidR="00F67EF8" w:rsidRPr="00994295" w:rsidRDefault="00F67EF8" w:rsidP="003B7F1A">
            <w:pPr>
              <w:spacing w:line="360" w:lineRule="auto"/>
              <w:rPr>
                <w:rFonts w:ascii="Century Gothic" w:hAnsi="Century Gothic"/>
                <w:b/>
                <w:bCs/>
                <w:sz w:val="22"/>
                <w:szCs w:val="22"/>
              </w:rPr>
            </w:pPr>
            <w:r w:rsidRPr="00994295">
              <w:rPr>
                <w:rFonts w:ascii="Century Gothic" w:hAnsi="Century Gothic"/>
                <w:b/>
                <w:bCs/>
                <w:sz w:val="22"/>
                <w:szCs w:val="22"/>
              </w:rPr>
              <w:t>Tipo de abogado</w:t>
            </w:r>
          </w:p>
        </w:tc>
        <w:tc>
          <w:tcPr>
            <w:tcW w:w="5670" w:type="dxa"/>
          </w:tcPr>
          <w:p w14:paraId="06C25C40" w14:textId="4AA4E42D" w:rsidR="00F67EF8" w:rsidRPr="00994295" w:rsidRDefault="00824209" w:rsidP="00F67EF8">
            <w:pPr>
              <w:spacing w:line="276" w:lineRule="auto"/>
              <w:jc w:val="both"/>
              <w:rPr>
                <w:rFonts w:ascii="Century Gothic" w:hAnsi="Century Gothic"/>
                <w:sz w:val="22"/>
                <w:szCs w:val="22"/>
              </w:rPr>
            </w:pPr>
            <w:r w:rsidRPr="00994295">
              <w:rPr>
                <w:rFonts w:ascii="Century Gothic" w:hAnsi="Century Gothic"/>
                <w:sz w:val="22"/>
                <w:szCs w:val="22"/>
              </w:rPr>
              <w:t>EXTERNO</w:t>
            </w:r>
          </w:p>
        </w:tc>
      </w:tr>
      <w:tr w:rsidR="00A70D57" w:rsidRPr="00994295" w14:paraId="2F6DA3B0" w14:textId="77777777" w:rsidTr="003827E1">
        <w:trPr>
          <w:trHeight w:val="454"/>
        </w:trPr>
        <w:tc>
          <w:tcPr>
            <w:tcW w:w="4537" w:type="dxa"/>
            <w:vAlign w:val="center"/>
          </w:tcPr>
          <w:p w14:paraId="30599F8A" w14:textId="674A8832" w:rsidR="00F67EF8" w:rsidRPr="00994295" w:rsidRDefault="00F67EF8" w:rsidP="003B7F1A">
            <w:pPr>
              <w:spacing w:line="360" w:lineRule="auto"/>
              <w:rPr>
                <w:rFonts w:ascii="Century Gothic" w:hAnsi="Century Gothic"/>
                <w:sz w:val="22"/>
                <w:szCs w:val="22"/>
              </w:rPr>
            </w:pPr>
            <w:r w:rsidRPr="00994295">
              <w:rPr>
                <w:rFonts w:ascii="Century Gothic" w:hAnsi="Century Gothic"/>
                <w:b/>
                <w:bCs/>
                <w:sz w:val="22"/>
                <w:szCs w:val="22"/>
              </w:rPr>
              <w:t>Aseguradora vinculada al proceso</w:t>
            </w:r>
          </w:p>
        </w:tc>
        <w:tc>
          <w:tcPr>
            <w:tcW w:w="5670" w:type="dxa"/>
          </w:tcPr>
          <w:p w14:paraId="794A38B0" w14:textId="27CBE986" w:rsidR="00F67EF8" w:rsidRPr="00994295" w:rsidRDefault="00824209" w:rsidP="00F67EF8">
            <w:pPr>
              <w:spacing w:line="276" w:lineRule="auto"/>
              <w:jc w:val="both"/>
              <w:rPr>
                <w:rFonts w:ascii="Century Gothic" w:hAnsi="Century Gothic"/>
                <w:sz w:val="22"/>
                <w:szCs w:val="22"/>
              </w:rPr>
            </w:pPr>
            <w:r w:rsidRPr="00994295">
              <w:rPr>
                <w:rFonts w:ascii="Century Gothic" w:hAnsi="Century Gothic"/>
                <w:sz w:val="22"/>
                <w:szCs w:val="22"/>
              </w:rPr>
              <w:t>GENERALES</w:t>
            </w:r>
          </w:p>
        </w:tc>
      </w:tr>
      <w:tr w:rsidR="00A70D57" w:rsidRPr="00994295" w14:paraId="490540BB" w14:textId="77777777" w:rsidTr="003827E1">
        <w:trPr>
          <w:trHeight w:val="454"/>
        </w:trPr>
        <w:tc>
          <w:tcPr>
            <w:tcW w:w="4537" w:type="dxa"/>
            <w:vAlign w:val="center"/>
          </w:tcPr>
          <w:p w14:paraId="1C2D5235" w14:textId="2B4007F3" w:rsidR="00F67EF8" w:rsidRPr="00994295" w:rsidRDefault="00992368" w:rsidP="003B7F1A">
            <w:pPr>
              <w:spacing w:line="276" w:lineRule="auto"/>
              <w:rPr>
                <w:rFonts w:ascii="Century Gothic" w:hAnsi="Century Gothic"/>
                <w:b/>
                <w:bCs/>
                <w:sz w:val="22"/>
                <w:szCs w:val="22"/>
              </w:rPr>
            </w:pPr>
            <w:r w:rsidRPr="00994295">
              <w:rPr>
                <w:rFonts w:ascii="Century Gothic" w:hAnsi="Century Gothic"/>
                <w:b/>
                <w:bCs/>
                <w:sz w:val="22"/>
                <w:szCs w:val="22"/>
              </w:rPr>
              <w:t>SGC</w:t>
            </w:r>
          </w:p>
        </w:tc>
        <w:tc>
          <w:tcPr>
            <w:tcW w:w="5670" w:type="dxa"/>
          </w:tcPr>
          <w:p w14:paraId="11B788BC" w14:textId="4B579604" w:rsidR="00F67EF8" w:rsidRPr="00994295" w:rsidRDefault="00157716" w:rsidP="00F67EF8">
            <w:pPr>
              <w:spacing w:line="276" w:lineRule="auto"/>
              <w:jc w:val="both"/>
              <w:rPr>
                <w:rFonts w:ascii="Century Gothic" w:hAnsi="Century Gothic"/>
                <w:sz w:val="22"/>
                <w:szCs w:val="22"/>
              </w:rPr>
            </w:pPr>
            <w:r w:rsidRPr="00994295">
              <w:rPr>
                <w:rFonts w:ascii="Century Gothic" w:hAnsi="Century Gothic"/>
                <w:sz w:val="22"/>
                <w:szCs w:val="22"/>
              </w:rPr>
              <w:t>10173</w:t>
            </w:r>
          </w:p>
        </w:tc>
      </w:tr>
      <w:tr w:rsidR="00A70D57" w:rsidRPr="00994295" w14:paraId="1D86DF69" w14:textId="77777777" w:rsidTr="003827E1">
        <w:trPr>
          <w:trHeight w:val="454"/>
        </w:trPr>
        <w:tc>
          <w:tcPr>
            <w:tcW w:w="4537" w:type="dxa"/>
            <w:vAlign w:val="center"/>
          </w:tcPr>
          <w:p w14:paraId="699114C2" w14:textId="0BB9EC2F" w:rsidR="00F67EF8" w:rsidRPr="00994295" w:rsidRDefault="00992368" w:rsidP="003B7F1A">
            <w:pPr>
              <w:spacing w:line="276" w:lineRule="auto"/>
              <w:rPr>
                <w:rFonts w:ascii="Century Gothic" w:hAnsi="Century Gothic"/>
                <w:b/>
                <w:bCs/>
                <w:sz w:val="22"/>
                <w:szCs w:val="22"/>
              </w:rPr>
            </w:pPr>
            <w:r w:rsidRPr="00994295">
              <w:rPr>
                <w:rFonts w:ascii="Century Gothic" w:hAnsi="Century Gothic"/>
                <w:b/>
                <w:bCs/>
                <w:sz w:val="22"/>
                <w:szCs w:val="22"/>
              </w:rPr>
              <w:t>Despacho/Juzgado/ Tribunal</w:t>
            </w:r>
          </w:p>
        </w:tc>
        <w:tc>
          <w:tcPr>
            <w:tcW w:w="5670" w:type="dxa"/>
          </w:tcPr>
          <w:p w14:paraId="7DD6339C" w14:textId="591B4BA9" w:rsidR="00F67EF8" w:rsidRPr="00994295" w:rsidRDefault="002E1D33" w:rsidP="00F67EF8">
            <w:pPr>
              <w:spacing w:line="276" w:lineRule="auto"/>
              <w:jc w:val="both"/>
              <w:rPr>
                <w:rFonts w:ascii="Century Gothic" w:hAnsi="Century Gothic"/>
                <w:sz w:val="22"/>
                <w:szCs w:val="22"/>
              </w:rPr>
            </w:pPr>
            <w:r w:rsidRPr="00994295">
              <w:rPr>
                <w:rFonts w:ascii="Century Gothic" w:hAnsi="Century Gothic"/>
                <w:sz w:val="22"/>
                <w:szCs w:val="22"/>
              </w:rPr>
              <w:t xml:space="preserve">JUZGADO </w:t>
            </w:r>
            <w:r w:rsidR="00157716" w:rsidRPr="00994295">
              <w:rPr>
                <w:rFonts w:ascii="Century Gothic" w:hAnsi="Century Gothic"/>
                <w:sz w:val="22"/>
                <w:szCs w:val="22"/>
              </w:rPr>
              <w:t>4</w:t>
            </w:r>
            <w:r w:rsidRPr="00994295">
              <w:rPr>
                <w:rFonts w:ascii="Century Gothic" w:hAnsi="Century Gothic"/>
                <w:sz w:val="22"/>
                <w:szCs w:val="22"/>
              </w:rPr>
              <w:t xml:space="preserve"> CIVIL </w:t>
            </w:r>
            <w:r w:rsidR="00157716" w:rsidRPr="00994295">
              <w:rPr>
                <w:rFonts w:ascii="Century Gothic" w:hAnsi="Century Gothic"/>
                <w:sz w:val="22"/>
                <w:szCs w:val="22"/>
              </w:rPr>
              <w:t>CIRCUITO</w:t>
            </w:r>
          </w:p>
        </w:tc>
      </w:tr>
      <w:tr w:rsidR="00A70D57" w:rsidRPr="00994295" w14:paraId="54742FD8" w14:textId="77777777" w:rsidTr="003827E1">
        <w:trPr>
          <w:trHeight w:val="454"/>
        </w:trPr>
        <w:tc>
          <w:tcPr>
            <w:tcW w:w="4537" w:type="dxa"/>
            <w:vAlign w:val="center"/>
          </w:tcPr>
          <w:p w14:paraId="5A357CCF" w14:textId="3C7FFC83" w:rsidR="00F67EF8" w:rsidRPr="00994295" w:rsidRDefault="00992368" w:rsidP="003B7F1A">
            <w:pPr>
              <w:spacing w:line="276" w:lineRule="auto"/>
              <w:rPr>
                <w:rFonts w:ascii="Century Gothic" w:hAnsi="Century Gothic"/>
                <w:b/>
                <w:bCs/>
                <w:sz w:val="22"/>
                <w:szCs w:val="22"/>
              </w:rPr>
            </w:pPr>
            <w:r w:rsidRPr="00994295">
              <w:rPr>
                <w:rFonts w:ascii="Century Gothic" w:hAnsi="Century Gothic"/>
                <w:b/>
                <w:bCs/>
                <w:sz w:val="22"/>
                <w:szCs w:val="22"/>
              </w:rPr>
              <w:t xml:space="preserve">Ciudad </w:t>
            </w:r>
          </w:p>
        </w:tc>
        <w:tc>
          <w:tcPr>
            <w:tcW w:w="5670" w:type="dxa"/>
          </w:tcPr>
          <w:p w14:paraId="5101FDD8" w14:textId="0448D802" w:rsidR="00F67EF8" w:rsidRPr="00994295" w:rsidRDefault="00157716" w:rsidP="00F67EF8">
            <w:pPr>
              <w:spacing w:line="276" w:lineRule="auto"/>
              <w:jc w:val="both"/>
              <w:rPr>
                <w:rFonts w:ascii="Century Gothic" w:hAnsi="Century Gothic"/>
                <w:sz w:val="22"/>
                <w:szCs w:val="22"/>
              </w:rPr>
            </w:pPr>
            <w:r w:rsidRPr="00994295">
              <w:rPr>
                <w:rFonts w:ascii="Century Gothic" w:hAnsi="Century Gothic"/>
                <w:sz w:val="22"/>
                <w:szCs w:val="22"/>
              </w:rPr>
              <w:t>IBAGUÉ, TOLIMA</w:t>
            </w:r>
          </w:p>
        </w:tc>
      </w:tr>
      <w:tr w:rsidR="00A70D57" w:rsidRPr="00994295" w14:paraId="3983A9CE" w14:textId="77777777" w:rsidTr="003827E1">
        <w:trPr>
          <w:trHeight w:val="454"/>
        </w:trPr>
        <w:tc>
          <w:tcPr>
            <w:tcW w:w="4537" w:type="dxa"/>
            <w:vAlign w:val="center"/>
          </w:tcPr>
          <w:p w14:paraId="7EC7EF81" w14:textId="3CF9A0A9" w:rsidR="00992368" w:rsidRPr="00994295" w:rsidRDefault="008E249B" w:rsidP="003B7F1A">
            <w:pPr>
              <w:spacing w:line="276" w:lineRule="auto"/>
              <w:rPr>
                <w:rFonts w:ascii="Century Gothic" w:hAnsi="Century Gothic"/>
                <w:b/>
                <w:bCs/>
                <w:sz w:val="22"/>
                <w:szCs w:val="22"/>
              </w:rPr>
            </w:pPr>
            <w:r w:rsidRPr="00994295">
              <w:rPr>
                <w:rFonts w:ascii="Century Gothic" w:hAnsi="Century Gothic"/>
                <w:b/>
                <w:bCs/>
                <w:sz w:val="22"/>
                <w:szCs w:val="22"/>
              </w:rPr>
              <w:t>Radicado completo 23 dígitos</w:t>
            </w:r>
          </w:p>
        </w:tc>
        <w:tc>
          <w:tcPr>
            <w:tcW w:w="5670" w:type="dxa"/>
          </w:tcPr>
          <w:p w14:paraId="573C25D1" w14:textId="5ED7998E" w:rsidR="00992368" w:rsidRPr="00994295" w:rsidRDefault="00157716" w:rsidP="00F67EF8">
            <w:pPr>
              <w:spacing w:line="276" w:lineRule="auto"/>
              <w:jc w:val="both"/>
              <w:rPr>
                <w:rFonts w:ascii="Century Gothic" w:hAnsi="Century Gothic"/>
                <w:sz w:val="22"/>
                <w:szCs w:val="22"/>
              </w:rPr>
            </w:pPr>
            <w:r w:rsidRPr="00994295">
              <w:rPr>
                <w:rFonts w:ascii="Century Gothic" w:eastAsia="Times New Roman" w:hAnsi="Century Gothic" w:cs="Arial"/>
                <w:sz w:val="22"/>
                <w:szCs w:val="22"/>
                <w:lang w:eastAsia="es-CO"/>
              </w:rPr>
              <w:t>73001310300420240002900</w:t>
            </w:r>
            <w:r w:rsidR="00141EC5" w:rsidRPr="00994295">
              <w:rPr>
                <w:rFonts w:ascii="Century Gothic" w:eastAsia="Times New Roman" w:hAnsi="Century Gothic" w:cs="Arial"/>
                <w:sz w:val="22"/>
                <w:szCs w:val="22"/>
                <w:lang w:eastAsia="es-CO"/>
              </w:rPr>
              <w:t>*</w:t>
            </w:r>
          </w:p>
        </w:tc>
      </w:tr>
      <w:tr w:rsidR="00A70D57" w:rsidRPr="00994295" w14:paraId="4A0D8041" w14:textId="77777777" w:rsidTr="003827E1">
        <w:trPr>
          <w:trHeight w:val="454"/>
        </w:trPr>
        <w:tc>
          <w:tcPr>
            <w:tcW w:w="4537" w:type="dxa"/>
            <w:vAlign w:val="center"/>
          </w:tcPr>
          <w:p w14:paraId="6BA2EEB5" w14:textId="7369F36B" w:rsidR="00992368" w:rsidRPr="00994295" w:rsidRDefault="00B2787D" w:rsidP="003B7F1A">
            <w:pPr>
              <w:spacing w:line="276" w:lineRule="auto"/>
              <w:rPr>
                <w:rFonts w:ascii="Century Gothic" w:hAnsi="Century Gothic"/>
                <w:b/>
                <w:bCs/>
                <w:sz w:val="22"/>
                <w:szCs w:val="22"/>
              </w:rPr>
            </w:pPr>
            <w:r w:rsidRPr="00994295">
              <w:rPr>
                <w:rFonts w:ascii="Century Gothic" w:hAnsi="Century Gothic"/>
                <w:b/>
                <w:bCs/>
                <w:sz w:val="22"/>
                <w:szCs w:val="22"/>
              </w:rPr>
              <w:t>Fecha de notificación</w:t>
            </w:r>
          </w:p>
        </w:tc>
        <w:tc>
          <w:tcPr>
            <w:tcW w:w="5670" w:type="dxa"/>
          </w:tcPr>
          <w:p w14:paraId="64AC88EB" w14:textId="6F196F64" w:rsidR="00992368" w:rsidRPr="00994295" w:rsidRDefault="003127E3" w:rsidP="00F67EF8">
            <w:pPr>
              <w:spacing w:line="276" w:lineRule="auto"/>
              <w:jc w:val="both"/>
              <w:rPr>
                <w:rFonts w:ascii="Century Gothic" w:hAnsi="Century Gothic"/>
                <w:sz w:val="22"/>
                <w:szCs w:val="22"/>
              </w:rPr>
            </w:pPr>
            <w:r>
              <w:rPr>
                <w:rFonts w:ascii="Century Gothic" w:hAnsi="Century Gothic"/>
                <w:sz w:val="22"/>
                <w:szCs w:val="22"/>
              </w:rPr>
              <w:t>22</w:t>
            </w:r>
            <w:r w:rsidR="00157716" w:rsidRPr="00994295">
              <w:rPr>
                <w:rFonts w:ascii="Century Gothic" w:hAnsi="Century Gothic"/>
                <w:sz w:val="22"/>
                <w:szCs w:val="22"/>
              </w:rPr>
              <w:t>/0</w:t>
            </w:r>
            <w:r>
              <w:rPr>
                <w:rFonts w:ascii="Century Gothic" w:hAnsi="Century Gothic"/>
                <w:sz w:val="22"/>
                <w:szCs w:val="22"/>
              </w:rPr>
              <w:t>3</w:t>
            </w:r>
            <w:r w:rsidR="00157716" w:rsidRPr="00994295">
              <w:rPr>
                <w:rFonts w:ascii="Century Gothic" w:hAnsi="Century Gothic"/>
                <w:sz w:val="22"/>
                <w:szCs w:val="22"/>
              </w:rPr>
              <w:t>/2024</w:t>
            </w:r>
          </w:p>
        </w:tc>
      </w:tr>
      <w:tr w:rsidR="00A70D57" w:rsidRPr="00994295" w14:paraId="028BDD81" w14:textId="77777777" w:rsidTr="003827E1">
        <w:trPr>
          <w:trHeight w:val="454"/>
        </w:trPr>
        <w:tc>
          <w:tcPr>
            <w:tcW w:w="4537" w:type="dxa"/>
            <w:vAlign w:val="center"/>
          </w:tcPr>
          <w:p w14:paraId="74AA3CB7" w14:textId="0154798B" w:rsidR="00992368" w:rsidRPr="00994295" w:rsidRDefault="00B2787D" w:rsidP="003B7F1A">
            <w:pPr>
              <w:spacing w:line="276" w:lineRule="auto"/>
              <w:rPr>
                <w:rFonts w:ascii="Century Gothic" w:hAnsi="Century Gothic"/>
                <w:b/>
                <w:bCs/>
                <w:sz w:val="22"/>
                <w:szCs w:val="22"/>
              </w:rPr>
            </w:pPr>
            <w:r w:rsidRPr="00994295">
              <w:rPr>
                <w:rFonts w:ascii="Century Gothic" w:hAnsi="Century Gothic"/>
                <w:b/>
                <w:bCs/>
                <w:sz w:val="22"/>
                <w:szCs w:val="22"/>
              </w:rPr>
              <w:t>Fecha vencimiento del término</w:t>
            </w:r>
          </w:p>
        </w:tc>
        <w:tc>
          <w:tcPr>
            <w:tcW w:w="5670" w:type="dxa"/>
          </w:tcPr>
          <w:p w14:paraId="41E82979" w14:textId="78A352B3" w:rsidR="00992368" w:rsidRPr="00994295" w:rsidRDefault="003127E3" w:rsidP="00F67EF8">
            <w:pPr>
              <w:spacing w:line="276" w:lineRule="auto"/>
              <w:jc w:val="both"/>
              <w:rPr>
                <w:rFonts w:ascii="Century Gothic" w:hAnsi="Century Gothic"/>
                <w:sz w:val="22"/>
                <w:szCs w:val="22"/>
              </w:rPr>
            </w:pPr>
            <w:r>
              <w:rPr>
                <w:rFonts w:ascii="Century Gothic" w:hAnsi="Century Gothic"/>
                <w:sz w:val="22"/>
                <w:szCs w:val="22"/>
              </w:rPr>
              <w:t>26</w:t>
            </w:r>
            <w:r w:rsidR="00950A8C" w:rsidRPr="00994295">
              <w:rPr>
                <w:rFonts w:ascii="Century Gothic" w:hAnsi="Century Gothic"/>
                <w:sz w:val="22"/>
                <w:szCs w:val="22"/>
              </w:rPr>
              <w:t>/0</w:t>
            </w:r>
            <w:r>
              <w:rPr>
                <w:rFonts w:ascii="Century Gothic" w:hAnsi="Century Gothic"/>
                <w:sz w:val="22"/>
                <w:szCs w:val="22"/>
              </w:rPr>
              <w:t>4</w:t>
            </w:r>
            <w:r w:rsidR="00950A8C" w:rsidRPr="00994295">
              <w:rPr>
                <w:rFonts w:ascii="Century Gothic" w:hAnsi="Century Gothic"/>
                <w:sz w:val="22"/>
                <w:szCs w:val="22"/>
              </w:rPr>
              <w:t>/202</w:t>
            </w:r>
            <w:r w:rsidR="00157716" w:rsidRPr="00994295">
              <w:rPr>
                <w:rFonts w:ascii="Century Gothic" w:hAnsi="Century Gothic"/>
                <w:sz w:val="22"/>
                <w:szCs w:val="22"/>
              </w:rPr>
              <w:t>4</w:t>
            </w:r>
          </w:p>
        </w:tc>
      </w:tr>
    </w:tbl>
    <w:p w14:paraId="619AE562" w14:textId="77777777" w:rsidR="00BA1E5F" w:rsidRPr="00994295" w:rsidRDefault="00BA1E5F">
      <w:pPr>
        <w:rPr>
          <w:rFonts w:ascii="Century Gothic" w:hAnsi="Century Gothic"/>
          <w:sz w:val="22"/>
          <w:szCs w:val="22"/>
        </w:rPr>
      </w:pPr>
    </w:p>
    <w:p w14:paraId="64A76143" w14:textId="77777777" w:rsidR="00BA1E5F" w:rsidRPr="00994295" w:rsidRDefault="00BA1E5F">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A70D57" w:rsidRPr="00994295" w14:paraId="55765E90" w14:textId="77777777" w:rsidTr="0095378E">
        <w:tc>
          <w:tcPr>
            <w:tcW w:w="10207" w:type="dxa"/>
            <w:shd w:val="clear" w:color="auto" w:fill="C5E0B3" w:themeFill="accent6" w:themeFillTint="66"/>
            <w:vAlign w:val="center"/>
          </w:tcPr>
          <w:p w14:paraId="7B465D4D" w14:textId="5CAE6B68" w:rsidR="00B2787D" w:rsidRPr="00994295" w:rsidRDefault="00B2787D" w:rsidP="00B2787D">
            <w:pPr>
              <w:spacing w:line="276" w:lineRule="auto"/>
              <w:jc w:val="center"/>
              <w:rPr>
                <w:rFonts w:ascii="Century Gothic" w:hAnsi="Century Gothic"/>
                <w:sz w:val="22"/>
                <w:szCs w:val="22"/>
              </w:rPr>
            </w:pPr>
            <w:r w:rsidRPr="00994295">
              <w:rPr>
                <w:rFonts w:ascii="Century Gothic" w:hAnsi="Century Gothic"/>
                <w:b/>
                <w:bCs/>
                <w:sz w:val="22"/>
                <w:szCs w:val="22"/>
              </w:rPr>
              <w:t>Hechos</w:t>
            </w:r>
            <w:r w:rsidR="007C37D7" w:rsidRPr="00994295">
              <w:rPr>
                <w:rFonts w:ascii="Century Gothic" w:hAnsi="Century Gothic"/>
                <w:b/>
                <w:bCs/>
                <w:sz w:val="22"/>
                <w:szCs w:val="22"/>
              </w:rPr>
              <w:t xml:space="preserve"> </w:t>
            </w:r>
            <w:r w:rsidR="007C37D7" w:rsidRPr="00994295">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CA477D" w:rsidRPr="00994295" w14:paraId="59EA92D0" w14:textId="77777777" w:rsidTr="006056E7">
        <w:tc>
          <w:tcPr>
            <w:tcW w:w="10207" w:type="dxa"/>
            <w:vAlign w:val="center"/>
          </w:tcPr>
          <w:p w14:paraId="68C9CB77" w14:textId="77777777" w:rsidR="00FD53B3" w:rsidRPr="00994295" w:rsidRDefault="00FD53B3" w:rsidP="002E1D33">
            <w:pPr>
              <w:spacing w:line="276" w:lineRule="auto"/>
              <w:rPr>
                <w:rFonts w:ascii="Century Gothic" w:hAnsi="Century Gothic"/>
                <w:sz w:val="22"/>
                <w:szCs w:val="22"/>
              </w:rPr>
            </w:pPr>
          </w:p>
          <w:p w14:paraId="65FC9312" w14:textId="20224C5E" w:rsidR="00867D13" w:rsidRPr="00994295" w:rsidRDefault="002E1D33" w:rsidP="00C4153F">
            <w:pPr>
              <w:spacing w:line="276" w:lineRule="auto"/>
              <w:jc w:val="both"/>
              <w:rPr>
                <w:rFonts w:ascii="Century Gothic" w:hAnsi="Century Gothic"/>
                <w:sz w:val="22"/>
                <w:szCs w:val="22"/>
              </w:rPr>
            </w:pPr>
            <w:r w:rsidRPr="00994295">
              <w:rPr>
                <w:rFonts w:ascii="Century Gothic" w:hAnsi="Century Gothic"/>
                <w:sz w:val="22"/>
                <w:szCs w:val="22"/>
              </w:rPr>
              <w:t xml:space="preserve">Se trata de un proceso de responsabilidad civil </w:t>
            </w:r>
            <w:r w:rsidR="00C4153F" w:rsidRPr="00994295">
              <w:rPr>
                <w:rFonts w:ascii="Century Gothic" w:hAnsi="Century Gothic"/>
                <w:sz w:val="22"/>
                <w:szCs w:val="22"/>
              </w:rPr>
              <w:t>por</w:t>
            </w:r>
            <w:r w:rsidRPr="00994295">
              <w:rPr>
                <w:rFonts w:ascii="Century Gothic" w:hAnsi="Century Gothic"/>
                <w:sz w:val="22"/>
                <w:szCs w:val="22"/>
              </w:rPr>
              <w:t xml:space="preserve"> accidente de tránsito</w:t>
            </w:r>
            <w:r w:rsidR="00C4153F" w:rsidRPr="00994295">
              <w:rPr>
                <w:rFonts w:ascii="Century Gothic" w:hAnsi="Century Gothic"/>
                <w:sz w:val="22"/>
                <w:szCs w:val="22"/>
              </w:rPr>
              <w:t xml:space="preserve">. El </w:t>
            </w:r>
            <w:r w:rsidR="006C2B64" w:rsidRPr="00994295">
              <w:rPr>
                <w:rFonts w:ascii="Century Gothic" w:hAnsi="Century Gothic"/>
                <w:b/>
                <w:bCs/>
                <w:sz w:val="22"/>
                <w:szCs w:val="22"/>
              </w:rPr>
              <w:t>09</w:t>
            </w:r>
            <w:r w:rsidR="00157716" w:rsidRPr="00994295">
              <w:rPr>
                <w:rFonts w:ascii="Century Gothic" w:hAnsi="Century Gothic"/>
                <w:b/>
                <w:bCs/>
                <w:sz w:val="22"/>
                <w:szCs w:val="22"/>
              </w:rPr>
              <w:t xml:space="preserve"> de febrero de 2020</w:t>
            </w:r>
            <w:r w:rsidR="00157716" w:rsidRPr="00994295">
              <w:rPr>
                <w:rFonts w:ascii="Century Gothic" w:hAnsi="Century Gothic"/>
                <w:sz w:val="22"/>
                <w:szCs w:val="22"/>
              </w:rPr>
              <w:t xml:space="preserve">, a la altura de la Carrera 1ª con Calle 15 en jurisdicción del municipio de Ibagué (Tolima), el vehículo de servicio público tipo buseta, de placas WTO 433, </w:t>
            </w:r>
            <w:r w:rsidR="00C4153F" w:rsidRPr="00994295">
              <w:rPr>
                <w:rFonts w:ascii="Century Gothic" w:hAnsi="Century Gothic"/>
                <w:sz w:val="22"/>
                <w:szCs w:val="22"/>
              </w:rPr>
              <w:t>afiliad</w:t>
            </w:r>
            <w:r w:rsidR="00103D94" w:rsidRPr="00994295">
              <w:rPr>
                <w:rFonts w:ascii="Century Gothic" w:hAnsi="Century Gothic"/>
                <w:sz w:val="22"/>
                <w:szCs w:val="22"/>
              </w:rPr>
              <w:t>o</w:t>
            </w:r>
            <w:r w:rsidR="00C4153F" w:rsidRPr="00994295">
              <w:rPr>
                <w:rFonts w:ascii="Century Gothic" w:hAnsi="Century Gothic"/>
                <w:sz w:val="22"/>
                <w:szCs w:val="22"/>
              </w:rPr>
              <w:t xml:space="preserve"> a la empresa </w:t>
            </w:r>
            <w:r w:rsidR="00867D13" w:rsidRPr="00994295">
              <w:rPr>
                <w:rFonts w:ascii="Century Gothic" w:hAnsi="Century Gothic"/>
                <w:sz w:val="22"/>
                <w:szCs w:val="22"/>
              </w:rPr>
              <w:t xml:space="preserve">de transporte de servicio público COOPERATIVA DE TRANSPORTADORES DE SERVICIO URBANO DEL TOLIMA ¨COTRAUTOL¨ </w:t>
            </w:r>
            <w:r w:rsidR="00DE05D4" w:rsidRPr="00994295">
              <w:rPr>
                <w:rFonts w:ascii="Century Gothic" w:hAnsi="Century Gothic"/>
                <w:sz w:val="22"/>
                <w:szCs w:val="22"/>
              </w:rPr>
              <w:t xml:space="preserve">colisiona </w:t>
            </w:r>
            <w:r w:rsidR="00867D13" w:rsidRPr="00994295">
              <w:rPr>
                <w:rFonts w:ascii="Century Gothic" w:hAnsi="Century Gothic"/>
                <w:sz w:val="22"/>
                <w:szCs w:val="22"/>
              </w:rPr>
              <w:t>al menor de 12 años, OSCAR ANDRÉS OS</w:t>
            </w:r>
            <w:r w:rsidR="008B5BF2" w:rsidRPr="00994295">
              <w:rPr>
                <w:rFonts w:ascii="Century Gothic" w:hAnsi="Century Gothic"/>
                <w:sz w:val="22"/>
                <w:szCs w:val="22"/>
              </w:rPr>
              <w:t>P</w:t>
            </w:r>
            <w:r w:rsidR="00867D13" w:rsidRPr="00994295">
              <w:rPr>
                <w:rFonts w:ascii="Century Gothic" w:hAnsi="Century Gothic"/>
                <w:sz w:val="22"/>
                <w:szCs w:val="22"/>
              </w:rPr>
              <w:t xml:space="preserve">INA NARANJO </w:t>
            </w:r>
            <w:r w:rsidR="00DE05D4" w:rsidRPr="00994295">
              <w:rPr>
                <w:rFonts w:ascii="Century Gothic" w:hAnsi="Century Gothic"/>
                <w:sz w:val="22"/>
                <w:szCs w:val="22"/>
              </w:rPr>
              <w:t>mientras este se transportaba en una bicicleta, en su criterio</w:t>
            </w:r>
            <w:r w:rsidR="00867D13" w:rsidRPr="00994295">
              <w:rPr>
                <w:rFonts w:ascii="Century Gothic" w:hAnsi="Century Gothic"/>
                <w:sz w:val="22"/>
                <w:szCs w:val="22"/>
              </w:rPr>
              <w:t xml:space="preserve"> </w:t>
            </w:r>
            <w:r w:rsidR="00C4153F" w:rsidRPr="00994295">
              <w:rPr>
                <w:rFonts w:ascii="Century Gothic" w:hAnsi="Century Gothic"/>
                <w:sz w:val="22"/>
                <w:szCs w:val="22"/>
              </w:rPr>
              <w:t xml:space="preserve">por motivos </w:t>
            </w:r>
            <w:r w:rsidR="00867D13" w:rsidRPr="00994295">
              <w:rPr>
                <w:rFonts w:ascii="Century Gothic" w:hAnsi="Century Gothic"/>
                <w:sz w:val="22"/>
                <w:szCs w:val="22"/>
              </w:rPr>
              <w:t>de IMPERICIA, NEGLIGENCIA Y FALTA AL DEBER OBJETIVO DE CUIDADO AL ¨REALIZAR MANIOBRA DE GIRO A LA DERECHA SIN TENER PRECAUCIÓN¨</w:t>
            </w:r>
            <w:r w:rsidR="00103D94" w:rsidRPr="00994295">
              <w:rPr>
                <w:rFonts w:ascii="Century Gothic" w:hAnsi="Century Gothic"/>
                <w:sz w:val="22"/>
                <w:szCs w:val="22"/>
              </w:rPr>
              <w:t>,</w:t>
            </w:r>
            <w:r w:rsidR="00867D13" w:rsidRPr="00994295">
              <w:rPr>
                <w:rFonts w:ascii="Century Gothic" w:hAnsi="Century Gothic"/>
                <w:sz w:val="22"/>
                <w:szCs w:val="22"/>
              </w:rPr>
              <w:t xml:space="preserve"> </w:t>
            </w:r>
            <w:r w:rsidR="00103D94" w:rsidRPr="00994295">
              <w:rPr>
                <w:rFonts w:ascii="Century Gothic" w:hAnsi="Century Gothic"/>
                <w:sz w:val="22"/>
                <w:szCs w:val="22"/>
              </w:rPr>
              <w:t xml:space="preserve">quien </w:t>
            </w:r>
            <w:r w:rsidR="00C4153F" w:rsidRPr="00994295">
              <w:rPr>
                <w:rFonts w:ascii="Century Gothic" w:hAnsi="Century Gothic"/>
                <w:sz w:val="22"/>
                <w:szCs w:val="22"/>
              </w:rPr>
              <w:t>resultó lesionado</w:t>
            </w:r>
            <w:r w:rsidR="00867D13" w:rsidRPr="00994295">
              <w:rPr>
                <w:rFonts w:ascii="Century Gothic" w:hAnsi="Century Gothic"/>
                <w:sz w:val="22"/>
                <w:szCs w:val="22"/>
              </w:rPr>
              <w:t xml:space="preserve"> en sus piernas con una incapacidad médico legal DEFINITIVA de 35 DÍAS. SECUELAS MÉDICO LEGALES: Deformidad física que afecta el cuerpo de carácter permanente; Perturbación funcional del órgano de la locomoción de carácter permanente. El menor fue calificado por la JUNTA REGIONAL DE CALIFICACIÓN DE INVALIDEZ DEL TOLIMA, el 12 de julio de 2023, con un porcentaje de pérdida de capacidad laboral y ocupacional correspondiente al 13,50%</w:t>
            </w:r>
          </w:p>
          <w:p w14:paraId="7A22C218" w14:textId="77777777" w:rsidR="00867D13" w:rsidRPr="00994295" w:rsidRDefault="00867D13" w:rsidP="00C4153F">
            <w:pPr>
              <w:spacing w:line="276" w:lineRule="auto"/>
              <w:jc w:val="both"/>
              <w:rPr>
                <w:rFonts w:ascii="Century Gothic" w:hAnsi="Century Gothic"/>
                <w:sz w:val="22"/>
                <w:szCs w:val="22"/>
              </w:rPr>
            </w:pPr>
          </w:p>
          <w:p w14:paraId="1AE0BD4C" w14:textId="61FEBB99" w:rsidR="00C4153F" w:rsidRPr="00994295" w:rsidRDefault="00867D13" w:rsidP="00C4153F">
            <w:pPr>
              <w:spacing w:line="276" w:lineRule="auto"/>
              <w:jc w:val="both"/>
              <w:rPr>
                <w:rFonts w:ascii="Century Gothic" w:hAnsi="Century Gothic"/>
                <w:sz w:val="22"/>
                <w:szCs w:val="22"/>
              </w:rPr>
            </w:pPr>
            <w:r w:rsidRPr="00994295">
              <w:rPr>
                <w:rFonts w:ascii="Century Gothic" w:hAnsi="Century Gothic"/>
                <w:sz w:val="22"/>
                <w:szCs w:val="22"/>
              </w:rPr>
              <w:t>El vehículo de placas WTO 433 es de propiedad de la señora AMPARO BERMUDEZ VANEGAS y era conducido por el señor JOSE GERMAN DE AZA PALMA para la época de los hechos, este automotor cuenta con Póliza de seguro de responsabilidad civil extracontractual No. AA 003028 contratada con la EQUIDAD.</w:t>
            </w:r>
          </w:p>
          <w:p w14:paraId="1B3E1435" w14:textId="379A04D4" w:rsidR="002D350B" w:rsidRPr="00994295" w:rsidRDefault="002D350B" w:rsidP="00C4153F">
            <w:pPr>
              <w:spacing w:line="276" w:lineRule="auto"/>
              <w:jc w:val="both"/>
              <w:rPr>
                <w:rFonts w:ascii="Century Gothic" w:hAnsi="Century Gothic"/>
                <w:sz w:val="22"/>
                <w:szCs w:val="22"/>
              </w:rPr>
            </w:pPr>
          </w:p>
          <w:p w14:paraId="71F14FEE" w14:textId="2A18ED94" w:rsidR="0064593C" w:rsidRPr="00994295" w:rsidRDefault="00A70D57" w:rsidP="00C4153F">
            <w:pPr>
              <w:spacing w:line="276" w:lineRule="auto"/>
              <w:jc w:val="both"/>
              <w:rPr>
                <w:rFonts w:ascii="Century Gothic" w:hAnsi="Century Gothic"/>
                <w:sz w:val="22"/>
                <w:szCs w:val="22"/>
              </w:rPr>
            </w:pPr>
            <w:r w:rsidRPr="00994295">
              <w:rPr>
                <w:rFonts w:ascii="Century Gothic" w:hAnsi="Century Gothic"/>
                <w:sz w:val="22"/>
                <w:szCs w:val="22"/>
              </w:rPr>
              <w:t>El Informe Policial de Accidente de tránsito refiere dos hipótesis una al menor</w:t>
            </w:r>
            <w:r w:rsidR="00DE05D4" w:rsidRPr="00994295">
              <w:rPr>
                <w:rFonts w:ascii="Century Gothic" w:hAnsi="Century Gothic"/>
                <w:sz w:val="22"/>
                <w:szCs w:val="22"/>
              </w:rPr>
              <w:t xml:space="preserve"> (No. 157 ¨NO UTILIZAR LA ZONA DESTINADA AL TRÁNSITO DE BICICLETAS¨)</w:t>
            </w:r>
            <w:r w:rsidRPr="00994295">
              <w:rPr>
                <w:rFonts w:ascii="Century Gothic" w:hAnsi="Century Gothic"/>
                <w:sz w:val="22"/>
                <w:szCs w:val="22"/>
              </w:rPr>
              <w:t xml:space="preserve"> y otra al vehículo (No. 157 ¨REALIZAR MANIOBRA DE GIRO A LA DERECHA SIN TENER PRECAUCIÓN¨), existe Dictamen pericial </w:t>
            </w:r>
            <w:r w:rsidRPr="00994295">
              <w:rPr>
                <w:rFonts w:ascii="Century Gothic" w:hAnsi="Century Gothic"/>
                <w:sz w:val="22"/>
                <w:szCs w:val="22"/>
              </w:rPr>
              <w:lastRenderedPageBreak/>
              <w:t>aportado</w:t>
            </w:r>
            <w:r w:rsidR="00DE05D4" w:rsidRPr="00994295">
              <w:rPr>
                <w:rFonts w:ascii="Century Gothic" w:hAnsi="Century Gothic"/>
                <w:sz w:val="22"/>
                <w:szCs w:val="22"/>
              </w:rPr>
              <w:t xml:space="preserve"> por la activa</w:t>
            </w:r>
            <w:r w:rsidRPr="00994295">
              <w:rPr>
                <w:rFonts w:ascii="Century Gothic" w:hAnsi="Century Gothic"/>
                <w:sz w:val="22"/>
                <w:szCs w:val="22"/>
              </w:rPr>
              <w:t xml:space="preserve"> el cual estima los perjuicios materiales de la activa y dictamen pericial de reconstrucción analítica del accidente de tránsito el cual considera que ERA FÍSICAMENTE EVITABLE EL ACCIDENTE DE TRÁNSITO POR PARTE DEL CONDUCTOR DE LA BUSETA QUE SE DISPUSO A CONDUCIR SIN PRECAUCIÓN, NI RESPETAR LAS DEMARCACIONES VIALES.</w:t>
            </w:r>
          </w:p>
          <w:p w14:paraId="12900F71" w14:textId="77777777" w:rsidR="00A70D57" w:rsidRPr="00994295" w:rsidRDefault="00A70D57" w:rsidP="00C4153F">
            <w:pPr>
              <w:spacing w:line="276" w:lineRule="auto"/>
              <w:jc w:val="both"/>
              <w:rPr>
                <w:rFonts w:ascii="Century Gothic" w:hAnsi="Century Gothic"/>
                <w:sz w:val="22"/>
                <w:szCs w:val="22"/>
              </w:rPr>
            </w:pPr>
          </w:p>
          <w:p w14:paraId="28DB9564" w14:textId="195F1285" w:rsidR="00B2787D" w:rsidRPr="00994295" w:rsidRDefault="00A70D57" w:rsidP="00C4153F">
            <w:pPr>
              <w:spacing w:line="276" w:lineRule="auto"/>
              <w:jc w:val="both"/>
              <w:rPr>
                <w:rFonts w:ascii="Century Gothic" w:hAnsi="Century Gothic"/>
                <w:sz w:val="22"/>
                <w:szCs w:val="22"/>
              </w:rPr>
            </w:pPr>
            <w:r w:rsidRPr="00994295">
              <w:rPr>
                <w:rFonts w:ascii="Century Gothic" w:hAnsi="Century Gothic"/>
                <w:sz w:val="22"/>
                <w:szCs w:val="22"/>
              </w:rPr>
              <w:t>La compañía esta vinculada de forma directa</w:t>
            </w:r>
            <w:r w:rsidR="00360E1A" w:rsidRPr="00994295">
              <w:rPr>
                <w:rFonts w:ascii="Century Gothic" w:hAnsi="Century Gothic"/>
                <w:sz w:val="22"/>
                <w:szCs w:val="22"/>
              </w:rPr>
              <w:t xml:space="preserve"> y también</w:t>
            </w:r>
            <w:r w:rsidRPr="00994295">
              <w:rPr>
                <w:rFonts w:ascii="Century Gothic" w:hAnsi="Century Gothic"/>
                <w:sz w:val="22"/>
                <w:szCs w:val="22"/>
              </w:rPr>
              <w:t xml:space="preserve"> se le llamó en garantía por parte </w:t>
            </w:r>
            <w:proofErr w:type="gramStart"/>
            <w:r w:rsidRPr="00994295">
              <w:rPr>
                <w:rFonts w:ascii="Century Gothic" w:hAnsi="Century Gothic"/>
                <w:sz w:val="22"/>
                <w:szCs w:val="22"/>
              </w:rPr>
              <w:t>de  “</w:t>
            </w:r>
            <w:proofErr w:type="gramEnd"/>
            <w:r w:rsidRPr="00994295">
              <w:rPr>
                <w:rFonts w:ascii="Century Gothic" w:hAnsi="Century Gothic"/>
                <w:sz w:val="22"/>
                <w:szCs w:val="22"/>
              </w:rPr>
              <w:t>COTRAUTOL” el cual fue admitido el 26 de junio de 2024</w:t>
            </w:r>
            <w:r w:rsidR="00360E1A" w:rsidRPr="00994295">
              <w:rPr>
                <w:rFonts w:ascii="Century Gothic" w:hAnsi="Century Gothic"/>
                <w:sz w:val="22"/>
                <w:szCs w:val="22"/>
              </w:rPr>
              <w:t>.</w:t>
            </w:r>
          </w:p>
          <w:p w14:paraId="6F56444B" w14:textId="5B86D221" w:rsidR="00DE05D4" w:rsidRPr="00994295" w:rsidRDefault="00DE05D4" w:rsidP="00C4153F">
            <w:pPr>
              <w:spacing w:line="276" w:lineRule="auto"/>
              <w:jc w:val="both"/>
              <w:rPr>
                <w:rFonts w:ascii="Century Gothic" w:hAnsi="Century Gothic"/>
                <w:sz w:val="22"/>
                <w:szCs w:val="22"/>
              </w:rPr>
            </w:pPr>
          </w:p>
          <w:p w14:paraId="5E381095" w14:textId="4CF9EA19" w:rsidR="00DE05D4" w:rsidRPr="00994295" w:rsidRDefault="00DE05D4" w:rsidP="00DE05D4">
            <w:pPr>
              <w:spacing w:line="276" w:lineRule="auto"/>
              <w:jc w:val="both"/>
              <w:rPr>
                <w:rFonts w:ascii="Century Gothic" w:hAnsi="Century Gothic"/>
                <w:sz w:val="22"/>
                <w:szCs w:val="22"/>
              </w:rPr>
            </w:pPr>
            <w:r w:rsidRPr="00994295">
              <w:rPr>
                <w:rFonts w:ascii="Century Gothic" w:hAnsi="Century Gothic"/>
                <w:sz w:val="22"/>
                <w:szCs w:val="22"/>
              </w:rPr>
              <w:t xml:space="preserve">La compañía aporta INFORME TÉCNICO – PERICIAL DE RECONSTRUCCIÓN FORENSE DE ACCIDENTE DE TRÁNSITO el cual concluye que, </w:t>
            </w:r>
            <w:r w:rsidR="005D5768" w:rsidRPr="00994295">
              <w:rPr>
                <w:rFonts w:ascii="Century Gothic" w:hAnsi="Century Gothic"/>
                <w:sz w:val="22"/>
                <w:szCs w:val="22"/>
              </w:rPr>
              <w:t>l</w:t>
            </w:r>
            <w:r w:rsidRPr="00994295">
              <w:rPr>
                <w:rFonts w:ascii="Century Gothic" w:hAnsi="Century Gothic"/>
                <w:sz w:val="22"/>
                <w:szCs w:val="22"/>
              </w:rPr>
              <w:t>a causa DETERMINANTE del accidente obedece al tránsito en contravía sobre la calle 15 con carrera 1 en sentido oriente – occidente por parte del vehículo No. 2 BICICLETA y realizar el cruce de la intersección sin tomar las medidas de precaución.</w:t>
            </w:r>
          </w:p>
          <w:p w14:paraId="2B4C03C1" w14:textId="77777777" w:rsidR="00B2787D" w:rsidRPr="00994295" w:rsidRDefault="00B2787D" w:rsidP="007C37D7">
            <w:pPr>
              <w:spacing w:line="276" w:lineRule="auto"/>
              <w:jc w:val="center"/>
              <w:rPr>
                <w:rFonts w:ascii="Century Gothic" w:hAnsi="Century Gothic"/>
                <w:sz w:val="22"/>
                <w:szCs w:val="22"/>
              </w:rPr>
            </w:pPr>
          </w:p>
          <w:p w14:paraId="1E38C86D" w14:textId="428DE983" w:rsidR="005D5768" w:rsidRPr="00994295" w:rsidRDefault="005D5768" w:rsidP="005D5768">
            <w:pPr>
              <w:spacing w:line="360" w:lineRule="auto"/>
              <w:jc w:val="both"/>
              <w:rPr>
                <w:rFonts w:ascii="Century Gothic" w:hAnsi="Century Gothic"/>
                <w:sz w:val="22"/>
                <w:szCs w:val="22"/>
                <w:u w:val="single"/>
              </w:rPr>
            </w:pPr>
            <w:r w:rsidRPr="00994295">
              <w:rPr>
                <w:rFonts w:ascii="Century Gothic" w:hAnsi="Century Gothic"/>
                <w:sz w:val="22"/>
                <w:szCs w:val="22"/>
                <w:u w:val="single"/>
              </w:rPr>
              <w:t>DATOS</w:t>
            </w:r>
            <w:r w:rsidR="006C2B64" w:rsidRPr="00994295">
              <w:rPr>
                <w:rFonts w:ascii="Century Gothic" w:hAnsi="Century Gothic"/>
                <w:sz w:val="22"/>
                <w:szCs w:val="22"/>
                <w:u w:val="single"/>
              </w:rPr>
              <w:t xml:space="preserve"> FECHAS</w:t>
            </w:r>
            <w:r w:rsidRPr="00994295">
              <w:rPr>
                <w:rFonts w:ascii="Century Gothic" w:hAnsi="Century Gothic"/>
                <w:sz w:val="22"/>
                <w:szCs w:val="22"/>
                <w:u w:val="single"/>
              </w:rPr>
              <w:t>:</w:t>
            </w:r>
          </w:p>
          <w:p w14:paraId="2248D66A" w14:textId="77777777" w:rsidR="005D5768" w:rsidRPr="00994295" w:rsidRDefault="005D5768" w:rsidP="005D5768">
            <w:pPr>
              <w:spacing w:line="360" w:lineRule="auto"/>
              <w:jc w:val="both"/>
              <w:rPr>
                <w:rFonts w:ascii="Century Gothic" w:hAnsi="Century Gothic"/>
                <w:sz w:val="22"/>
                <w:szCs w:val="22"/>
              </w:rPr>
            </w:pPr>
            <w:r w:rsidRPr="00994295">
              <w:rPr>
                <w:rFonts w:ascii="Century Gothic" w:hAnsi="Century Gothic"/>
                <w:sz w:val="22"/>
                <w:szCs w:val="22"/>
              </w:rPr>
              <w:t xml:space="preserve">Solicitud de indemnización </w:t>
            </w:r>
            <w:r w:rsidRPr="00994295">
              <w:rPr>
                <w:rFonts w:ascii="Century Gothic" w:hAnsi="Century Gothic"/>
                <w:b/>
                <w:bCs/>
                <w:sz w:val="22"/>
                <w:szCs w:val="22"/>
              </w:rPr>
              <w:t>23 de noviembre de 2022</w:t>
            </w:r>
          </w:p>
          <w:p w14:paraId="0E005ACD" w14:textId="517531C0" w:rsidR="005D5768" w:rsidRPr="00994295" w:rsidRDefault="005D5768" w:rsidP="005D5768">
            <w:pPr>
              <w:spacing w:line="360" w:lineRule="auto"/>
              <w:jc w:val="both"/>
              <w:rPr>
                <w:rFonts w:ascii="Century Gothic" w:hAnsi="Century Gothic"/>
                <w:sz w:val="22"/>
                <w:szCs w:val="22"/>
              </w:rPr>
            </w:pPr>
            <w:r w:rsidRPr="00994295">
              <w:rPr>
                <w:rFonts w:ascii="Century Gothic" w:hAnsi="Century Gothic"/>
                <w:sz w:val="22"/>
                <w:szCs w:val="22"/>
              </w:rPr>
              <w:t>Objeción 29 de mayo de 2023.</w:t>
            </w:r>
          </w:p>
          <w:p w14:paraId="3EA81688" w14:textId="77777777" w:rsidR="005D5768" w:rsidRPr="00994295" w:rsidRDefault="005D5768" w:rsidP="005D5768">
            <w:pPr>
              <w:spacing w:line="360" w:lineRule="auto"/>
              <w:jc w:val="both"/>
              <w:rPr>
                <w:rFonts w:ascii="Century Gothic" w:hAnsi="Century Gothic"/>
                <w:sz w:val="22"/>
                <w:szCs w:val="22"/>
              </w:rPr>
            </w:pPr>
            <w:r w:rsidRPr="00994295">
              <w:rPr>
                <w:rFonts w:ascii="Century Gothic" w:hAnsi="Century Gothic"/>
                <w:sz w:val="22"/>
                <w:szCs w:val="22"/>
              </w:rPr>
              <w:t xml:space="preserve">Demanda radicada el </w:t>
            </w:r>
            <w:r w:rsidRPr="00994295">
              <w:rPr>
                <w:rFonts w:ascii="Century Gothic" w:hAnsi="Century Gothic"/>
                <w:sz w:val="22"/>
                <w:szCs w:val="22"/>
                <w:u w:val="single"/>
              </w:rPr>
              <w:t>12 de septiembre de 2023</w:t>
            </w:r>
            <w:r w:rsidRPr="00994295">
              <w:rPr>
                <w:rFonts w:ascii="Century Gothic" w:hAnsi="Century Gothic"/>
                <w:sz w:val="22"/>
                <w:szCs w:val="22"/>
              </w:rPr>
              <w:t xml:space="preserve">, rechazada por competencia y radicada en el despacho correspondiente por reparto el </w:t>
            </w:r>
            <w:r w:rsidRPr="00994295">
              <w:rPr>
                <w:rFonts w:ascii="Century Gothic" w:hAnsi="Century Gothic"/>
                <w:b/>
                <w:bCs/>
                <w:sz w:val="22"/>
                <w:szCs w:val="22"/>
              </w:rPr>
              <w:t>06 de febrero de 2024.</w:t>
            </w:r>
          </w:p>
          <w:p w14:paraId="285181BA" w14:textId="7B19E3FB" w:rsidR="005D5768" w:rsidRPr="00994295" w:rsidRDefault="005D5768" w:rsidP="005D5768">
            <w:pPr>
              <w:spacing w:line="276" w:lineRule="auto"/>
              <w:jc w:val="both"/>
              <w:rPr>
                <w:rFonts w:ascii="Century Gothic" w:hAnsi="Century Gothic"/>
                <w:sz w:val="22"/>
                <w:szCs w:val="22"/>
              </w:rPr>
            </w:pPr>
          </w:p>
        </w:tc>
      </w:tr>
    </w:tbl>
    <w:p w14:paraId="20C76EE3" w14:textId="77777777" w:rsidR="003827E1" w:rsidRPr="00994295" w:rsidRDefault="003827E1">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CA477D" w:rsidRPr="00994295" w14:paraId="2BD14B8D" w14:textId="77777777" w:rsidTr="0095378E">
        <w:tc>
          <w:tcPr>
            <w:tcW w:w="10207" w:type="dxa"/>
            <w:gridSpan w:val="2"/>
            <w:shd w:val="clear" w:color="auto" w:fill="C5E0B3" w:themeFill="accent6" w:themeFillTint="66"/>
            <w:vAlign w:val="center"/>
          </w:tcPr>
          <w:p w14:paraId="00111EA5" w14:textId="08575358" w:rsidR="007C37D7" w:rsidRPr="00994295" w:rsidRDefault="007C37D7" w:rsidP="007C37D7">
            <w:pPr>
              <w:spacing w:line="276" w:lineRule="auto"/>
              <w:jc w:val="center"/>
              <w:rPr>
                <w:rFonts w:ascii="Century Gothic" w:hAnsi="Century Gothic"/>
                <w:sz w:val="22"/>
                <w:szCs w:val="22"/>
              </w:rPr>
            </w:pPr>
            <w:r w:rsidRPr="00994295">
              <w:rPr>
                <w:rFonts w:ascii="Century Gothic" w:hAnsi="Century Gothic"/>
                <w:b/>
                <w:bCs/>
                <w:sz w:val="22"/>
                <w:szCs w:val="22"/>
              </w:rPr>
              <w:t xml:space="preserve">Pretensiones </w:t>
            </w:r>
            <w:r w:rsidRPr="00994295">
              <w:rPr>
                <w:rFonts w:ascii="Century Gothic" w:hAnsi="Century Gothic"/>
                <w:sz w:val="22"/>
                <w:szCs w:val="22"/>
              </w:rPr>
              <w:t>(haga un relato o enliste las pretensiones de la demanda/llamamiento en garantía)</w:t>
            </w:r>
          </w:p>
        </w:tc>
      </w:tr>
      <w:tr w:rsidR="00CA477D" w:rsidRPr="00994295" w14:paraId="2B7256CB" w14:textId="77777777" w:rsidTr="006056E7">
        <w:tc>
          <w:tcPr>
            <w:tcW w:w="10207" w:type="dxa"/>
            <w:gridSpan w:val="2"/>
            <w:vAlign w:val="center"/>
          </w:tcPr>
          <w:p w14:paraId="5F89CCF0" w14:textId="77777777" w:rsidR="00C4153F" w:rsidRPr="00994295" w:rsidRDefault="002E1D33" w:rsidP="00CA477D">
            <w:pPr>
              <w:spacing w:line="276" w:lineRule="auto"/>
              <w:jc w:val="both"/>
              <w:rPr>
                <w:rFonts w:ascii="Century Gothic" w:hAnsi="Century Gothic"/>
                <w:sz w:val="22"/>
                <w:szCs w:val="22"/>
              </w:rPr>
            </w:pPr>
            <w:r w:rsidRPr="00994295">
              <w:rPr>
                <w:rFonts w:ascii="Century Gothic" w:hAnsi="Century Gothic"/>
                <w:sz w:val="22"/>
                <w:szCs w:val="22"/>
              </w:rPr>
              <w:t xml:space="preserve">De la demanda: </w:t>
            </w:r>
          </w:p>
          <w:p w14:paraId="6389F09D" w14:textId="77777777" w:rsidR="00356A4E" w:rsidRPr="00994295" w:rsidRDefault="00356A4E" w:rsidP="00CA477D">
            <w:pPr>
              <w:spacing w:line="276" w:lineRule="auto"/>
              <w:jc w:val="both"/>
              <w:rPr>
                <w:rFonts w:ascii="Century Gothic" w:hAnsi="Century Gothic"/>
                <w:sz w:val="22"/>
                <w:szCs w:val="22"/>
              </w:rPr>
            </w:pPr>
          </w:p>
          <w:p w14:paraId="7B7272C3" w14:textId="1392C9A6" w:rsidR="00C4153F" w:rsidRPr="00994295" w:rsidRDefault="00C560E8" w:rsidP="00CA477D">
            <w:pPr>
              <w:pStyle w:val="Prrafodelista"/>
              <w:numPr>
                <w:ilvl w:val="0"/>
                <w:numId w:val="3"/>
              </w:numPr>
              <w:spacing w:line="276" w:lineRule="auto"/>
              <w:jc w:val="both"/>
              <w:rPr>
                <w:rFonts w:ascii="Century Gothic" w:hAnsi="Century Gothic"/>
                <w:sz w:val="22"/>
                <w:szCs w:val="22"/>
              </w:rPr>
            </w:pPr>
            <w:r w:rsidRPr="00994295">
              <w:rPr>
                <w:rFonts w:ascii="Century Gothic" w:hAnsi="Century Gothic"/>
                <w:sz w:val="22"/>
                <w:szCs w:val="22"/>
              </w:rPr>
              <w:t>Que se declare a los demandados responsables civil, patrimonial y extracontractualmente por el daño ocasionado al menor de forma directa y a su madre.</w:t>
            </w:r>
          </w:p>
          <w:p w14:paraId="0784FAB6" w14:textId="4D143776" w:rsidR="00C560E8" w:rsidRPr="00994295" w:rsidRDefault="00C560E8" w:rsidP="00CA477D">
            <w:pPr>
              <w:pStyle w:val="Prrafodelista"/>
              <w:numPr>
                <w:ilvl w:val="0"/>
                <w:numId w:val="3"/>
              </w:numPr>
              <w:spacing w:line="276" w:lineRule="auto"/>
              <w:jc w:val="both"/>
              <w:rPr>
                <w:rFonts w:ascii="Century Gothic" w:eastAsia="Times New Roman" w:hAnsi="Century Gothic" w:cs="Arial"/>
                <w:sz w:val="22"/>
                <w:szCs w:val="22"/>
                <w:bdr w:val="none" w:sz="0" w:space="0" w:color="auto" w:frame="1"/>
                <w:lang w:eastAsia="es-CO"/>
              </w:rPr>
            </w:pPr>
            <w:r w:rsidRPr="00994295">
              <w:rPr>
                <w:rFonts w:ascii="Century Gothic" w:eastAsia="Times New Roman" w:hAnsi="Century Gothic" w:cs="Arial"/>
                <w:sz w:val="22"/>
                <w:szCs w:val="22"/>
                <w:bdr w:val="none" w:sz="0" w:space="0" w:color="auto" w:frame="1"/>
                <w:lang w:eastAsia="es-CO"/>
              </w:rPr>
              <w:t>Que se declare la solidaridad entre los demandados</w:t>
            </w:r>
          </w:p>
          <w:p w14:paraId="67E0B437" w14:textId="380B11B2" w:rsidR="00C560E8" w:rsidRPr="00994295" w:rsidRDefault="00C560E8" w:rsidP="00CA477D">
            <w:pPr>
              <w:pStyle w:val="Prrafodelista"/>
              <w:numPr>
                <w:ilvl w:val="0"/>
                <w:numId w:val="3"/>
              </w:numPr>
              <w:spacing w:line="276" w:lineRule="auto"/>
              <w:jc w:val="both"/>
              <w:rPr>
                <w:rFonts w:ascii="Century Gothic" w:eastAsia="Times New Roman" w:hAnsi="Century Gothic" w:cs="Arial"/>
                <w:sz w:val="22"/>
                <w:szCs w:val="22"/>
                <w:bdr w:val="none" w:sz="0" w:space="0" w:color="auto" w:frame="1"/>
                <w:lang w:eastAsia="es-CO"/>
              </w:rPr>
            </w:pPr>
            <w:r w:rsidRPr="00994295">
              <w:rPr>
                <w:rFonts w:ascii="Century Gothic" w:eastAsia="Times New Roman" w:hAnsi="Century Gothic" w:cs="Arial"/>
                <w:sz w:val="22"/>
                <w:szCs w:val="22"/>
                <w:bdr w:val="none" w:sz="0" w:space="0" w:color="auto" w:frame="1"/>
                <w:lang w:eastAsia="es-CO"/>
              </w:rPr>
              <w:t xml:space="preserve">Que se condene a los demandados a pagar: </w:t>
            </w:r>
          </w:p>
          <w:p w14:paraId="1BB2A32C" w14:textId="19FEC220" w:rsidR="00C560E8" w:rsidRPr="00994295" w:rsidRDefault="00C560E8" w:rsidP="00CA477D">
            <w:pPr>
              <w:pStyle w:val="Prrafodelista"/>
              <w:numPr>
                <w:ilvl w:val="0"/>
                <w:numId w:val="5"/>
              </w:numPr>
              <w:spacing w:line="276" w:lineRule="auto"/>
              <w:jc w:val="both"/>
              <w:rPr>
                <w:rFonts w:ascii="Century Gothic" w:eastAsia="Times New Roman" w:hAnsi="Century Gothic" w:cs="Arial"/>
                <w:sz w:val="22"/>
                <w:szCs w:val="22"/>
                <w:bdr w:val="none" w:sz="0" w:space="0" w:color="auto" w:frame="1"/>
                <w:lang w:eastAsia="es-CO"/>
              </w:rPr>
            </w:pPr>
            <w:r w:rsidRPr="00994295">
              <w:rPr>
                <w:rFonts w:ascii="Century Gothic" w:eastAsia="Times New Roman" w:hAnsi="Century Gothic" w:cs="Arial"/>
                <w:sz w:val="22"/>
                <w:szCs w:val="22"/>
                <w:bdr w:val="none" w:sz="0" w:space="0" w:color="auto" w:frame="1"/>
                <w:lang w:eastAsia="es-CO"/>
              </w:rPr>
              <w:t xml:space="preserve">PERJUICIO PATRIMONIAL- Lucro cesante $28.440.661,50 o la suma que se pruebe dentro del proceso. </w:t>
            </w:r>
          </w:p>
          <w:p w14:paraId="5D69FA60" w14:textId="4D1F4454" w:rsidR="00C560E8" w:rsidRPr="00994295" w:rsidRDefault="00C560E8" w:rsidP="00CA477D">
            <w:pPr>
              <w:pStyle w:val="Prrafodelista"/>
              <w:numPr>
                <w:ilvl w:val="0"/>
                <w:numId w:val="5"/>
              </w:numPr>
              <w:spacing w:line="276" w:lineRule="auto"/>
              <w:jc w:val="both"/>
              <w:rPr>
                <w:rFonts w:ascii="Century Gothic" w:eastAsia="Times New Roman" w:hAnsi="Century Gothic" w:cs="Arial"/>
                <w:sz w:val="22"/>
                <w:szCs w:val="22"/>
                <w:bdr w:val="none" w:sz="0" w:space="0" w:color="auto" w:frame="1"/>
                <w:lang w:eastAsia="es-CO"/>
              </w:rPr>
            </w:pPr>
            <w:r w:rsidRPr="00994295">
              <w:rPr>
                <w:rFonts w:ascii="Century Gothic" w:eastAsia="Times New Roman" w:hAnsi="Century Gothic" w:cs="Arial"/>
                <w:sz w:val="22"/>
                <w:szCs w:val="22"/>
                <w:bdr w:val="none" w:sz="0" w:space="0" w:color="auto" w:frame="1"/>
                <w:lang w:eastAsia="es-CO"/>
              </w:rPr>
              <w:t>PERJUICIO INMATERIAL- Daño moral 150 SMLMV, 100 SMLMV para la v</w:t>
            </w:r>
            <w:r w:rsidR="00CA477D" w:rsidRPr="00994295">
              <w:rPr>
                <w:rFonts w:ascii="Century Gothic" w:eastAsia="Times New Roman" w:hAnsi="Century Gothic" w:cs="Arial"/>
                <w:sz w:val="22"/>
                <w:szCs w:val="22"/>
                <w:bdr w:val="none" w:sz="0" w:space="0" w:color="auto" w:frame="1"/>
                <w:lang w:eastAsia="es-CO"/>
              </w:rPr>
              <w:t>íc</w:t>
            </w:r>
            <w:r w:rsidRPr="00994295">
              <w:rPr>
                <w:rFonts w:ascii="Century Gothic" w:eastAsia="Times New Roman" w:hAnsi="Century Gothic" w:cs="Arial"/>
                <w:sz w:val="22"/>
                <w:szCs w:val="22"/>
                <w:bdr w:val="none" w:sz="0" w:space="0" w:color="auto" w:frame="1"/>
                <w:lang w:eastAsia="es-CO"/>
              </w:rPr>
              <w:t>tima y 50 SMLMV para la madre</w:t>
            </w:r>
            <w:r w:rsidR="00CA477D" w:rsidRPr="00994295">
              <w:rPr>
                <w:rFonts w:ascii="Century Gothic" w:eastAsia="Times New Roman" w:hAnsi="Century Gothic" w:cs="Arial"/>
                <w:sz w:val="22"/>
                <w:szCs w:val="22"/>
                <w:bdr w:val="none" w:sz="0" w:space="0" w:color="auto" w:frame="1"/>
                <w:lang w:eastAsia="es-CO"/>
              </w:rPr>
              <w:t>. -Daño Vida de relación 50 SMLMV para la víctima.</w:t>
            </w:r>
          </w:p>
          <w:p w14:paraId="438D172B" w14:textId="13A425DB" w:rsidR="00CA477D" w:rsidRPr="00994295" w:rsidRDefault="00CA477D" w:rsidP="00CA477D">
            <w:pPr>
              <w:pStyle w:val="Prrafodelista"/>
              <w:numPr>
                <w:ilvl w:val="0"/>
                <w:numId w:val="3"/>
              </w:numPr>
              <w:spacing w:line="276" w:lineRule="auto"/>
              <w:jc w:val="both"/>
              <w:rPr>
                <w:rFonts w:ascii="Century Gothic" w:eastAsia="Times New Roman" w:hAnsi="Century Gothic" w:cs="Arial"/>
                <w:sz w:val="22"/>
                <w:szCs w:val="22"/>
                <w:bdr w:val="none" w:sz="0" w:space="0" w:color="auto" w:frame="1"/>
                <w:lang w:eastAsia="es-CO"/>
              </w:rPr>
            </w:pPr>
            <w:r w:rsidRPr="00994295">
              <w:rPr>
                <w:rFonts w:ascii="Century Gothic" w:eastAsia="Times New Roman" w:hAnsi="Century Gothic" w:cs="Arial"/>
                <w:sz w:val="22"/>
                <w:szCs w:val="22"/>
                <w:bdr w:val="none" w:sz="0" w:space="0" w:color="auto" w:frame="1"/>
                <w:lang w:eastAsia="es-CO"/>
              </w:rPr>
              <w:t>Que se condene al pago de intereses de mora desde el momento en el que se causó el daño</w:t>
            </w:r>
          </w:p>
          <w:p w14:paraId="0F8923C5" w14:textId="25B3D1B9" w:rsidR="00CA477D" w:rsidRPr="00994295" w:rsidRDefault="00CA477D" w:rsidP="00CA477D">
            <w:pPr>
              <w:pStyle w:val="Prrafodelista"/>
              <w:numPr>
                <w:ilvl w:val="0"/>
                <w:numId w:val="3"/>
              </w:numPr>
              <w:spacing w:line="276" w:lineRule="auto"/>
              <w:jc w:val="both"/>
              <w:rPr>
                <w:rFonts w:ascii="Century Gothic" w:eastAsia="Times New Roman" w:hAnsi="Century Gothic" w:cs="Arial"/>
                <w:sz w:val="22"/>
                <w:szCs w:val="22"/>
                <w:bdr w:val="none" w:sz="0" w:space="0" w:color="auto" w:frame="1"/>
                <w:lang w:eastAsia="es-CO"/>
              </w:rPr>
            </w:pPr>
            <w:r w:rsidRPr="00994295">
              <w:rPr>
                <w:rFonts w:ascii="Century Gothic" w:eastAsia="Times New Roman" w:hAnsi="Century Gothic" w:cs="Arial"/>
                <w:sz w:val="22"/>
                <w:szCs w:val="22"/>
                <w:bdr w:val="none" w:sz="0" w:space="0" w:color="auto" w:frame="1"/>
                <w:lang w:eastAsia="es-CO"/>
              </w:rPr>
              <w:t>Que se condene al pago de costas</w:t>
            </w:r>
          </w:p>
          <w:p w14:paraId="2DC2BBD9" w14:textId="77777777" w:rsidR="00356A4E" w:rsidRPr="00994295" w:rsidRDefault="00356A4E" w:rsidP="00CA477D">
            <w:pPr>
              <w:spacing w:line="276" w:lineRule="auto"/>
              <w:jc w:val="both"/>
              <w:rPr>
                <w:rFonts w:ascii="Century Gothic" w:hAnsi="Century Gothic"/>
                <w:sz w:val="22"/>
                <w:szCs w:val="22"/>
              </w:rPr>
            </w:pPr>
          </w:p>
          <w:p w14:paraId="2154190E" w14:textId="71A75307" w:rsidR="002E1D33" w:rsidRPr="00994295" w:rsidRDefault="002E1D33" w:rsidP="00CA477D">
            <w:pPr>
              <w:spacing w:line="276" w:lineRule="auto"/>
              <w:jc w:val="both"/>
              <w:rPr>
                <w:rFonts w:ascii="Century Gothic" w:hAnsi="Century Gothic"/>
                <w:sz w:val="22"/>
                <w:szCs w:val="22"/>
              </w:rPr>
            </w:pPr>
            <w:r w:rsidRPr="00994295">
              <w:rPr>
                <w:rFonts w:ascii="Century Gothic" w:hAnsi="Century Gothic"/>
                <w:sz w:val="22"/>
                <w:szCs w:val="22"/>
              </w:rPr>
              <w:t xml:space="preserve">Del llamamiento: </w:t>
            </w:r>
          </w:p>
          <w:p w14:paraId="3B291B78" w14:textId="330FA209" w:rsidR="00CA477D" w:rsidRPr="00994295" w:rsidRDefault="00CA477D" w:rsidP="00CA477D">
            <w:pPr>
              <w:spacing w:line="276" w:lineRule="auto"/>
              <w:jc w:val="both"/>
              <w:rPr>
                <w:rFonts w:ascii="Century Gothic" w:hAnsi="Century Gothic"/>
                <w:sz w:val="22"/>
                <w:szCs w:val="22"/>
              </w:rPr>
            </w:pPr>
          </w:p>
          <w:p w14:paraId="79C80C22" w14:textId="0321B312" w:rsidR="00CA477D" w:rsidRPr="00994295" w:rsidRDefault="00CA477D" w:rsidP="00CA477D">
            <w:pPr>
              <w:pStyle w:val="Prrafodelista"/>
              <w:numPr>
                <w:ilvl w:val="0"/>
                <w:numId w:val="6"/>
              </w:numPr>
              <w:spacing w:line="276" w:lineRule="auto"/>
              <w:jc w:val="both"/>
              <w:rPr>
                <w:rFonts w:ascii="Century Gothic" w:hAnsi="Century Gothic"/>
                <w:sz w:val="22"/>
                <w:szCs w:val="22"/>
              </w:rPr>
            </w:pPr>
            <w:r w:rsidRPr="00994295">
              <w:rPr>
                <w:rFonts w:ascii="Century Gothic" w:hAnsi="Century Gothic"/>
                <w:sz w:val="22"/>
                <w:szCs w:val="22"/>
              </w:rPr>
              <w:lastRenderedPageBreak/>
              <w:t>Que se llama en garantía a la aseguradora por la Póliza de seguro de responsabilidad civil extracontractual No. AA 003028</w:t>
            </w:r>
          </w:p>
          <w:p w14:paraId="77C06868" w14:textId="58EC64A9" w:rsidR="00FD53B3" w:rsidRPr="00994295" w:rsidRDefault="00CA477D" w:rsidP="00CA477D">
            <w:pPr>
              <w:pStyle w:val="Prrafodelista"/>
              <w:numPr>
                <w:ilvl w:val="0"/>
                <w:numId w:val="6"/>
              </w:numPr>
              <w:spacing w:line="276" w:lineRule="auto"/>
              <w:jc w:val="both"/>
              <w:rPr>
                <w:rFonts w:ascii="Century Gothic" w:hAnsi="Century Gothic"/>
                <w:sz w:val="22"/>
                <w:szCs w:val="22"/>
              </w:rPr>
            </w:pPr>
            <w:r w:rsidRPr="00994295">
              <w:rPr>
                <w:rFonts w:ascii="Century Gothic" w:hAnsi="Century Gothic"/>
                <w:sz w:val="22"/>
                <w:szCs w:val="22"/>
              </w:rPr>
              <w:t>Que en caso de condena a COTRAUTOL se condene a la aseguradora a pagar dicho valor por la cobertura de la póliza</w:t>
            </w:r>
          </w:p>
        </w:tc>
      </w:tr>
      <w:tr w:rsidR="00391A6B" w:rsidRPr="00994295" w14:paraId="50D1C7A7" w14:textId="77777777" w:rsidTr="003827E1">
        <w:trPr>
          <w:trHeight w:val="510"/>
        </w:trPr>
        <w:tc>
          <w:tcPr>
            <w:tcW w:w="4537" w:type="dxa"/>
            <w:vAlign w:val="center"/>
          </w:tcPr>
          <w:p w14:paraId="013247F4" w14:textId="68D4118C" w:rsidR="00992368" w:rsidRPr="00994295" w:rsidRDefault="001E1616" w:rsidP="003B7F1A">
            <w:pPr>
              <w:spacing w:line="276" w:lineRule="auto"/>
              <w:rPr>
                <w:rFonts w:ascii="Century Gothic" w:hAnsi="Century Gothic"/>
                <w:b/>
                <w:bCs/>
                <w:sz w:val="22"/>
                <w:szCs w:val="22"/>
              </w:rPr>
            </w:pPr>
            <w:r w:rsidRPr="00994295">
              <w:rPr>
                <w:rFonts w:ascii="Century Gothic" w:hAnsi="Century Gothic"/>
                <w:b/>
                <w:bCs/>
                <w:sz w:val="22"/>
                <w:szCs w:val="22"/>
              </w:rPr>
              <w:lastRenderedPageBreak/>
              <w:t xml:space="preserve">Valor total de las pretensiones </w:t>
            </w:r>
          </w:p>
        </w:tc>
        <w:tc>
          <w:tcPr>
            <w:tcW w:w="5670" w:type="dxa"/>
            <w:vAlign w:val="center"/>
          </w:tcPr>
          <w:p w14:paraId="00FEFA37" w14:textId="213FF706" w:rsidR="00992368" w:rsidRPr="00994295" w:rsidRDefault="0077350A" w:rsidP="003827E1">
            <w:pPr>
              <w:spacing w:line="276" w:lineRule="auto"/>
              <w:rPr>
                <w:rFonts w:ascii="Century Gothic" w:hAnsi="Century Gothic"/>
                <w:sz w:val="22"/>
                <w:szCs w:val="22"/>
              </w:rPr>
            </w:pPr>
            <w:r>
              <w:rPr>
                <w:rFonts w:ascii="Century Gothic" w:hAnsi="Century Gothic"/>
                <w:sz w:val="22"/>
                <w:szCs w:val="22"/>
              </w:rPr>
              <w:t>$</w:t>
            </w:r>
            <w:r w:rsidRPr="0077350A">
              <w:rPr>
                <w:rFonts w:ascii="Century Gothic" w:hAnsi="Century Gothic"/>
                <w:sz w:val="22"/>
                <w:szCs w:val="22"/>
              </w:rPr>
              <w:t>260.440.661</w:t>
            </w:r>
          </w:p>
        </w:tc>
      </w:tr>
      <w:tr w:rsidR="00391A6B" w:rsidRPr="00994295" w14:paraId="668F9413" w14:textId="77777777" w:rsidTr="003827E1">
        <w:trPr>
          <w:trHeight w:val="510"/>
        </w:trPr>
        <w:tc>
          <w:tcPr>
            <w:tcW w:w="4537" w:type="dxa"/>
            <w:vAlign w:val="center"/>
          </w:tcPr>
          <w:p w14:paraId="34E17619" w14:textId="7EF66606" w:rsidR="00992368" w:rsidRPr="00994295" w:rsidRDefault="00FD53B3" w:rsidP="003B7F1A">
            <w:pPr>
              <w:spacing w:line="276" w:lineRule="auto"/>
              <w:rPr>
                <w:rFonts w:ascii="Century Gothic" w:hAnsi="Century Gothic"/>
                <w:b/>
                <w:bCs/>
                <w:sz w:val="22"/>
                <w:szCs w:val="22"/>
              </w:rPr>
            </w:pPr>
            <w:r w:rsidRPr="00994295">
              <w:rPr>
                <w:rFonts w:ascii="Century Gothic" w:hAnsi="Century Gothic"/>
                <w:b/>
                <w:bCs/>
                <w:sz w:val="22"/>
                <w:szCs w:val="22"/>
              </w:rPr>
              <w:t>Valor total de las pretensiones objetivadas</w:t>
            </w:r>
          </w:p>
        </w:tc>
        <w:tc>
          <w:tcPr>
            <w:tcW w:w="5670" w:type="dxa"/>
            <w:vAlign w:val="center"/>
          </w:tcPr>
          <w:p w14:paraId="487C6084" w14:textId="5A9C8E15" w:rsidR="00992368" w:rsidRPr="00994295" w:rsidRDefault="00A77FED" w:rsidP="003827E1">
            <w:pPr>
              <w:spacing w:line="276" w:lineRule="auto"/>
              <w:rPr>
                <w:rFonts w:ascii="Century Gothic" w:hAnsi="Century Gothic"/>
                <w:color w:val="FF0000"/>
                <w:sz w:val="22"/>
                <w:szCs w:val="22"/>
              </w:rPr>
            </w:pPr>
            <w:r w:rsidRPr="00994295">
              <w:rPr>
                <w:rFonts w:ascii="Century Gothic" w:hAnsi="Century Gothic"/>
                <w:sz w:val="22"/>
                <w:szCs w:val="22"/>
              </w:rPr>
              <w:t>$</w:t>
            </w:r>
            <w:r w:rsidR="00681F87" w:rsidRPr="00681F87">
              <w:rPr>
                <w:rFonts w:ascii="Century Gothic" w:hAnsi="Century Gothic"/>
                <w:sz w:val="22"/>
                <w:szCs w:val="22"/>
              </w:rPr>
              <w:t>95.629.861</w:t>
            </w:r>
          </w:p>
        </w:tc>
      </w:tr>
    </w:tbl>
    <w:p w14:paraId="146E9C6D" w14:textId="77777777" w:rsidR="0095378E" w:rsidRPr="00994295" w:rsidRDefault="0095378E">
      <w:pPr>
        <w:rPr>
          <w:rFonts w:ascii="Century Gothic" w:hAnsi="Century Gothic"/>
          <w:color w:val="FF0000"/>
          <w:sz w:val="22"/>
          <w:szCs w:val="22"/>
        </w:rPr>
      </w:pPr>
    </w:p>
    <w:tbl>
      <w:tblPr>
        <w:tblStyle w:val="Tablaconcuadrcula"/>
        <w:tblW w:w="10191" w:type="dxa"/>
        <w:tblInd w:w="-431" w:type="dxa"/>
        <w:tblLook w:val="04A0" w:firstRow="1" w:lastRow="0" w:firstColumn="1" w:lastColumn="0" w:noHBand="0" w:noVBand="1"/>
      </w:tblPr>
      <w:tblGrid>
        <w:gridCol w:w="10191"/>
      </w:tblGrid>
      <w:tr w:rsidR="00391A6B" w:rsidRPr="00994295" w14:paraId="77F9F71B" w14:textId="77777777" w:rsidTr="0095378E">
        <w:trPr>
          <w:trHeight w:val="285"/>
        </w:trPr>
        <w:tc>
          <w:tcPr>
            <w:tcW w:w="10191" w:type="dxa"/>
            <w:shd w:val="clear" w:color="auto" w:fill="C5E0B3" w:themeFill="accent6" w:themeFillTint="66"/>
            <w:vAlign w:val="center"/>
          </w:tcPr>
          <w:p w14:paraId="10E33877" w14:textId="0E982702" w:rsidR="00E802BC" w:rsidRPr="00994295" w:rsidRDefault="00E802BC" w:rsidP="00E802BC">
            <w:pPr>
              <w:spacing w:line="276" w:lineRule="auto"/>
              <w:jc w:val="center"/>
              <w:rPr>
                <w:rFonts w:ascii="Century Gothic" w:hAnsi="Century Gothic"/>
                <w:color w:val="FF0000"/>
                <w:sz w:val="22"/>
                <w:szCs w:val="22"/>
              </w:rPr>
            </w:pPr>
            <w:r w:rsidRPr="00994295">
              <w:rPr>
                <w:rFonts w:ascii="Century Gothic" w:hAnsi="Century Gothic"/>
                <w:b/>
                <w:bCs/>
                <w:sz w:val="22"/>
                <w:szCs w:val="22"/>
              </w:rPr>
              <w:t>Liquidación de las pretensiones objetivadas</w:t>
            </w:r>
          </w:p>
        </w:tc>
      </w:tr>
      <w:tr w:rsidR="00391A6B" w:rsidRPr="00994295" w14:paraId="33786C43" w14:textId="77777777" w:rsidTr="0095378E">
        <w:trPr>
          <w:trHeight w:val="6406"/>
        </w:trPr>
        <w:tc>
          <w:tcPr>
            <w:tcW w:w="10191" w:type="dxa"/>
            <w:vAlign w:val="center"/>
          </w:tcPr>
          <w:p w14:paraId="36F2D778" w14:textId="6C58105D" w:rsidR="002D350B" w:rsidRPr="00994295" w:rsidRDefault="002D350B" w:rsidP="002D350B">
            <w:pPr>
              <w:spacing w:line="276" w:lineRule="auto"/>
              <w:jc w:val="both"/>
              <w:rPr>
                <w:rFonts w:ascii="Century Gothic" w:hAnsi="Century Gothic"/>
                <w:sz w:val="22"/>
                <w:szCs w:val="22"/>
              </w:rPr>
            </w:pPr>
            <w:r w:rsidRPr="00994295">
              <w:rPr>
                <w:rFonts w:ascii="Century Gothic" w:hAnsi="Century Gothic"/>
                <w:sz w:val="22"/>
                <w:szCs w:val="22"/>
              </w:rPr>
              <w:t xml:space="preserve">Como liquidación objetiva de perjuicios se tasa </w:t>
            </w:r>
            <w:r w:rsidR="00197E4C" w:rsidRPr="00994295">
              <w:rPr>
                <w:rFonts w:ascii="Century Gothic" w:hAnsi="Century Gothic"/>
                <w:sz w:val="22"/>
                <w:szCs w:val="22"/>
              </w:rPr>
              <w:t xml:space="preserve">en la suma de </w:t>
            </w:r>
            <w:r w:rsidRPr="00994295">
              <w:rPr>
                <w:rFonts w:ascii="Century Gothic" w:hAnsi="Century Gothic"/>
                <w:sz w:val="22"/>
                <w:szCs w:val="22"/>
              </w:rPr>
              <w:t>$</w:t>
            </w:r>
            <w:r w:rsidR="00681F87" w:rsidRPr="00681F87">
              <w:rPr>
                <w:rFonts w:ascii="Century Gothic" w:hAnsi="Century Gothic"/>
                <w:sz w:val="22"/>
                <w:szCs w:val="22"/>
              </w:rPr>
              <w:t>95.629.86</w:t>
            </w:r>
            <w:r w:rsidR="00681F87">
              <w:rPr>
                <w:rFonts w:ascii="Century Gothic" w:hAnsi="Century Gothic"/>
                <w:sz w:val="22"/>
                <w:szCs w:val="22"/>
              </w:rPr>
              <w:t xml:space="preserve">1 </w:t>
            </w:r>
            <w:r w:rsidRPr="00994295">
              <w:rPr>
                <w:rFonts w:ascii="Century Gothic" w:hAnsi="Century Gothic"/>
                <w:sz w:val="22"/>
                <w:szCs w:val="22"/>
              </w:rPr>
              <w:t>a la fecha de esta liquidación</w:t>
            </w:r>
            <w:r w:rsidR="00197E4C" w:rsidRPr="00994295">
              <w:rPr>
                <w:rFonts w:ascii="Century Gothic" w:hAnsi="Century Gothic"/>
                <w:sz w:val="22"/>
                <w:szCs w:val="22"/>
              </w:rPr>
              <w:t>.</w:t>
            </w:r>
            <w:r w:rsidRPr="00994295">
              <w:rPr>
                <w:rFonts w:ascii="Century Gothic" w:hAnsi="Century Gothic"/>
                <w:sz w:val="22"/>
                <w:szCs w:val="22"/>
              </w:rPr>
              <w:t xml:space="preserve"> Lo anterior, con base en los siguientes fundamentos:</w:t>
            </w:r>
          </w:p>
          <w:p w14:paraId="712CA572" w14:textId="77777777" w:rsidR="007443CD" w:rsidRPr="00994295" w:rsidRDefault="007443CD" w:rsidP="00C82AE2">
            <w:pPr>
              <w:spacing w:line="276" w:lineRule="auto"/>
              <w:jc w:val="both"/>
              <w:rPr>
                <w:rFonts w:ascii="Century Gothic" w:hAnsi="Century Gothic"/>
                <w:color w:val="FF0000"/>
                <w:sz w:val="22"/>
                <w:szCs w:val="22"/>
              </w:rPr>
            </w:pPr>
          </w:p>
          <w:p w14:paraId="43B7EB6D" w14:textId="77777777" w:rsidR="00681F87" w:rsidRDefault="002D350B" w:rsidP="003136A4">
            <w:pPr>
              <w:pStyle w:val="Prrafodelista"/>
              <w:numPr>
                <w:ilvl w:val="0"/>
                <w:numId w:val="2"/>
              </w:numPr>
              <w:spacing w:line="276" w:lineRule="auto"/>
              <w:jc w:val="both"/>
              <w:rPr>
                <w:rFonts w:ascii="Century Gothic" w:hAnsi="Century Gothic"/>
                <w:sz w:val="22"/>
                <w:szCs w:val="22"/>
              </w:rPr>
            </w:pPr>
            <w:r w:rsidRPr="00994295">
              <w:rPr>
                <w:rFonts w:ascii="Century Gothic" w:hAnsi="Century Gothic"/>
                <w:sz w:val="22"/>
                <w:szCs w:val="22"/>
              </w:rPr>
              <w:t xml:space="preserve">Lucro cesante: </w:t>
            </w:r>
            <w:r w:rsidR="00E26ED3" w:rsidRPr="00994295">
              <w:rPr>
                <w:rFonts w:ascii="Century Gothic" w:hAnsi="Century Gothic"/>
                <w:sz w:val="22"/>
                <w:szCs w:val="22"/>
              </w:rPr>
              <w:t>Se tendrá en cuenta la suma</w:t>
            </w:r>
            <w:r w:rsidR="00681F87">
              <w:rPr>
                <w:rFonts w:ascii="Century Gothic" w:hAnsi="Century Gothic"/>
                <w:sz w:val="22"/>
                <w:szCs w:val="22"/>
              </w:rPr>
              <w:t xml:space="preserve"> de </w:t>
            </w:r>
            <w:r w:rsidR="00681F87" w:rsidRPr="00681F87">
              <w:rPr>
                <w:rFonts w:ascii="Century Gothic" w:hAnsi="Century Gothic"/>
                <w:sz w:val="22"/>
                <w:szCs w:val="22"/>
              </w:rPr>
              <w:t>$28.440.66</w:t>
            </w:r>
            <w:r w:rsidR="00681F87">
              <w:rPr>
                <w:rFonts w:ascii="Century Gothic" w:hAnsi="Century Gothic"/>
                <w:sz w:val="22"/>
                <w:szCs w:val="22"/>
              </w:rPr>
              <w:t>1, pues si bien la liquidación objetiva arroja un cálculo</w:t>
            </w:r>
            <w:r w:rsidR="00E26ED3" w:rsidRPr="00994295">
              <w:rPr>
                <w:rFonts w:ascii="Century Gothic" w:hAnsi="Century Gothic"/>
                <w:sz w:val="22"/>
                <w:szCs w:val="22"/>
              </w:rPr>
              <w:t xml:space="preserve"> de $</w:t>
            </w:r>
            <w:r w:rsidR="003136A4" w:rsidRPr="00994295">
              <w:rPr>
                <w:rFonts w:ascii="Century Gothic" w:hAnsi="Century Gothic"/>
                <w:sz w:val="22"/>
                <w:szCs w:val="22"/>
              </w:rPr>
              <w:t>47.819.817 como lucro cesante futuro,</w:t>
            </w:r>
            <w:r w:rsidR="00E26ED3" w:rsidRPr="00994295">
              <w:rPr>
                <w:rFonts w:ascii="Century Gothic" w:hAnsi="Century Gothic"/>
                <w:sz w:val="22"/>
                <w:szCs w:val="22"/>
              </w:rPr>
              <w:t xml:space="preserve"> </w:t>
            </w:r>
            <w:r w:rsidR="00681F87">
              <w:rPr>
                <w:rFonts w:ascii="Century Gothic" w:hAnsi="Century Gothic"/>
                <w:sz w:val="22"/>
                <w:szCs w:val="22"/>
              </w:rPr>
              <w:t>e</w:t>
            </w:r>
            <w:r w:rsidR="00681F87" w:rsidRPr="00681F87">
              <w:rPr>
                <w:rFonts w:ascii="Century Gothic" w:hAnsi="Century Gothic"/>
                <w:sz w:val="22"/>
                <w:szCs w:val="22"/>
              </w:rPr>
              <w:t xml:space="preserve">ste valor es superior al que </w:t>
            </w:r>
            <w:r w:rsidR="00681F87">
              <w:rPr>
                <w:rFonts w:ascii="Century Gothic" w:hAnsi="Century Gothic"/>
                <w:sz w:val="22"/>
                <w:szCs w:val="22"/>
              </w:rPr>
              <w:t>se solicitó</w:t>
            </w:r>
            <w:r w:rsidR="00681F87" w:rsidRPr="00681F87">
              <w:rPr>
                <w:rFonts w:ascii="Century Gothic" w:hAnsi="Century Gothic"/>
                <w:sz w:val="22"/>
                <w:szCs w:val="22"/>
              </w:rPr>
              <w:t xml:space="preserve"> en la demanda</w:t>
            </w:r>
            <w:r w:rsidR="00681F87">
              <w:rPr>
                <w:rFonts w:ascii="Century Gothic" w:hAnsi="Century Gothic"/>
                <w:sz w:val="22"/>
                <w:szCs w:val="22"/>
              </w:rPr>
              <w:t xml:space="preserve">, por lo tanto, </w:t>
            </w:r>
            <w:r w:rsidR="00681F87" w:rsidRPr="00681F87">
              <w:rPr>
                <w:rFonts w:ascii="Century Gothic" w:hAnsi="Century Gothic"/>
                <w:sz w:val="22"/>
                <w:szCs w:val="22"/>
              </w:rPr>
              <w:t>aunque la liquidación de más, en virtud del principio de congruencia solamente podrán reconocerle hasta el límite de lo pedido $28.440.661</w:t>
            </w:r>
            <w:r w:rsidR="00681F87">
              <w:rPr>
                <w:rFonts w:ascii="Century Gothic" w:hAnsi="Century Gothic"/>
                <w:sz w:val="22"/>
                <w:szCs w:val="22"/>
              </w:rPr>
              <w:t xml:space="preserve">. </w:t>
            </w:r>
          </w:p>
          <w:p w14:paraId="11FFD737" w14:textId="77777777" w:rsidR="00681F87" w:rsidRDefault="00681F87" w:rsidP="00681F87">
            <w:pPr>
              <w:pStyle w:val="Prrafodelista"/>
              <w:spacing w:line="276" w:lineRule="auto"/>
              <w:ind w:left="1065"/>
              <w:jc w:val="both"/>
              <w:rPr>
                <w:rFonts w:ascii="Century Gothic" w:hAnsi="Century Gothic"/>
                <w:sz w:val="22"/>
                <w:szCs w:val="22"/>
              </w:rPr>
            </w:pPr>
          </w:p>
          <w:p w14:paraId="576BAE9E" w14:textId="78708631" w:rsidR="003136A4" w:rsidRPr="00994295" w:rsidRDefault="00681F87" w:rsidP="00A77FED">
            <w:pPr>
              <w:pStyle w:val="Prrafodelista"/>
              <w:spacing w:line="276" w:lineRule="auto"/>
              <w:ind w:left="1065"/>
              <w:jc w:val="both"/>
              <w:rPr>
                <w:rFonts w:ascii="Century Gothic" w:hAnsi="Century Gothic"/>
                <w:sz w:val="22"/>
                <w:szCs w:val="22"/>
              </w:rPr>
            </w:pPr>
            <w:r>
              <w:rPr>
                <w:rFonts w:ascii="Century Gothic" w:hAnsi="Century Gothic"/>
                <w:sz w:val="22"/>
                <w:szCs w:val="22"/>
              </w:rPr>
              <w:t>El resultado de la liquidación del lucro cesante futuro de $</w:t>
            </w:r>
            <w:r w:rsidRPr="00994295">
              <w:rPr>
                <w:rFonts w:ascii="Century Gothic" w:hAnsi="Century Gothic"/>
                <w:sz w:val="22"/>
                <w:szCs w:val="22"/>
              </w:rPr>
              <w:t>47.819.817</w:t>
            </w:r>
            <w:r>
              <w:rPr>
                <w:rFonts w:ascii="Century Gothic" w:hAnsi="Century Gothic"/>
                <w:sz w:val="22"/>
                <w:szCs w:val="22"/>
              </w:rPr>
              <w:t xml:space="preserve"> se determina </w:t>
            </w:r>
            <w:r w:rsidR="00D33E78" w:rsidRPr="00994295">
              <w:rPr>
                <w:rFonts w:ascii="Century Gothic" w:hAnsi="Century Gothic"/>
                <w:sz w:val="22"/>
                <w:szCs w:val="22"/>
              </w:rPr>
              <w:t xml:space="preserve">en consideración a </w:t>
            </w:r>
            <w:r w:rsidR="003015F4" w:rsidRPr="00994295">
              <w:rPr>
                <w:rFonts w:ascii="Century Gothic" w:hAnsi="Century Gothic"/>
                <w:sz w:val="22"/>
                <w:szCs w:val="22"/>
              </w:rPr>
              <w:t xml:space="preserve">su porcentaje de pérdida de capacidad laboral y ocupacional correspondiente al 13,50% </w:t>
            </w:r>
            <w:r w:rsidR="00D33E78" w:rsidRPr="00994295">
              <w:rPr>
                <w:rFonts w:ascii="Century Gothic" w:hAnsi="Century Gothic"/>
                <w:sz w:val="22"/>
                <w:szCs w:val="22"/>
              </w:rPr>
              <w:t xml:space="preserve">y con base en el salario mínimo </w:t>
            </w:r>
            <w:r w:rsidR="00AE5656" w:rsidRPr="00994295">
              <w:rPr>
                <w:rFonts w:ascii="Century Gothic" w:hAnsi="Century Gothic"/>
                <w:sz w:val="22"/>
                <w:szCs w:val="22"/>
              </w:rPr>
              <w:t>(</w:t>
            </w:r>
            <w:r w:rsidR="00994295" w:rsidRPr="00994295">
              <w:rPr>
                <w:rFonts w:ascii="Century Gothic" w:hAnsi="Century Gothic"/>
                <w:sz w:val="22"/>
                <w:szCs w:val="22"/>
              </w:rPr>
              <w:t xml:space="preserve">$1.423.500- año </w:t>
            </w:r>
            <w:r w:rsidR="00AE5656" w:rsidRPr="00994295">
              <w:rPr>
                <w:rFonts w:ascii="Century Gothic" w:hAnsi="Century Gothic"/>
                <w:sz w:val="22"/>
                <w:szCs w:val="22"/>
              </w:rPr>
              <w:t>202</w:t>
            </w:r>
            <w:r w:rsidR="003136A4" w:rsidRPr="00994295">
              <w:rPr>
                <w:rFonts w:ascii="Century Gothic" w:hAnsi="Century Gothic"/>
                <w:sz w:val="22"/>
                <w:szCs w:val="22"/>
              </w:rPr>
              <w:t>5</w:t>
            </w:r>
            <w:r w:rsidR="00994295" w:rsidRPr="00994295">
              <w:rPr>
                <w:rFonts w:ascii="Century Gothic" w:hAnsi="Century Gothic"/>
                <w:sz w:val="22"/>
                <w:szCs w:val="22"/>
              </w:rPr>
              <w:t>-</w:t>
            </w:r>
            <w:r w:rsidR="00AE5656" w:rsidRPr="00994295">
              <w:rPr>
                <w:rFonts w:ascii="Century Gothic" w:hAnsi="Century Gothic"/>
                <w:sz w:val="22"/>
                <w:szCs w:val="22"/>
              </w:rPr>
              <w:t>)</w:t>
            </w:r>
            <w:r>
              <w:rPr>
                <w:rFonts w:ascii="Century Gothic" w:hAnsi="Century Gothic"/>
                <w:sz w:val="22"/>
                <w:szCs w:val="22"/>
              </w:rPr>
              <w:t xml:space="preserve"> más 25% de prestaciones sociales</w:t>
            </w:r>
            <w:r w:rsidR="003136A4" w:rsidRPr="00994295">
              <w:rPr>
                <w:rFonts w:ascii="Century Gothic" w:hAnsi="Century Gothic"/>
                <w:sz w:val="22"/>
                <w:szCs w:val="22"/>
              </w:rPr>
              <w:t xml:space="preserve">, ello desde que adquiere la mayoría de edad </w:t>
            </w:r>
            <w:r w:rsidR="00994295" w:rsidRPr="00994295">
              <w:rPr>
                <w:rFonts w:ascii="Century Gothic" w:hAnsi="Century Gothic"/>
                <w:sz w:val="22"/>
                <w:szCs w:val="22"/>
              </w:rPr>
              <w:t>(</w:t>
            </w:r>
            <w:r w:rsidR="003136A4" w:rsidRPr="00994295">
              <w:rPr>
                <w:rFonts w:ascii="Century Gothic" w:hAnsi="Century Gothic"/>
                <w:sz w:val="22"/>
                <w:szCs w:val="22"/>
              </w:rPr>
              <w:t>30 de agosto de 2025)</w:t>
            </w:r>
            <w:r w:rsidR="00AE5656" w:rsidRPr="00994295">
              <w:rPr>
                <w:rFonts w:ascii="Century Gothic" w:hAnsi="Century Gothic"/>
                <w:sz w:val="22"/>
                <w:szCs w:val="22"/>
              </w:rPr>
              <w:t xml:space="preserve"> </w:t>
            </w:r>
            <w:r w:rsidR="003015F4" w:rsidRPr="00994295">
              <w:rPr>
                <w:rFonts w:ascii="Century Gothic" w:hAnsi="Century Gothic"/>
                <w:sz w:val="22"/>
                <w:szCs w:val="22"/>
              </w:rPr>
              <w:t>hasta su expectativa de vida</w:t>
            </w:r>
            <w:r w:rsidR="003136A4" w:rsidRPr="00994295">
              <w:rPr>
                <w:rFonts w:ascii="Century Gothic" w:hAnsi="Century Gothic"/>
                <w:sz w:val="22"/>
                <w:szCs w:val="22"/>
              </w:rPr>
              <w:t xml:space="preserve"> (</w:t>
            </w:r>
            <w:r w:rsidR="00994295" w:rsidRPr="00994295">
              <w:rPr>
                <w:rFonts w:ascii="Century Gothic" w:hAnsi="Century Gothic"/>
                <w:sz w:val="22"/>
                <w:szCs w:val="22"/>
              </w:rPr>
              <w:t xml:space="preserve">59,40 años, </w:t>
            </w:r>
            <w:r w:rsidR="003136A4" w:rsidRPr="00994295">
              <w:rPr>
                <w:rFonts w:ascii="Century Gothic" w:hAnsi="Century Gothic"/>
                <w:sz w:val="22"/>
                <w:szCs w:val="22"/>
              </w:rPr>
              <w:t>contada desde los 18 años). No se tiene en cuenta lucro cesante consolidado</w:t>
            </w:r>
            <w:r w:rsidR="00A77FED" w:rsidRPr="00994295">
              <w:rPr>
                <w:rFonts w:ascii="Century Gothic" w:hAnsi="Century Gothic"/>
                <w:sz w:val="22"/>
                <w:szCs w:val="22"/>
              </w:rPr>
              <w:t xml:space="preserve">, ya que durante </w:t>
            </w:r>
            <w:r w:rsidR="003136A4" w:rsidRPr="00994295">
              <w:rPr>
                <w:rFonts w:ascii="Century Gothic" w:hAnsi="Century Gothic"/>
                <w:sz w:val="22"/>
                <w:szCs w:val="22"/>
              </w:rPr>
              <w:t xml:space="preserve">el interregno comprendido entre el </w:t>
            </w:r>
            <w:r w:rsidR="00A77FED" w:rsidRPr="00994295">
              <w:rPr>
                <w:rFonts w:ascii="Century Gothic" w:hAnsi="Century Gothic"/>
                <w:sz w:val="22"/>
                <w:szCs w:val="22"/>
              </w:rPr>
              <w:t>9 de febrero de 2020</w:t>
            </w:r>
            <w:r w:rsidR="003136A4" w:rsidRPr="00994295">
              <w:rPr>
                <w:rFonts w:ascii="Century Gothic" w:hAnsi="Century Gothic"/>
                <w:sz w:val="22"/>
                <w:szCs w:val="22"/>
              </w:rPr>
              <w:t xml:space="preserve"> al </w:t>
            </w:r>
            <w:r w:rsidR="00A77FED" w:rsidRPr="00994295">
              <w:rPr>
                <w:rFonts w:ascii="Century Gothic" w:hAnsi="Century Gothic"/>
                <w:sz w:val="22"/>
                <w:szCs w:val="22"/>
              </w:rPr>
              <w:t>29</w:t>
            </w:r>
            <w:r w:rsidR="003136A4" w:rsidRPr="00994295">
              <w:rPr>
                <w:rFonts w:ascii="Century Gothic" w:hAnsi="Century Gothic"/>
                <w:sz w:val="22"/>
                <w:szCs w:val="22"/>
              </w:rPr>
              <w:t xml:space="preserve"> de agosto de 2025</w:t>
            </w:r>
            <w:r w:rsidR="00A77FED" w:rsidRPr="00994295">
              <w:rPr>
                <w:rFonts w:ascii="Century Gothic" w:hAnsi="Century Gothic"/>
                <w:sz w:val="22"/>
                <w:szCs w:val="22"/>
              </w:rPr>
              <w:t xml:space="preserve"> el demandante</w:t>
            </w:r>
            <w:r w:rsidR="003136A4" w:rsidRPr="00994295">
              <w:rPr>
                <w:rFonts w:ascii="Century Gothic" w:hAnsi="Century Gothic"/>
                <w:sz w:val="22"/>
                <w:szCs w:val="22"/>
              </w:rPr>
              <w:t xml:space="preserve"> era menor de edad, prohibiéndosele que</w:t>
            </w:r>
            <w:r w:rsidR="00A77FED" w:rsidRPr="00994295">
              <w:rPr>
                <w:rFonts w:ascii="Century Gothic" w:hAnsi="Century Gothic"/>
                <w:sz w:val="22"/>
                <w:szCs w:val="22"/>
              </w:rPr>
              <w:t xml:space="preserve"> </w:t>
            </w:r>
            <w:r w:rsidR="003136A4" w:rsidRPr="00994295">
              <w:rPr>
                <w:rFonts w:ascii="Century Gothic" w:hAnsi="Century Gothic"/>
                <w:sz w:val="22"/>
                <w:szCs w:val="22"/>
              </w:rPr>
              <w:t>pudiera trabajar según el Convenio 182 de 1999 de la</w:t>
            </w:r>
            <w:r w:rsidR="00A77FED" w:rsidRPr="00994295">
              <w:rPr>
                <w:rFonts w:ascii="Century Gothic" w:hAnsi="Century Gothic"/>
                <w:sz w:val="22"/>
                <w:szCs w:val="22"/>
              </w:rPr>
              <w:t xml:space="preserve"> </w:t>
            </w:r>
            <w:r w:rsidR="003136A4" w:rsidRPr="00994295">
              <w:rPr>
                <w:rFonts w:ascii="Century Gothic" w:hAnsi="Century Gothic"/>
                <w:sz w:val="22"/>
                <w:szCs w:val="22"/>
              </w:rPr>
              <w:t>Organización Internacional del Trabajo, en vigor en nuestro</w:t>
            </w:r>
            <w:r w:rsidR="00A77FED" w:rsidRPr="00994295">
              <w:rPr>
                <w:rFonts w:ascii="Century Gothic" w:hAnsi="Century Gothic"/>
                <w:sz w:val="22"/>
                <w:szCs w:val="22"/>
              </w:rPr>
              <w:t xml:space="preserve"> </w:t>
            </w:r>
            <w:r w:rsidR="003136A4" w:rsidRPr="00994295">
              <w:rPr>
                <w:rFonts w:ascii="Century Gothic" w:hAnsi="Century Gothic"/>
                <w:sz w:val="22"/>
                <w:szCs w:val="22"/>
              </w:rPr>
              <w:t>país desde el 28 de enero de 2005. Y, si bien en nuestro país</w:t>
            </w:r>
            <w:r w:rsidR="00A77FED" w:rsidRPr="00994295">
              <w:rPr>
                <w:rFonts w:ascii="Century Gothic" w:hAnsi="Century Gothic"/>
                <w:sz w:val="22"/>
                <w:szCs w:val="22"/>
              </w:rPr>
              <w:t xml:space="preserve"> </w:t>
            </w:r>
            <w:r w:rsidR="003136A4" w:rsidRPr="00994295">
              <w:rPr>
                <w:rFonts w:ascii="Century Gothic" w:hAnsi="Century Gothic"/>
                <w:sz w:val="22"/>
                <w:szCs w:val="22"/>
              </w:rPr>
              <w:t>es posible autorizar el trabajo desde los 15 años, conforme al</w:t>
            </w:r>
            <w:r w:rsidR="00A77FED" w:rsidRPr="00994295">
              <w:rPr>
                <w:rFonts w:ascii="Century Gothic" w:hAnsi="Century Gothic"/>
                <w:sz w:val="22"/>
                <w:szCs w:val="22"/>
              </w:rPr>
              <w:t xml:space="preserve"> </w:t>
            </w:r>
            <w:r w:rsidR="003136A4" w:rsidRPr="00994295">
              <w:rPr>
                <w:rFonts w:ascii="Century Gothic" w:hAnsi="Century Gothic"/>
                <w:sz w:val="22"/>
                <w:szCs w:val="22"/>
              </w:rPr>
              <w:t>Código de la Infancia y la Adolescencia, esta es una</w:t>
            </w:r>
            <w:r w:rsidR="00A77FED" w:rsidRPr="00994295">
              <w:rPr>
                <w:rFonts w:ascii="Century Gothic" w:hAnsi="Century Gothic"/>
                <w:sz w:val="22"/>
                <w:szCs w:val="22"/>
              </w:rPr>
              <w:t xml:space="preserve"> </w:t>
            </w:r>
            <w:r w:rsidR="003136A4" w:rsidRPr="00994295">
              <w:rPr>
                <w:rFonts w:ascii="Century Gothic" w:hAnsi="Century Gothic"/>
                <w:sz w:val="22"/>
                <w:szCs w:val="22"/>
              </w:rPr>
              <w:t>situación excepcional, sometida a variadas autorizaciones,</w:t>
            </w:r>
            <w:r w:rsidR="00A77FED" w:rsidRPr="00994295">
              <w:rPr>
                <w:rFonts w:ascii="Century Gothic" w:hAnsi="Century Gothic"/>
                <w:sz w:val="22"/>
                <w:szCs w:val="22"/>
              </w:rPr>
              <w:t xml:space="preserve"> las cuales no se encuentra probada en este caso.</w:t>
            </w:r>
          </w:p>
          <w:p w14:paraId="1DC5279A" w14:textId="77777777" w:rsidR="00A77FED" w:rsidRPr="00994295" w:rsidRDefault="00A77FED" w:rsidP="007443CD">
            <w:pPr>
              <w:pStyle w:val="Prrafodelista"/>
              <w:rPr>
                <w:rFonts w:ascii="Century Gothic" w:hAnsi="Century Gothic"/>
                <w:color w:val="FF0000"/>
                <w:sz w:val="22"/>
                <w:szCs w:val="22"/>
              </w:rPr>
            </w:pPr>
          </w:p>
          <w:p w14:paraId="766F4BB4" w14:textId="0E087A00" w:rsidR="00215A5B" w:rsidRPr="00994295" w:rsidRDefault="002D350B" w:rsidP="007443CD">
            <w:pPr>
              <w:pStyle w:val="Prrafodelista"/>
              <w:numPr>
                <w:ilvl w:val="0"/>
                <w:numId w:val="2"/>
              </w:numPr>
              <w:spacing w:line="276" w:lineRule="auto"/>
              <w:jc w:val="both"/>
              <w:rPr>
                <w:rFonts w:ascii="Century Gothic" w:hAnsi="Century Gothic"/>
                <w:sz w:val="22"/>
                <w:szCs w:val="22"/>
              </w:rPr>
            </w:pPr>
            <w:r w:rsidRPr="00994295">
              <w:rPr>
                <w:rFonts w:ascii="Century Gothic" w:hAnsi="Century Gothic"/>
                <w:sz w:val="22"/>
                <w:szCs w:val="22"/>
              </w:rPr>
              <w:t xml:space="preserve">Daño moral: </w:t>
            </w:r>
            <w:r w:rsidR="00DF130E" w:rsidRPr="00994295">
              <w:rPr>
                <w:rFonts w:ascii="Century Gothic" w:hAnsi="Century Gothic"/>
                <w:sz w:val="22"/>
                <w:szCs w:val="22"/>
              </w:rPr>
              <w:t xml:space="preserve">Se tendrá en cuenta la suma de </w:t>
            </w:r>
            <w:r w:rsidR="00274346" w:rsidRPr="00994295">
              <w:rPr>
                <w:rFonts w:ascii="Century Gothic" w:hAnsi="Century Gothic"/>
                <w:sz w:val="22"/>
                <w:szCs w:val="22"/>
              </w:rPr>
              <w:t>3</w:t>
            </w:r>
            <w:r w:rsidR="0044134B" w:rsidRPr="00994295">
              <w:rPr>
                <w:rFonts w:ascii="Century Gothic" w:hAnsi="Century Gothic"/>
                <w:sz w:val="22"/>
                <w:szCs w:val="22"/>
              </w:rPr>
              <w:t xml:space="preserve">7,2 </w:t>
            </w:r>
            <w:r w:rsidR="00F068FC" w:rsidRPr="00994295">
              <w:rPr>
                <w:rFonts w:ascii="Century Gothic" w:hAnsi="Century Gothic"/>
                <w:sz w:val="22"/>
                <w:szCs w:val="22"/>
              </w:rPr>
              <w:t>SMLMV</w:t>
            </w:r>
            <w:r w:rsidR="00DF130E" w:rsidRPr="00994295">
              <w:rPr>
                <w:rFonts w:ascii="Century Gothic" w:hAnsi="Century Gothic"/>
                <w:sz w:val="22"/>
                <w:szCs w:val="22"/>
              </w:rPr>
              <w:t xml:space="preserve"> </w:t>
            </w:r>
            <w:r w:rsidR="00E26ED3" w:rsidRPr="00994295">
              <w:rPr>
                <w:rFonts w:ascii="Century Gothic" w:hAnsi="Century Gothic"/>
                <w:sz w:val="22"/>
                <w:szCs w:val="22"/>
              </w:rPr>
              <w:t>($</w:t>
            </w:r>
            <w:r w:rsidR="0044134B" w:rsidRPr="00994295">
              <w:rPr>
                <w:rFonts w:ascii="Century Gothic" w:hAnsi="Century Gothic"/>
                <w:sz w:val="22"/>
                <w:szCs w:val="22"/>
              </w:rPr>
              <w:t xml:space="preserve">52.954.200 </w:t>
            </w:r>
            <w:r w:rsidR="00E26ED3" w:rsidRPr="00994295">
              <w:rPr>
                <w:rFonts w:ascii="Century Gothic" w:hAnsi="Century Gothic"/>
                <w:sz w:val="22"/>
                <w:szCs w:val="22"/>
              </w:rPr>
              <w:t xml:space="preserve">-año 2025-) </w:t>
            </w:r>
            <w:r w:rsidRPr="00994295">
              <w:rPr>
                <w:rFonts w:ascii="Century Gothic" w:hAnsi="Century Gothic"/>
                <w:sz w:val="22"/>
                <w:szCs w:val="22"/>
              </w:rPr>
              <w:t>como daño moral</w:t>
            </w:r>
            <w:r w:rsidR="00DF130E" w:rsidRPr="00994295">
              <w:rPr>
                <w:rFonts w:ascii="Century Gothic" w:hAnsi="Century Gothic"/>
                <w:sz w:val="22"/>
                <w:szCs w:val="22"/>
              </w:rPr>
              <w:t xml:space="preserve">, </w:t>
            </w:r>
            <w:r w:rsidR="00E26ED3" w:rsidRPr="00994295">
              <w:rPr>
                <w:rFonts w:ascii="Century Gothic" w:hAnsi="Century Gothic"/>
                <w:sz w:val="22"/>
                <w:szCs w:val="22"/>
              </w:rPr>
              <w:t>de acuerdo con la jurisprudencia reciente.</w:t>
            </w:r>
            <w:r w:rsidR="00DF130E" w:rsidRPr="00994295">
              <w:rPr>
                <w:rFonts w:ascii="Century Gothic" w:hAnsi="Century Gothic"/>
                <w:sz w:val="22"/>
                <w:szCs w:val="22"/>
              </w:rPr>
              <w:t xml:space="preserve"> Este valor corresponde a </w:t>
            </w:r>
            <w:r w:rsidR="00274346" w:rsidRPr="00994295">
              <w:rPr>
                <w:rFonts w:ascii="Century Gothic" w:hAnsi="Century Gothic"/>
                <w:sz w:val="22"/>
                <w:szCs w:val="22"/>
              </w:rPr>
              <w:t>2</w:t>
            </w:r>
            <w:r w:rsidR="0044134B" w:rsidRPr="00994295">
              <w:rPr>
                <w:rFonts w:ascii="Century Gothic" w:hAnsi="Century Gothic"/>
                <w:sz w:val="22"/>
                <w:szCs w:val="22"/>
              </w:rPr>
              <w:t>4</w:t>
            </w:r>
            <w:r w:rsidR="006E57AC" w:rsidRPr="00994295">
              <w:rPr>
                <w:rFonts w:ascii="Century Gothic" w:hAnsi="Century Gothic"/>
                <w:sz w:val="22"/>
                <w:szCs w:val="22"/>
              </w:rPr>
              <w:t xml:space="preserve"> SMLMV</w:t>
            </w:r>
            <w:r w:rsidRPr="00994295">
              <w:rPr>
                <w:rFonts w:ascii="Century Gothic" w:hAnsi="Century Gothic"/>
                <w:sz w:val="22"/>
                <w:szCs w:val="22"/>
              </w:rPr>
              <w:t xml:space="preserve"> para </w:t>
            </w:r>
            <w:r w:rsidR="00274346" w:rsidRPr="00994295">
              <w:rPr>
                <w:rFonts w:ascii="Century Gothic" w:hAnsi="Century Gothic"/>
                <w:sz w:val="22"/>
                <w:szCs w:val="22"/>
              </w:rPr>
              <w:t>OSCAR ANDRÉS OSPINA NARANJO</w:t>
            </w:r>
            <w:r w:rsidR="00DF130E" w:rsidRPr="00994295">
              <w:rPr>
                <w:rFonts w:ascii="Century Gothic" w:hAnsi="Century Gothic"/>
                <w:sz w:val="22"/>
                <w:szCs w:val="22"/>
              </w:rPr>
              <w:t xml:space="preserve"> (lesionado)</w:t>
            </w:r>
            <w:r w:rsidR="00274346" w:rsidRPr="00994295">
              <w:rPr>
                <w:rFonts w:ascii="Century Gothic" w:hAnsi="Century Gothic"/>
                <w:sz w:val="22"/>
                <w:szCs w:val="22"/>
              </w:rPr>
              <w:t xml:space="preserve"> y 1</w:t>
            </w:r>
            <w:r w:rsidR="0044134B" w:rsidRPr="00994295">
              <w:rPr>
                <w:rFonts w:ascii="Century Gothic" w:hAnsi="Century Gothic"/>
                <w:sz w:val="22"/>
                <w:szCs w:val="22"/>
              </w:rPr>
              <w:t>3,2</w:t>
            </w:r>
            <w:r w:rsidR="00274346" w:rsidRPr="00994295">
              <w:rPr>
                <w:rFonts w:ascii="Century Gothic" w:hAnsi="Century Gothic"/>
                <w:sz w:val="22"/>
                <w:szCs w:val="22"/>
              </w:rPr>
              <w:t xml:space="preserve"> SMLMV para su madre. </w:t>
            </w:r>
            <w:r w:rsidRPr="00994295">
              <w:rPr>
                <w:rFonts w:ascii="Century Gothic" w:hAnsi="Century Gothic"/>
                <w:sz w:val="22"/>
                <w:szCs w:val="22"/>
              </w:rPr>
              <w:t xml:space="preserve">Ello, siguiendo el criterio jurisprudencial de la sentencia </w:t>
            </w:r>
            <w:r w:rsidR="000F6F26" w:rsidRPr="00994295">
              <w:rPr>
                <w:rFonts w:ascii="Century Gothic" w:hAnsi="Century Gothic"/>
                <w:sz w:val="22"/>
                <w:szCs w:val="22"/>
              </w:rPr>
              <w:t>SC072-2025</w:t>
            </w:r>
            <w:r w:rsidRPr="00994295">
              <w:rPr>
                <w:rFonts w:ascii="Century Gothic" w:hAnsi="Century Gothic"/>
                <w:sz w:val="22"/>
                <w:szCs w:val="22"/>
              </w:rPr>
              <w:t xml:space="preserve"> (M.P. </w:t>
            </w:r>
            <w:r w:rsidR="000F6F26" w:rsidRPr="00994295">
              <w:rPr>
                <w:rFonts w:ascii="Century Gothic" w:hAnsi="Century Gothic"/>
                <w:sz w:val="22"/>
                <w:szCs w:val="22"/>
              </w:rPr>
              <w:t>Octavio Augusto Tejeiro Duque</w:t>
            </w:r>
            <w:r w:rsidRPr="00994295">
              <w:rPr>
                <w:rFonts w:ascii="Century Gothic" w:hAnsi="Century Gothic"/>
                <w:sz w:val="22"/>
                <w:szCs w:val="22"/>
              </w:rPr>
              <w:t xml:space="preserve">), que </w:t>
            </w:r>
            <w:r w:rsidR="000F6F26" w:rsidRPr="00994295">
              <w:rPr>
                <w:rFonts w:ascii="Century Gothic" w:hAnsi="Century Gothic"/>
                <w:sz w:val="22"/>
                <w:szCs w:val="22"/>
              </w:rPr>
              <w:t xml:space="preserve">determina </w:t>
            </w:r>
            <w:r w:rsidR="00F068FC" w:rsidRPr="00994295">
              <w:rPr>
                <w:rFonts w:ascii="Century Gothic" w:hAnsi="Century Gothic"/>
                <w:sz w:val="22"/>
                <w:szCs w:val="22"/>
              </w:rPr>
              <w:t xml:space="preserve">el baremo </w:t>
            </w:r>
            <w:r w:rsidR="000F6F26" w:rsidRPr="00994295">
              <w:rPr>
                <w:rFonts w:ascii="Century Gothic" w:hAnsi="Century Gothic"/>
                <w:sz w:val="22"/>
                <w:szCs w:val="22"/>
              </w:rPr>
              <w:t>para la</w:t>
            </w:r>
            <w:r w:rsidR="006E57AC" w:rsidRPr="00994295">
              <w:rPr>
                <w:rFonts w:ascii="Century Gothic" w:hAnsi="Century Gothic"/>
                <w:sz w:val="22"/>
                <w:szCs w:val="22"/>
              </w:rPr>
              <w:t xml:space="preserve"> persona que sufre</w:t>
            </w:r>
            <w:r w:rsidR="000F6F26" w:rsidRPr="00994295">
              <w:rPr>
                <w:rFonts w:ascii="Century Gothic" w:hAnsi="Century Gothic"/>
                <w:sz w:val="22"/>
                <w:szCs w:val="22"/>
              </w:rPr>
              <w:t xml:space="preserve"> pérdida parcial de un órgano sensorial</w:t>
            </w:r>
            <w:r w:rsidR="00F068FC" w:rsidRPr="00994295">
              <w:rPr>
                <w:rFonts w:ascii="Century Gothic" w:hAnsi="Century Gothic"/>
                <w:sz w:val="22"/>
                <w:szCs w:val="22"/>
              </w:rPr>
              <w:t xml:space="preserve"> </w:t>
            </w:r>
            <w:r w:rsidR="00D33E78" w:rsidRPr="00994295">
              <w:rPr>
                <w:rFonts w:ascii="Century Gothic" w:hAnsi="Century Gothic"/>
                <w:sz w:val="22"/>
                <w:szCs w:val="22"/>
              </w:rPr>
              <w:t xml:space="preserve">en </w:t>
            </w:r>
            <w:r w:rsidR="000F6F26" w:rsidRPr="00994295">
              <w:rPr>
                <w:rFonts w:ascii="Century Gothic" w:hAnsi="Century Gothic"/>
                <w:sz w:val="22"/>
                <w:szCs w:val="22"/>
              </w:rPr>
              <w:t>60% de 100 SMLMV</w:t>
            </w:r>
            <w:r w:rsidR="00415C13" w:rsidRPr="00994295">
              <w:rPr>
                <w:rFonts w:ascii="Century Gothic" w:hAnsi="Century Gothic"/>
                <w:sz w:val="22"/>
                <w:szCs w:val="22"/>
              </w:rPr>
              <w:t>;</w:t>
            </w:r>
            <w:r w:rsidR="006E57AC" w:rsidRPr="00994295">
              <w:rPr>
                <w:rFonts w:ascii="Century Gothic" w:hAnsi="Century Gothic"/>
                <w:sz w:val="22"/>
                <w:szCs w:val="22"/>
              </w:rPr>
              <w:t xml:space="preserve"> </w:t>
            </w:r>
            <w:r w:rsidR="00F068FC" w:rsidRPr="00994295">
              <w:rPr>
                <w:rFonts w:ascii="Century Gothic" w:hAnsi="Century Gothic"/>
                <w:sz w:val="22"/>
                <w:szCs w:val="22"/>
              </w:rPr>
              <w:t>y</w:t>
            </w:r>
            <w:r w:rsidR="00215A5B" w:rsidRPr="00994295">
              <w:rPr>
                <w:rFonts w:ascii="Century Gothic" w:hAnsi="Century Gothic"/>
                <w:sz w:val="22"/>
                <w:szCs w:val="22"/>
              </w:rPr>
              <w:t xml:space="preserve">, teniendo en cuenta que, el criterio jurisprudencial de la sentencia SC780-2020 (M.P. Ariel Salazar Ramírez), otorga la suma de $30.000.000 a la pasajera de un vehículo, quien sufrió trauma craneano y fractura frontal, entonces, considerando </w:t>
            </w:r>
            <w:r w:rsidR="00215A5B" w:rsidRPr="00994295">
              <w:rPr>
                <w:rFonts w:ascii="Century Gothic" w:hAnsi="Century Gothic"/>
                <w:sz w:val="22"/>
                <w:szCs w:val="22"/>
              </w:rPr>
              <w:lastRenderedPageBreak/>
              <w:t xml:space="preserve">que </w:t>
            </w:r>
            <w:r w:rsidR="00274346" w:rsidRPr="00994295">
              <w:rPr>
                <w:rFonts w:ascii="Century Gothic" w:hAnsi="Century Gothic"/>
                <w:sz w:val="22"/>
                <w:szCs w:val="22"/>
              </w:rPr>
              <w:t>OSCAR ANDRÉS OSPINA NARANJO</w:t>
            </w:r>
            <w:r w:rsidR="00215A5B" w:rsidRPr="00994295">
              <w:rPr>
                <w:rFonts w:ascii="Century Gothic" w:hAnsi="Century Gothic"/>
                <w:sz w:val="22"/>
                <w:szCs w:val="22"/>
              </w:rPr>
              <w:t xml:space="preserve"> sufrió de una </w:t>
            </w:r>
            <w:r w:rsidR="0044134B" w:rsidRPr="00994295">
              <w:rPr>
                <w:rFonts w:ascii="Century Gothic" w:hAnsi="Century Gothic"/>
                <w:sz w:val="22"/>
                <w:szCs w:val="22"/>
              </w:rPr>
              <w:t>Perturbación funcional del órgano de la locomoción con una Pérdida de Capacidad Laboral del 13, 50%</w:t>
            </w:r>
            <w:r w:rsidR="00215A5B" w:rsidRPr="00994295">
              <w:rPr>
                <w:rFonts w:ascii="Century Gothic" w:hAnsi="Century Gothic"/>
                <w:sz w:val="22"/>
                <w:szCs w:val="22"/>
              </w:rPr>
              <w:t xml:space="preserve">, es pertinente reconocer solo el </w:t>
            </w:r>
            <w:r w:rsidR="0044134B" w:rsidRPr="00994295">
              <w:rPr>
                <w:rFonts w:ascii="Century Gothic" w:hAnsi="Century Gothic"/>
                <w:sz w:val="22"/>
                <w:szCs w:val="22"/>
              </w:rPr>
              <w:t>40</w:t>
            </w:r>
            <w:r w:rsidR="00215A5B" w:rsidRPr="00994295">
              <w:rPr>
                <w:rFonts w:ascii="Century Gothic" w:hAnsi="Century Gothic"/>
                <w:sz w:val="22"/>
                <w:szCs w:val="22"/>
              </w:rPr>
              <w:t xml:space="preserve">% de </w:t>
            </w:r>
            <w:r w:rsidR="00197E4C" w:rsidRPr="00994295">
              <w:rPr>
                <w:rFonts w:ascii="Century Gothic" w:hAnsi="Century Gothic"/>
                <w:sz w:val="22"/>
                <w:szCs w:val="22"/>
              </w:rPr>
              <w:t>6</w:t>
            </w:r>
            <w:r w:rsidR="00215A5B" w:rsidRPr="00994295">
              <w:rPr>
                <w:rFonts w:ascii="Century Gothic" w:hAnsi="Century Gothic"/>
                <w:sz w:val="22"/>
                <w:szCs w:val="22"/>
              </w:rPr>
              <w:t>0 SMLMV para la víctima directa</w:t>
            </w:r>
            <w:r w:rsidR="0044134B" w:rsidRPr="00994295">
              <w:rPr>
                <w:rFonts w:ascii="Century Gothic" w:hAnsi="Century Gothic"/>
                <w:sz w:val="22"/>
                <w:szCs w:val="22"/>
              </w:rPr>
              <w:t xml:space="preserve"> (24 SMLMV - $ 34.164.000 -año 2025)</w:t>
            </w:r>
            <w:r w:rsidR="00215A5B" w:rsidRPr="00994295">
              <w:rPr>
                <w:rFonts w:ascii="Century Gothic" w:hAnsi="Century Gothic"/>
                <w:sz w:val="22"/>
                <w:szCs w:val="22"/>
              </w:rPr>
              <w:t>.</w:t>
            </w:r>
          </w:p>
          <w:p w14:paraId="3E5211AE" w14:textId="77777777" w:rsidR="003015F4" w:rsidRPr="00994295" w:rsidRDefault="003015F4" w:rsidP="00215A5B">
            <w:pPr>
              <w:pStyle w:val="Prrafodelista"/>
              <w:spacing w:line="276" w:lineRule="auto"/>
              <w:ind w:left="1065"/>
              <w:jc w:val="both"/>
              <w:rPr>
                <w:rFonts w:ascii="Century Gothic" w:hAnsi="Century Gothic"/>
                <w:sz w:val="22"/>
                <w:szCs w:val="22"/>
              </w:rPr>
            </w:pPr>
          </w:p>
          <w:p w14:paraId="5ACDE6EC" w14:textId="0D66DDA7" w:rsidR="007443CD" w:rsidRPr="00994295" w:rsidRDefault="00415C13" w:rsidP="00215A5B">
            <w:pPr>
              <w:pStyle w:val="Prrafodelista"/>
              <w:spacing w:line="276" w:lineRule="auto"/>
              <w:ind w:left="1065"/>
              <w:jc w:val="both"/>
              <w:rPr>
                <w:rFonts w:ascii="Century Gothic" w:hAnsi="Century Gothic"/>
                <w:sz w:val="22"/>
                <w:szCs w:val="22"/>
              </w:rPr>
            </w:pPr>
            <w:r w:rsidRPr="00994295">
              <w:rPr>
                <w:rFonts w:ascii="Century Gothic" w:hAnsi="Century Gothic"/>
                <w:sz w:val="22"/>
                <w:szCs w:val="22"/>
              </w:rPr>
              <w:t xml:space="preserve">Ahora, en dicha sentencia se establece </w:t>
            </w:r>
            <w:r w:rsidR="00215A5B" w:rsidRPr="00994295">
              <w:rPr>
                <w:rFonts w:ascii="Century Gothic" w:hAnsi="Century Gothic"/>
                <w:sz w:val="22"/>
                <w:szCs w:val="22"/>
              </w:rPr>
              <w:t xml:space="preserve">33% de 100 SMLMV </w:t>
            </w:r>
            <w:r w:rsidRPr="00994295">
              <w:rPr>
                <w:rFonts w:ascii="Century Gothic" w:hAnsi="Century Gothic"/>
                <w:sz w:val="22"/>
                <w:szCs w:val="22"/>
              </w:rPr>
              <w:t xml:space="preserve">para el hijo de la persona que sufre pérdida parcial de un órgano sensorial, </w:t>
            </w:r>
            <w:r w:rsidR="00F068FC" w:rsidRPr="00994295">
              <w:rPr>
                <w:rFonts w:ascii="Century Gothic" w:hAnsi="Century Gothic"/>
                <w:sz w:val="22"/>
                <w:szCs w:val="22"/>
              </w:rPr>
              <w:t xml:space="preserve">y si bien no se estima monto o porcentaje para </w:t>
            </w:r>
            <w:r w:rsidR="0044134B" w:rsidRPr="00994295">
              <w:rPr>
                <w:rFonts w:ascii="Century Gothic" w:hAnsi="Century Gothic"/>
                <w:sz w:val="22"/>
                <w:szCs w:val="22"/>
              </w:rPr>
              <w:t>una madre</w:t>
            </w:r>
            <w:r w:rsidR="00F068FC" w:rsidRPr="00994295">
              <w:rPr>
                <w:rFonts w:ascii="Century Gothic" w:hAnsi="Century Gothic"/>
                <w:sz w:val="22"/>
                <w:szCs w:val="22"/>
              </w:rPr>
              <w:t>,</w:t>
            </w:r>
            <w:r w:rsidR="00215A5B" w:rsidRPr="00994295">
              <w:rPr>
                <w:rFonts w:ascii="Century Gothic" w:hAnsi="Century Gothic"/>
                <w:sz w:val="22"/>
                <w:szCs w:val="22"/>
              </w:rPr>
              <w:t xml:space="preserve"> en análisis de la lesión del </w:t>
            </w:r>
            <w:r w:rsidR="0044134B" w:rsidRPr="00994295">
              <w:rPr>
                <w:rFonts w:ascii="Century Gothic" w:hAnsi="Century Gothic"/>
                <w:sz w:val="22"/>
                <w:szCs w:val="22"/>
              </w:rPr>
              <w:t xml:space="preserve">menor </w:t>
            </w:r>
            <w:r w:rsidR="00F068FC" w:rsidRPr="00994295">
              <w:rPr>
                <w:rFonts w:ascii="Century Gothic" w:hAnsi="Century Gothic"/>
                <w:sz w:val="22"/>
                <w:szCs w:val="22"/>
              </w:rPr>
              <w:t>por analogía se</w:t>
            </w:r>
            <w:r w:rsidR="00215A5B" w:rsidRPr="00994295">
              <w:rPr>
                <w:rFonts w:ascii="Century Gothic" w:hAnsi="Century Gothic"/>
                <w:sz w:val="22"/>
                <w:szCs w:val="22"/>
              </w:rPr>
              <w:t xml:space="preserve"> otorga únicamente</w:t>
            </w:r>
            <w:r w:rsidR="00F068FC" w:rsidRPr="00994295">
              <w:rPr>
                <w:rFonts w:ascii="Century Gothic" w:hAnsi="Century Gothic"/>
                <w:sz w:val="22"/>
                <w:szCs w:val="22"/>
              </w:rPr>
              <w:t xml:space="preserve"> </w:t>
            </w:r>
            <w:r w:rsidRPr="00994295">
              <w:rPr>
                <w:rFonts w:ascii="Century Gothic" w:hAnsi="Century Gothic"/>
                <w:sz w:val="22"/>
                <w:szCs w:val="22"/>
              </w:rPr>
              <w:t xml:space="preserve">el </w:t>
            </w:r>
            <w:r w:rsidR="0044134B" w:rsidRPr="00994295">
              <w:rPr>
                <w:rFonts w:ascii="Century Gothic" w:hAnsi="Century Gothic"/>
                <w:sz w:val="22"/>
                <w:szCs w:val="22"/>
              </w:rPr>
              <w:t>40</w:t>
            </w:r>
            <w:r w:rsidRPr="00994295">
              <w:rPr>
                <w:rFonts w:ascii="Century Gothic" w:hAnsi="Century Gothic"/>
                <w:sz w:val="22"/>
                <w:szCs w:val="22"/>
              </w:rPr>
              <w:t xml:space="preserve">% </w:t>
            </w:r>
            <w:r w:rsidR="00215A5B" w:rsidRPr="00994295">
              <w:rPr>
                <w:rFonts w:ascii="Century Gothic" w:hAnsi="Century Gothic"/>
                <w:sz w:val="22"/>
                <w:szCs w:val="22"/>
              </w:rPr>
              <w:t xml:space="preserve">de </w:t>
            </w:r>
            <w:r w:rsidR="00197E4C" w:rsidRPr="00994295">
              <w:rPr>
                <w:rFonts w:ascii="Century Gothic" w:hAnsi="Century Gothic"/>
                <w:sz w:val="22"/>
                <w:szCs w:val="22"/>
              </w:rPr>
              <w:t>33</w:t>
            </w:r>
            <w:r w:rsidR="00215A5B" w:rsidRPr="00994295">
              <w:rPr>
                <w:rFonts w:ascii="Century Gothic" w:hAnsi="Century Gothic"/>
                <w:sz w:val="22"/>
                <w:szCs w:val="22"/>
              </w:rPr>
              <w:t xml:space="preserve"> SMLMV a </w:t>
            </w:r>
            <w:r w:rsidR="0044134B" w:rsidRPr="00994295">
              <w:rPr>
                <w:rFonts w:ascii="Century Gothic" w:hAnsi="Century Gothic"/>
                <w:sz w:val="22"/>
                <w:szCs w:val="22"/>
              </w:rPr>
              <w:t>su madre (13,2 SMLMV - $18.790.200-año 2025)</w:t>
            </w:r>
          </w:p>
          <w:p w14:paraId="22FB7998" w14:textId="77777777" w:rsidR="00415C13" w:rsidRPr="00994295" w:rsidRDefault="00415C13" w:rsidP="00F068FC">
            <w:pPr>
              <w:pStyle w:val="Prrafodelista"/>
              <w:spacing w:line="276" w:lineRule="auto"/>
              <w:ind w:left="1065"/>
              <w:jc w:val="both"/>
              <w:rPr>
                <w:rFonts w:ascii="Century Gothic" w:hAnsi="Century Gothic"/>
                <w:sz w:val="22"/>
                <w:szCs w:val="22"/>
              </w:rPr>
            </w:pPr>
          </w:p>
          <w:p w14:paraId="59B01E2D" w14:textId="19431C1F" w:rsidR="003015F4" w:rsidRPr="00994295" w:rsidRDefault="002D350B" w:rsidP="003015F4">
            <w:pPr>
              <w:pStyle w:val="Prrafodelista"/>
              <w:numPr>
                <w:ilvl w:val="0"/>
                <w:numId w:val="2"/>
              </w:numPr>
              <w:spacing w:line="276" w:lineRule="auto"/>
              <w:jc w:val="both"/>
              <w:rPr>
                <w:rFonts w:ascii="Century Gothic" w:hAnsi="Century Gothic"/>
                <w:sz w:val="22"/>
                <w:szCs w:val="22"/>
              </w:rPr>
            </w:pPr>
            <w:r w:rsidRPr="00994295">
              <w:rPr>
                <w:rFonts w:ascii="Century Gothic" w:hAnsi="Century Gothic"/>
                <w:sz w:val="22"/>
                <w:szCs w:val="22"/>
              </w:rPr>
              <w:t>Daño a la vida en relación</w:t>
            </w:r>
            <w:r w:rsidR="007443CD" w:rsidRPr="00994295">
              <w:rPr>
                <w:rFonts w:ascii="Century Gothic" w:hAnsi="Century Gothic"/>
                <w:sz w:val="22"/>
                <w:szCs w:val="22"/>
              </w:rPr>
              <w:t xml:space="preserve"> (daño fisiológico)</w:t>
            </w:r>
            <w:r w:rsidRPr="00994295">
              <w:rPr>
                <w:rFonts w:ascii="Century Gothic" w:hAnsi="Century Gothic"/>
                <w:sz w:val="22"/>
                <w:szCs w:val="22"/>
              </w:rPr>
              <w:t xml:space="preserve">: </w:t>
            </w:r>
            <w:r w:rsidR="00F068FC" w:rsidRPr="00994295">
              <w:rPr>
                <w:rFonts w:ascii="Century Gothic" w:hAnsi="Century Gothic"/>
                <w:sz w:val="22"/>
                <w:szCs w:val="22"/>
              </w:rPr>
              <w:t xml:space="preserve">Se tendrá en cuenta la suma de </w:t>
            </w:r>
            <w:r w:rsidR="003015F4" w:rsidRPr="00994295">
              <w:rPr>
                <w:rFonts w:ascii="Century Gothic" w:hAnsi="Century Gothic"/>
                <w:sz w:val="22"/>
                <w:szCs w:val="22"/>
              </w:rPr>
              <w:t>10</w:t>
            </w:r>
            <w:r w:rsidR="00F068FC" w:rsidRPr="00994295">
              <w:rPr>
                <w:rFonts w:ascii="Century Gothic" w:hAnsi="Century Gothic"/>
                <w:sz w:val="22"/>
                <w:szCs w:val="22"/>
              </w:rPr>
              <w:t xml:space="preserve"> SMLMV</w:t>
            </w:r>
            <w:r w:rsidR="00E26ED3" w:rsidRPr="00994295">
              <w:rPr>
                <w:rFonts w:ascii="Century Gothic" w:hAnsi="Century Gothic"/>
                <w:sz w:val="22"/>
                <w:szCs w:val="22"/>
              </w:rPr>
              <w:t xml:space="preserve"> ($</w:t>
            </w:r>
            <w:r w:rsidR="003015F4" w:rsidRPr="00994295">
              <w:rPr>
                <w:rFonts w:ascii="Century Gothic" w:hAnsi="Century Gothic"/>
                <w:sz w:val="22"/>
                <w:szCs w:val="22"/>
              </w:rPr>
              <w:t xml:space="preserve">14.235.000 </w:t>
            </w:r>
            <w:r w:rsidR="00E26ED3" w:rsidRPr="00994295">
              <w:rPr>
                <w:rFonts w:ascii="Century Gothic" w:hAnsi="Century Gothic"/>
                <w:sz w:val="22"/>
                <w:szCs w:val="22"/>
              </w:rPr>
              <w:t>-año 2025-)</w:t>
            </w:r>
            <w:r w:rsidR="00F068FC" w:rsidRPr="00994295">
              <w:rPr>
                <w:rFonts w:ascii="Century Gothic" w:hAnsi="Century Gothic"/>
                <w:sz w:val="22"/>
                <w:szCs w:val="22"/>
              </w:rPr>
              <w:t xml:space="preserve">, </w:t>
            </w:r>
            <w:r w:rsidRPr="00994295">
              <w:rPr>
                <w:rFonts w:ascii="Century Gothic" w:hAnsi="Century Gothic"/>
                <w:sz w:val="22"/>
                <w:szCs w:val="22"/>
              </w:rPr>
              <w:t xml:space="preserve">a favor de </w:t>
            </w:r>
            <w:r w:rsidR="003015F4" w:rsidRPr="00994295">
              <w:rPr>
                <w:rFonts w:ascii="Century Gothic" w:hAnsi="Century Gothic"/>
                <w:sz w:val="22"/>
                <w:szCs w:val="22"/>
              </w:rPr>
              <w:t>OSCAR ANDRÉS OSPINA NARANJO</w:t>
            </w:r>
            <w:r w:rsidRPr="00994295">
              <w:rPr>
                <w:rFonts w:ascii="Century Gothic" w:hAnsi="Century Gothic"/>
                <w:sz w:val="22"/>
                <w:szCs w:val="22"/>
              </w:rPr>
              <w:t xml:space="preserve">, </w:t>
            </w:r>
            <w:r w:rsidR="00F068FC" w:rsidRPr="00994295">
              <w:rPr>
                <w:rFonts w:ascii="Century Gothic" w:hAnsi="Century Gothic"/>
                <w:sz w:val="22"/>
                <w:szCs w:val="22"/>
              </w:rPr>
              <w:t>Ello, siguiendo el criterio jurisprudencial de la sentencia SC072-2025 (M.P. Octavio Augusto Tejeiro Duque), que determina el baremo para otras afecciones en el cuerpo</w:t>
            </w:r>
            <w:r w:rsidR="0073642F" w:rsidRPr="00994295">
              <w:rPr>
                <w:rFonts w:ascii="Century Gothic" w:hAnsi="Century Gothic"/>
                <w:sz w:val="22"/>
                <w:szCs w:val="22"/>
              </w:rPr>
              <w:t xml:space="preserve"> (no graves)</w:t>
            </w:r>
            <w:r w:rsidR="00F068FC" w:rsidRPr="00994295">
              <w:rPr>
                <w:rFonts w:ascii="Century Gothic" w:hAnsi="Century Gothic"/>
                <w:sz w:val="22"/>
                <w:szCs w:val="22"/>
              </w:rPr>
              <w:t xml:space="preserve"> entre el </w:t>
            </w:r>
            <w:r w:rsidR="0073642F" w:rsidRPr="00994295">
              <w:rPr>
                <w:rFonts w:ascii="Century Gothic" w:hAnsi="Century Gothic"/>
                <w:sz w:val="22"/>
                <w:szCs w:val="22"/>
              </w:rPr>
              <w:t>3</w:t>
            </w:r>
            <w:r w:rsidR="00F068FC" w:rsidRPr="00994295">
              <w:rPr>
                <w:rFonts w:ascii="Century Gothic" w:hAnsi="Century Gothic"/>
                <w:sz w:val="22"/>
                <w:szCs w:val="22"/>
              </w:rPr>
              <w:t>%</w:t>
            </w:r>
            <w:r w:rsidR="0073642F" w:rsidRPr="00994295">
              <w:rPr>
                <w:rFonts w:ascii="Century Gothic" w:hAnsi="Century Gothic"/>
                <w:sz w:val="22"/>
                <w:szCs w:val="22"/>
              </w:rPr>
              <w:t xml:space="preserve"> y el 15%</w:t>
            </w:r>
            <w:r w:rsidR="00F068FC" w:rsidRPr="00994295">
              <w:rPr>
                <w:rFonts w:ascii="Century Gothic" w:hAnsi="Century Gothic"/>
                <w:sz w:val="22"/>
                <w:szCs w:val="22"/>
              </w:rPr>
              <w:t xml:space="preserve"> de </w:t>
            </w:r>
            <w:r w:rsidR="0073642F" w:rsidRPr="00994295">
              <w:rPr>
                <w:rFonts w:ascii="Century Gothic" w:hAnsi="Century Gothic"/>
                <w:sz w:val="22"/>
                <w:szCs w:val="22"/>
              </w:rPr>
              <w:t>2</w:t>
            </w:r>
            <w:r w:rsidR="00F068FC" w:rsidRPr="00994295">
              <w:rPr>
                <w:rFonts w:ascii="Century Gothic" w:hAnsi="Century Gothic"/>
                <w:sz w:val="22"/>
                <w:szCs w:val="22"/>
              </w:rPr>
              <w:t xml:space="preserve">00 SMLMV; entonces, considerando </w:t>
            </w:r>
            <w:r w:rsidR="003015F4" w:rsidRPr="00994295">
              <w:rPr>
                <w:rFonts w:ascii="Century Gothic" w:hAnsi="Century Gothic"/>
                <w:sz w:val="22"/>
                <w:szCs w:val="22"/>
              </w:rPr>
              <w:t>las afecciones del menor</w:t>
            </w:r>
            <w:r w:rsidR="00F068FC" w:rsidRPr="00994295">
              <w:rPr>
                <w:rFonts w:ascii="Century Gothic" w:hAnsi="Century Gothic"/>
                <w:sz w:val="22"/>
                <w:szCs w:val="22"/>
              </w:rPr>
              <w:t xml:space="preserve">, es pertinente reconocer </w:t>
            </w:r>
            <w:r w:rsidR="0073642F" w:rsidRPr="00994295">
              <w:rPr>
                <w:rFonts w:ascii="Century Gothic" w:hAnsi="Century Gothic"/>
                <w:sz w:val="22"/>
                <w:szCs w:val="22"/>
              </w:rPr>
              <w:t xml:space="preserve">el </w:t>
            </w:r>
            <w:r w:rsidR="003015F4" w:rsidRPr="00994295">
              <w:rPr>
                <w:rFonts w:ascii="Century Gothic" w:hAnsi="Century Gothic"/>
                <w:sz w:val="22"/>
                <w:szCs w:val="22"/>
              </w:rPr>
              <w:t>5</w:t>
            </w:r>
            <w:r w:rsidR="0073642F" w:rsidRPr="00994295">
              <w:rPr>
                <w:rFonts w:ascii="Century Gothic" w:hAnsi="Century Gothic"/>
                <w:sz w:val="22"/>
                <w:szCs w:val="22"/>
              </w:rPr>
              <w:t xml:space="preserve">% de 200 SMLMV </w:t>
            </w:r>
            <w:r w:rsidRPr="00994295">
              <w:rPr>
                <w:rFonts w:ascii="Century Gothic" w:hAnsi="Century Gothic"/>
                <w:sz w:val="22"/>
                <w:szCs w:val="22"/>
              </w:rPr>
              <w:t xml:space="preserve">por </w:t>
            </w:r>
            <w:r w:rsidR="0073642F" w:rsidRPr="00994295">
              <w:rPr>
                <w:rFonts w:ascii="Century Gothic" w:hAnsi="Century Gothic"/>
                <w:sz w:val="22"/>
                <w:szCs w:val="22"/>
              </w:rPr>
              <w:t>la</w:t>
            </w:r>
            <w:r w:rsidR="003015F4" w:rsidRPr="00994295">
              <w:rPr>
                <w:rFonts w:ascii="Century Gothic" w:hAnsi="Century Gothic"/>
                <w:sz w:val="22"/>
                <w:szCs w:val="22"/>
              </w:rPr>
              <w:t xml:space="preserve"> incapacidad médico legal DEFINITIVA de 35 DÍAS, que repercutieron en SECUELAS MÉDICO LEGALES: Deformidad física que afecta el cuerpo de carácter permanente; Perturbación funcional del órgano de la locomoción de carácter permanente y,  teniendo en cuenta su porcentaje de pérdida de capacidad laboral y ocupacional correspondiente al 13,50%</w:t>
            </w:r>
          </w:p>
          <w:p w14:paraId="777B284F" w14:textId="77777777" w:rsidR="00D63A16" w:rsidRPr="00994295" w:rsidRDefault="00D63A16" w:rsidP="00D63A16">
            <w:pPr>
              <w:pStyle w:val="Prrafodelista"/>
              <w:rPr>
                <w:rFonts w:ascii="Century Gothic" w:hAnsi="Century Gothic"/>
                <w:sz w:val="22"/>
                <w:szCs w:val="22"/>
              </w:rPr>
            </w:pPr>
          </w:p>
          <w:p w14:paraId="37DBE1E0" w14:textId="30006A25" w:rsidR="00D63A16" w:rsidRPr="00994295" w:rsidRDefault="002D350B" w:rsidP="002D350B">
            <w:pPr>
              <w:pStyle w:val="Prrafodelista"/>
              <w:numPr>
                <w:ilvl w:val="0"/>
                <w:numId w:val="2"/>
              </w:numPr>
              <w:spacing w:line="276" w:lineRule="auto"/>
              <w:jc w:val="both"/>
              <w:rPr>
                <w:rFonts w:ascii="Century Gothic" w:hAnsi="Century Gothic"/>
                <w:sz w:val="22"/>
                <w:szCs w:val="22"/>
              </w:rPr>
            </w:pPr>
            <w:r w:rsidRPr="00994295">
              <w:rPr>
                <w:rFonts w:ascii="Century Gothic" w:hAnsi="Century Gothic"/>
                <w:sz w:val="22"/>
                <w:szCs w:val="22"/>
              </w:rPr>
              <w:t xml:space="preserve">Valor asegurado: el valor asegurado corresponde a </w:t>
            </w:r>
            <w:r w:rsidR="004D6400" w:rsidRPr="00994295">
              <w:rPr>
                <w:rFonts w:ascii="Century Gothic" w:hAnsi="Century Gothic"/>
                <w:sz w:val="22"/>
                <w:szCs w:val="22"/>
              </w:rPr>
              <w:t>100 SMLMV</w:t>
            </w:r>
            <w:r w:rsidR="00A77FED" w:rsidRPr="00994295">
              <w:rPr>
                <w:rFonts w:ascii="Century Gothic" w:hAnsi="Century Gothic"/>
                <w:sz w:val="22"/>
                <w:szCs w:val="22"/>
              </w:rPr>
              <w:t xml:space="preserve"> ($142.350.000 -año 2025)</w:t>
            </w:r>
          </w:p>
          <w:p w14:paraId="097520E0" w14:textId="77777777" w:rsidR="00D63A16" w:rsidRPr="00994295" w:rsidRDefault="00D63A16" w:rsidP="00D63A16">
            <w:pPr>
              <w:pStyle w:val="Prrafodelista"/>
              <w:rPr>
                <w:rFonts w:ascii="Century Gothic" w:hAnsi="Century Gothic"/>
                <w:sz w:val="22"/>
                <w:szCs w:val="22"/>
              </w:rPr>
            </w:pPr>
          </w:p>
          <w:p w14:paraId="16FF41C0" w14:textId="174BD777" w:rsidR="0064593C" w:rsidRPr="00994295" w:rsidRDefault="0064593C" w:rsidP="002D350B">
            <w:pPr>
              <w:pStyle w:val="Prrafodelista"/>
              <w:numPr>
                <w:ilvl w:val="0"/>
                <w:numId w:val="2"/>
              </w:numPr>
              <w:spacing w:line="276" w:lineRule="auto"/>
              <w:jc w:val="both"/>
              <w:rPr>
                <w:rFonts w:ascii="Century Gothic" w:hAnsi="Century Gothic"/>
                <w:sz w:val="22"/>
                <w:szCs w:val="22"/>
              </w:rPr>
            </w:pPr>
            <w:r w:rsidRPr="00994295">
              <w:rPr>
                <w:rFonts w:ascii="Century Gothic" w:hAnsi="Century Gothic"/>
                <w:sz w:val="22"/>
                <w:szCs w:val="22"/>
              </w:rPr>
              <w:t>Deducible:</w:t>
            </w:r>
            <w:r w:rsidR="00D63A16" w:rsidRPr="00994295">
              <w:rPr>
                <w:rFonts w:ascii="Century Gothic" w:hAnsi="Century Gothic"/>
                <w:sz w:val="22"/>
                <w:szCs w:val="22"/>
              </w:rPr>
              <w:t xml:space="preserve"> Esta póliza no contempla deducible</w:t>
            </w:r>
            <w:r w:rsidR="003015F4" w:rsidRPr="00994295">
              <w:rPr>
                <w:rFonts w:ascii="Century Gothic" w:hAnsi="Century Gothic"/>
                <w:sz w:val="22"/>
                <w:szCs w:val="22"/>
              </w:rPr>
              <w:t xml:space="preserve"> para dicho amparo.</w:t>
            </w:r>
          </w:p>
          <w:p w14:paraId="31FF8AB1" w14:textId="010A2372" w:rsidR="00E802BC" w:rsidRPr="00994295" w:rsidRDefault="00E802BC" w:rsidP="002E1D33">
            <w:pPr>
              <w:spacing w:line="276" w:lineRule="auto"/>
              <w:jc w:val="both"/>
              <w:rPr>
                <w:rFonts w:ascii="Century Gothic" w:hAnsi="Century Gothic"/>
                <w:color w:val="FF0000"/>
                <w:sz w:val="22"/>
                <w:szCs w:val="22"/>
              </w:rPr>
            </w:pPr>
          </w:p>
        </w:tc>
      </w:tr>
    </w:tbl>
    <w:p w14:paraId="7273C5A1" w14:textId="77777777" w:rsidR="0095378E" w:rsidRPr="00994295" w:rsidRDefault="0095378E">
      <w:pPr>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10207"/>
      </w:tblGrid>
      <w:tr w:rsidR="00391A6B" w:rsidRPr="00994295" w14:paraId="05674BEA" w14:textId="77777777" w:rsidTr="0095378E">
        <w:trPr>
          <w:trHeight w:val="321"/>
        </w:trPr>
        <w:tc>
          <w:tcPr>
            <w:tcW w:w="10207" w:type="dxa"/>
            <w:shd w:val="clear" w:color="auto" w:fill="C5E0B3" w:themeFill="accent6" w:themeFillTint="66"/>
            <w:vAlign w:val="center"/>
          </w:tcPr>
          <w:p w14:paraId="2BB97918" w14:textId="52E94393" w:rsidR="003B7F1A" w:rsidRPr="00994295" w:rsidRDefault="003B7F1A" w:rsidP="003B7F1A">
            <w:pPr>
              <w:spacing w:line="276" w:lineRule="auto"/>
              <w:jc w:val="center"/>
              <w:rPr>
                <w:rFonts w:ascii="Century Gothic" w:hAnsi="Century Gothic"/>
                <w:sz w:val="22"/>
                <w:szCs w:val="22"/>
              </w:rPr>
            </w:pPr>
            <w:r w:rsidRPr="00994295">
              <w:rPr>
                <w:rFonts w:ascii="Century Gothic" w:hAnsi="Century Gothic"/>
                <w:b/>
                <w:bCs/>
                <w:sz w:val="22"/>
                <w:szCs w:val="22"/>
              </w:rPr>
              <w:t>Excepciones</w:t>
            </w:r>
          </w:p>
        </w:tc>
      </w:tr>
      <w:tr w:rsidR="00391A6B" w:rsidRPr="00994295" w14:paraId="4AAD7549" w14:textId="77777777" w:rsidTr="0095378E">
        <w:trPr>
          <w:trHeight w:val="3906"/>
        </w:trPr>
        <w:tc>
          <w:tcPr>
            <w:tcW w:w="10207" w:type="dxa"/>
            <w:vAlign w:val="center"/>
          </w:tcPr>
          <w:p w14:paraId="47F9AE89" w14:textId="71AB93AC" w:rsidR="00C4153F" w:rsidRPr="00994295" w:rsidRDefault="00824209" w:rsidP="00C4153F">
            <w:pPr>
              <w:spacing w:line="276" w:lineRule="auto"/>
              <w:jc w:val="both"/>
              <w:rPr>
                <w:rFonts w:ascii="Century Gothic" w:hAnsi="Century Gothic"/>
                <w:sz w:val="22"/>
                <w:szCs w:val="22"/>
              </w:rPr>
            </w:pPr>
            <w:r w:rsidRPr="00994295">
              <w:rPr>
                <w:rFonts w:ascii="Century Gothic" w:hAnsi="Century Gothic"/>
                <w:sz w:val="22"/>
                <w:szCs w:val="22"/>
              </w:rPr>
              <w:lastRenderedPageBreak/>
              <w:t xml:space="preserve">Excepciones de Fondo frente a la demanda </w:t>
            </w:r>
            <w:r w:rsidR="00C4153F" w:rsidRPr="00994295">
              <w:rPr>
                <w:rFonts w:ascii="Century Gothic" w:hAnsi="Century Gothic"/>
                <w:sz w:val="22"/>
                <w:szCs w:val="22"/>
              </w:rPr>
              <w:t xml:space="preserve">y al llamamiento en garantía: </w:t>
            </w:r>
          </w:p>
          <w:p w14:paraId="5E4D20B9" w14:textId="4FED4122" w:rsidR="00C4153F" w:rsidRPr="00994295" w:rsidRDefault="00C4153F" w:rsidP="00C4153F">
            <w:pPr>
              <w:spacing w:line="276" w:lineRule="auto"/>
              <w:jc w:val="both"/>
              <w:rPr>
                <w:rFonts w:ascii="Century Gothic" w:hAnsi="Century Gothic"/>
                <w:sz w:val="22"/>
                <w:szCs w:val="22"/>
              </w:rPr>
            </w:pPr>
          </w:p>
          <w:p w14:paraId="6C889D1D" w14:textId="431A38B6" w:rsidR="00CA477D" w:rsidRPr="00994295" w:rsidRDefault="00CA477D" w:rsidP="00CA477D">
            <w:pPr>
              <w:pStyle w:val="Prrafodelista"/>
              <w:numPr>
                <w:ilvl w:val="0"/>
                <w:numId w:val="7"/>
              </w:numPr>
              <w:spacing w:line="276" w:lineRule="auto"/>
              <w:jc w:val="both"/>
              <w:rPr>
                <w:rFonts w:ascii="Century Gothic" w:hAnsi="Century Gothic"/>
                <w:sz w:val="22"/>
                <w:szCs w:val="22"/>
              </w:rPr>
            </w:pPr>
            <w:r w:rsidRPr="00994295">
              <w:rPr>
                <w:rFonts w:ascii="Century Gothic" w:hAnsi="Century Gothic"/>
                <w:sz w:val="22"/>
                <w:szCs w:val="22"/>
              </w:rPr>
              <w:t>FALTA DECLARATORIA JUDICIAL O ADMINISTRATIVA DE RESPONSABILIDAD EN LA</w:t>
            </w:r>
          </w:p>
          <w:p w14:paraId="6706FD5E" w14:textId="485DE51B" w:rsidR="00CA477D" w:rsidRPr="00994295" w:rsidRDefault="00CA477D" w:rsidP="00CA477D">
            <w:pPr>
              <w:spacing w:line="276" w:lineRule="auto"/>
              <w:jc w:val="both"/>
              <w:rPr>
                <w:rFonts w:ascii="Century Gothic" w:hAnsi="Century Gothic"/>
                <w:sz w:val="22"/>
                <w:szCs w:val="22"/>
              </w:rPr>
            </w:pPr>
            <w:r w:rsidRPr="00994295">
              <w:rPr>
                <w:rFonts w:ascii="Century Gothic" w:hAnsi="Century Gothic"/>
                <w:sz w:val="22"/>
                <w:szCs w:val="22"/>
              </w:rPr>
              <w:t>COMISION DEL HECHO ENDILGADO.</w:t>
            </w:r>
          </w:p>
          <w:p w14:paraId="552B13E0" w14:textId="62D68CBE" w:rsidR="00CA477D" w:rsidRPr="00994295" w:rsidRDefault="00CA477D" w:rsidP="00CA477D">
            <w:pPr>
              <w:pStyle w:val="Prrafodelista"/>
              <w:numPr>
                <w:ilvl w:val="0"/>
                <w:numId w:val="7"/>
              </w:numPr>
              <w:spacing w:line="276" w:lineRule="auto"/>
              <w:jc w:val="both"/>
              <w:rPr>
                <w:rFonts w:ascii="Century Gothic" w:hAnsi="Century Gothic"/>
                <w:sz w:val="22"/>
                <w:szCs w:val="22"/>
              </w:rPr>
            </w:pPr>
            <w:r w:rsidRPr="00994295">
              <w:rPr>
                <w:rFonts w:ascii="Century Gothic" w:hAnsi="Century Gothic"/>
                <w:sz w:val="22"/>
                <w:szCs w:val="22"/>
              </w:rPr>
              <w:t>DILIGENCIA Y CUIDADO.</w:t>
            </w:r>
          </w:p>
          <w:p w14:paraId="5BE245DD" w14:textId="5EBB1C61" w:rsidR="00CA477D" w:rsidRPr="00994295" w:rsidRDefault="00CA477D" w:rsidP="00CA477D">
            <w:pPr>
              <w:pStyle w:val="Prrafodelista"/>
              <w:numPr>
                <w:ilvl w:val="0"/>
                <w:numId w:val="7"/>
              </w:numPr>
              <w:spacing w:line="276" w:lineRule="auto"/>
              <w:jc w:val="both"/>
              <w:rPr>
                <w:rFonts w:ascii="Century Gothic" w:hAnsi="Century Gothic"/>
                <w:sz w:val="22"/>
                <w:szCs w:val="22"/>
              </w:rPr>
            </w:pPr>
            <w:r w:rsidRPr="00994295">
              <w:rPr>
                <w:rFonts w:ascii="Century Gothic" w:hAnsi="Century Gothic"/>
                <w:sz w:val="22"/>
                <w:szCs w:val="22"/>
              </w:rPr>
              <w:t>AUSENCIA DE RESPONSABILIDAD DE LOS DEMANDADO Y CONSECUENTE AUSENCIA DE COBERTURA DE LA PÓLIZA DE SEGURO SUSCRITA.</w:t>
            </w:r>
          </w:p>
          <w:p w14:paraId="02228F3A" w14:textId="6DA2DFED" w:rsidR="00CA477D" w:rsidRPr="00994295" w:rsidRDefault="00CA477D" w:rsidP="00CA477D">
            <w:pPr>
              <w:pStyle w:val="Prrafodelista"/>
              <w:numPr>
                <w:ilvl w:val="0"/>
                <w:numId w:val="7"/>
              </w:numPr>
              <w:spacing w:line="276" w:lineRule="auto"/>
              <w:jc w:val="both"/>
              <w:rPr>
                <w:rFonts w:ascii="Century Gothic" w:hAnsi="Century Gothic"/>
                <w:sz w:val="22"/>
                <w:szCs w:val="22"/>
              </w:rPr>
            </w:pPr>
            <w:r w:rsidRPr="00994295">
              <w:rPr>
                <w:rFonts w:ascii="Century Gothic" w:hAnsi="Century Gothic"/>
                <w:sz w:val="22"/>
                <w:szCs w:val="22"/>
              </w:rPr>
              <w:t>RUPTURA DEL NEXO CAUSAL – HECHO EXCLUSIVO DE LA VICITMA.</w:t>
            </w:r>
          </w:p>
          <w:p w14:paraId="1C757A31" w14:textId="75571890" w:rsidR="00CA477D" w:rsidRPr="00994295" w:rsidRDefault="00CA477D" w:rsidP="00CA477D">
            <w:pPr>
              <w:pStyle w:val="Prrafodelista"/>
              <w:numPr>
                <w:ilvl w:val="0"/>
                <w:numId w:val="7"/>
              </w:numPr>
              <w:spacing w:line="276" w:lineRule="auto"/>
              <w:jc w:val="both"/>
              <w:rPr>
                <w:rFonts w:ascii="Century Gothic" w:hAnsi="Century Gothic"/>
                <w:sz w:val="22"/>
                <w:szCs w:val="22"/>
              </w:rPr>
            </w:pPr>
            <w:r w:rsidRPr="00994295">
              <w:rPr>
                <w:rFonts w:ascii="Century Gothic" w:hAnsi="Century Gothic"/>
                <w:sz w:val="22"/>
                <w:szCs w:val="22"/>
              </w:rPr>
              <w:t>INEXISTENCIA DE LA OBLIGACIÓN DE INDEMNIZAR DAÑO MATERIAL EN LA MODALIDAD DE LUCRO CESANTE.</w:t>
            </w:r>
          </w:p>
          <w:p w14:paraId="295631FE" w14:textId="2DC836C8" w:rsidR="00CA477D" w:rsidRPr="00994295" w:rsidRDefault="00CA477D" w:rsidP="00CA477D">
            <w:pPr>
              <w:pStyle w:val="Prrafodelista"/>
              <w:numPr>
                <w:ilvl w:val="0"/>
                <w:numId w:val="7"/>
              </w:numPr>
              <w:spacing w:line="276" w:lineRule="auto"/>
              <w:jc w:val="both"/>
              <w:rPr>
                <w:rFonts w:ascii="Century Gothic" w:hAnsi="Century Gothic"/>
                <w:sz w:val="22"/>
                <w:szCs w:val="22"/>
              </w:rPr>
            </w:pPr>
            <w:r w:rsidRPr="00994295">
              <w:rPr>
                <w:rFonts w:ascii="Century Gothic" w:hAnsi="Century Gothic"/>
                <w:sz w:val="22"/>
                <w:szCs w:val="22"/>
              </w:rPr>
              <w:t>TASACIÓN EXCESIVA DE LOS EVENTUALES PERJUICIOS.</w:t>
            </w:r>
          </w:p>
          <w:p w14:paraId="74EA7117" w14:textId="58508F92" w:rsidR="00CA477D" w:rsidRPr="00994295" w:rsidRDefault="00CA477D" w:rsidP="00CA477D">
            <w:pPr>
              <w:pStyle w:val="Prrafodelista"/>
              <w:numPr>
                <w:ilvl w:val="0"/>
                <w:numId w:val="7"/>
              </w:numPr>
              <w:spacing w:line="276" w:lineRule="auto"/>
              <w:jc w:val="both"/>
              <w:rPr>
                <w:rFonts w:ascii="Century Gothic" w:hAnsi="Century Gothic"/>
                <w:sz w:val="22"/>
                <w:szCs w:val="22"/>
              </w:rPr>
            </w:pPr>
            <w:r w:rsidRPr="00994295">
              <w:rPr>
                <w:rFonts w:ascii="Century Gothic" w:hAnsi="Century Gothic"/>
                <w:sz w:val="22"/>
                <w:szCs w:val="22"/>
              </w:rPr>
              <w:t>OBJECIÓN AL JURAMENTO ESTIMATORIO.</w:t>
            </w:r>
          </w:p>
          <w:p w14:paraId="25A0B632" w14:textId="176EB2E7" w:rsidR="00CA477D" w:rsidRPr="00994295" w:rsidRDefault="00CA477D" w:rsidP="00CA477D">
            <w:pPr>
              <w:pStyle w:val="Prrafodelista"/>
              <w:numPr>
                <w:ilvl w:val="0"/>
                <w:numId w:val="7"/>
              </w:numPr>
              <w:spacing w:line="276" w:lineRule="auto"/>
              <w:jc w:val="both"/>
              <w:rPr>
                <w:rFonts w:ascii="Century Gothic" w:hAnsi="Century Gothic"/>
                <w:sz w:val="22"/>
                <w:szCs w:val="22"/>
              </w:rPr>
            </w:pPr>
            <w:r w:rsidRPr="00994295">
              <w:rPr>
                <w:rFonts w:ascii="Century Gothic" w:hAnsi="Century Gothic"/>
                <w:sz w:val="22"/>
                <w:szCs w:val="22"/>
              </w:rPr>
              <w:t>REBAJA DE LA INDEMNIZACION – COLISION DE CULPAS.</w:t>
            </w:r>
          </w:p>
          <w:p w14:paraId="0CD20789" w14:textId="3EE6EC48" w:rsidR="00CA477D" w:rsidRPr="00994295" w:rsidRDefault="00CA477D" w:rsidP="004D6400">
            <w:pPr>
              <w:spacing w:line="276" w:lineRule="auto"/>
              <w:jc w:val="both"/>
              <w:rPr>
                <w:rFonts w:ascii="Century Gothic" w:hAnsi="Century Gothic"/>
                <w:sz w:val="22"/>
                <w:szCs w:val="22"/>
              </w:rPr>
            </w:pPr>
          </w:p>
          <w:p w14:paraId="7BDDFE76" w14:textId="27E2693D" w:rsidR="004D6400" w:rsidRPr="00994295" w:rsidRDefault="004D6400" w:rsidP="004D6400">
            <w:pPr>
              <w:spacing w:line="276" w:lineRule="auto"/>
              <w:jc w:val="both"/>
              <w:rPr>
                <w:rFonts w:ascii="Century Gothic" w:hAnsi="Century Gothic"/>
                <w:sz w:val="22"/>
                <w:szCs w:val="22"/>
              </w:rPr>
            </w:pPr>
            <w:r w:rsidRPr="00994295">
              <w:rPr>
                <w:rFonts w:ascii="Century Gothic" w:hAnsi="Century Gothic"/>
                <w:sz w:val="22"/>
                <w:szCs w:val="22"/>
              </w:rPr>
              <w:t>EXCEPCIONES FRENTE AL CONTRATO DE SEGUROS SUSCRITO:</w:t>
            </w:r>
          </w:p>
          <w:p w14:paraId="33EC2446" w14:textId="77777777" w:rsidR="004D6400" w:rsidRPr="00994295" w:rsidRDefault="004D6400" w:rsidP="004D6400">
            <w:pPr>
              <w:spacing w:line="276" w:lineRule="auto"/>
              <w:jc w:val="both"/>
              <w:rPr>
                <w:rFonts w:ascii="Century Gothic" w:hAnsi="Century Gothic"/>
                <w:sz w:val="22"/>
                <w:szCs w:val="22"/>
              </w:rPr>
            </w:pPr>
          </w:p>
          <w:p w14:paraId="4FF1F99D" w14:textId="65401AFF" w:rsidR="004D6400" w:rsidRPr="00994295" w:rsidRDefault="004D6400" w:rsidP="004D6400">
            <w:pPr>
              <w:pStyle w:val="Prrafodelista"/>
              <w:numPr>
                <w:ilvl w:val="0"/>
                <w:numId w:val="8"/>
              </w:numPr>
              <w:spacing w:line="276" w:lineRule="auto"/>
              <w:jc w:val="both"/>
              <w:rPr>
                <w:rFonts w:ascii="Century Gothic" w:hAnsi="Century Gothic"/>
                <w:sz w:val="22"/>
                <w:szCs w:val="22"/>
              </w:rPr>
            </w:pPr>
            <w:r w:rsidRPr="00994295">
              <w:rPr>
                <w:rFonts w:ascii="Century Gothic" w:hAnsi="Century Gothic"/>
                <w:sz w:val="22"/>
                <w:szCs w:val="22"/>
              </w:rPr>
              <w:t>SUJECIÓN AL CONTRATO DE SEGURO CELEBRADO.</w:t>
            </w:r>
          </w:p>
          <w:p w14:paraId="675889F7" w14:textId="1E9B168D" w:rsidR="004D6400" w:rsidRPr="00994295" w:rsidRDefault="004D6400" w:rsidP="004D6400">
            <w:pPr>
              <w:pStyle w:val="Prrafodelista"/>
              <w:numPr>
                <w:ilvl w:val="0"/>
                <w:numId w:val="8"/>
              </w:numPr>
              <w:spacing w:line="276" w:lineRule="auto"/>
              <w:jc w:val="both"/>
              <w:rPr>
                <w:rFonts w:ascii="Century Gothic" w:hAnsi="Century Gothic"/>
                <w:sz w:val="22"/>
                <w:szCs w:val="22"/>
              </w:rPr>
            </w:pPr>
            <w:r w:rsidRPr="00994295">
              <w:rPr>
                <w:rFonts w:ascii="Century Gothic" w:hAnsi="Century Gothic"/>
                <w:sz w:val="22"/>
                <w:szCs w:val="22"/>
              </w:rPr>
              <w:t>PRESCRIPCION DE LA ACCIÓN DERIVADA DEL CONTRATO DE SEGURO.</w:t>
            </w:r>
          </w:p>
          <w:p w14:paraId="3EBCDCBD" w14:textId="6F626864" w:rsidR="004D6400" w:rsidRPr="00994295" w:rsidRDefault="004D6400" w:rsidP="004D6400">
            <w:pPr>
              <w:pStyle w:val="Prrafodelista"/>
              <w:numPr>
                <w:ilvl w:val="0"/>
                <w:numId w:val="8"/>
              </w:numPr>
              <w:spacing w:line="276" w:lineRule="auto"/>
              <w:jc w:val="both"/>
              <w:rPr>
                <w:rFonts w:ascii="Century Gothic" w:hAnsi="Century Gothic"/>
                <w:sz w:val="22"/>
                <w:szCs w:val="22"/>
              </w:rPr>
            </w:pPr>
            <w:r w:rsidRPr="00994295">
              <w:rPr>
                <w:rFonts w:ascii="Century Gothic" w:hAnsi="Century Gothic"/>
                <w:sz w:val="22"/>
                <w:szCs w:val="22"/>
              </w:rPr>
              <w:t>LÍMITE DEL VALOR ASEGURADO PARA CADA AMPARO.</w:t>
            </w:r>
          </w:p>
          <w:p w14:paraId="2D4BB519" w14:textId="5E99FA90" w:rsidR="004D6400" w:rsidRPr="00994295" w:rsidRDefault="004D6400" w:rsidP="004D6400">
            <w:pPr>
              <w:pStyle w:val="Prrafodelista"/>
              <w:numPr>
                <w:ilvl w:val="0"/>
                <w:numId w:val="8"/>
              </w:numPr>
              <w:spacing w:line="276" w:lineRule="auto"/>
              <w:jc w:val="both"/>
              <w:rPr>
                <w:rFonts w:ascii="Century Gothic" w:hAnsi="Century Gothic"/>
                <w:sz w:val="22"/>
                <w:szCs w:val="22"/>
              </w:rPr>
            </w:pPr>
            <w:r w:rsidRPr="00994295">
              <w:rPr>
                <w:rFonts w:ascii="Century Gothic" w:hAnsi="Century Gothic"/>
                <w:sz w:val="22"/>
                <w:szCs w:val="22"/>
              </w:rPr>
              <w:t>DISPONIBILIDAD DEL VALOR ASEGURADO.</w:t>
            </w:r>
          </w:p>
          <w:p w14:paraId="542E3FED" w14:textId="36BD594E" w:rsidR="004D6400" w:rsidRPr="00994295" w:rsidRDefault="004D6400" w:rsidP="004D6400">
            <w:pPr>
              <w:pStyle w:val="Prrafodelista"/>
              <w:numPr>
                <w:ilvl w:val="0"/>
                <w:numId w:val="8"/>
              </w:numPr>
              <w:spacing w:line="276" w:lineRule="auto"/>
              <w:jc w:val="both"/>
              <w:rPr>
                <w:rFonts w:ascii="Century Gothic" w:hAnsi="Century Gothic"/>
                <w:sz w:val="22"/>
                <w:szCs w:val="22"/>
              </w:rPr>
            </w:pPr>
            <w:r w:rsidRPr="00994295">
              <w:rPr>
                <w:rFonts w:ascii="Century Gothic" w:hAnsi="Century Gothic"/>
                <w:sz w:val="22"/>
                <w:szCs w:val="22"/>
              </w:rPr>
              <w:t>EXCEPCION GENÉRICA O INNOMINADA.</w:t>
            </w:r>
          </w:p>
          <w:p w14:paraId="1917E82B" w14:textId="77777777" w:rsidR="004D6400" w:rsidRPr="00994295" w:rsidRDefault="004D6400" w:rsidP="004D6400">
            <w:pPr>
              <w:spacing w:line="276" w:lineRule="auto"/>
              <w:jc w:val="both"/>
              <w:rPr>
                <w:rFonts w:ascii="Century Gothic" w:hAnsi="Century Gothic"/>
                <w:sz w:val="22"/>
                <w:szCs w:val="22"/>
              </w:rPr>
            </w:pPr>
          </w:p>
          <w:p w14:paraId="0003E02A" w14:textId="2FBB543F" w:rsidR="00CA477D" w:rsidRPr="00994295" w:rsidRDefault="00CA477D" w:rsidP="00CA477D">
            <w:pPr>
              <w:spacing w:line="276" w:lineRule="auto"/>
              <w:jc w:val="both"/>
              <w:rPr>
                <w:rFonts w:ascii="Century Gothic" w:hAnsi="Century Gothic"/>
                <w:sz w:val="22"/>
                <w:szCs w:val="22"/>
              </w:rPr>
            </w:pPr>
            <w:r w:rsidRPr="00994295">
              <w:rPr>
                <w:rFonts w:ascii="Century Gothic" w:hAnsi="Century Gothic"/>
                <w:sz w:val="22"/>
                <w:szCs w:val="22"/>
              </w:rPr>
              <w:t xml:space="preserve">Excepciones de Fondo frente al llamamiento en garantía: </w:t>
            </w:r>
          </w:p>
          <w:p w14:paraId="0BD96A0E" w14:textId="77777777" w:rsidR="00CA477D" w:rsidRPr="00994295" w:rsidRDefault="00CA477D" w:rsidP="00C4153F">
            <w:pPr>
              <w:spacing w:line="276" w:lineRule="auto"/>
              <w:jc w:val="both"/>
              <w:rPr>
                <w:rFonts w:ascii="Century Gothic" w:hAnsi="Century Gothic"/>
                <w:sz w:val="22"/>
                <w:szCs w:val="22"/>
              </w:rPr>
            </w:pPr>
          </w:p>
          <w:p w14:paraId="2EC659E1" w14:textId="77777777" w:rsidR="004D6400" w:rsidRPr="00994295" w:rsidRDefault="004D6400" w:rsidP="004D6400">
            <w:pPr>
              <w:pStyle w:val="Prrafodelista"/>
              <w:numPr>
                <w:ilvl w:val="0"/>
                <w:numId w:val="7"/>
              </w:numPr>
              <w:spacing w:line="276" w:lineRule="auto"/>
              <w:jc w:val="both"/>
              <w:rPr>
                <w:rFonts w:ascii="Century Gothic" w:hAnsi="Century Gothic"/>
                <w:sz w:val="22"/>
                <w:szCs w:val="22"/>
              </w:rPr>
            </w:pPr>
            <w:r w:rsidRPr="00994295">
              <w:rPr>
                <w:rFonts w:ascii="Century Gothic" w:hAnsi="Century Gothic"/>
                <w:sz w:val="22"/>
                <w:szCs w:val="22"/>
              </w:rPr>
              <w:t>FALTA DECLARATORIA JUDICIAL O ADMINISTRATIVA DE RESPONSABILIDAD EN LA</w:t>
            </w:r>
          </w:p>
          <w:p w14:paraId="0A72C876" w14:textId="77777777" w:rsidR="004D6400" w:rsidRPr="00994295" w:rsidRDefault="004D6400" w:rsidP="004D6400">
            <w:pPr>
              <w:spacing w:line="276" w:lineRule="auto"/>
              <w:jc w:val="both"/>
              <w:rPr>
                <w:rFonts w:ascii="Century Gothic" w:hAnsi="Century Gothic"/>
                <w:sz w:val="22"/>
                <w:szCs w:val="22"/>
              </w:rPr>
            </w:pPr>
            <w:r w:rsidRPr="00994295">
              <w:rPr>
                <w:rFonts w:ascii="Century Gothic" w:hAnsi="Century Gothic"/>
                <w:sz w:val="22"/>
                <w:szCs w:val="22"/>
              </w:rPr>
              <w:t>COMISION DEL HECHO ENDILGADO.</w:t>
            </w:r>
          </w:p>
          <w:p w14:paraId="7081016C" w14:textId="77777777" w:rsidR="004D6400" w:rsidRPr="00994295" w:rsidRDefault="004D6400" w:rsidP="004D6400">
            <w:pPr>
              <w:pStyle w:val="Prrafodelista"/>
              <w:numPr>
                <w:ilvl w:val="0"/>
                <w:numId w:val="7"/>
              </w:numPr>
              <w:spacing w:line="276" w:lineRule="auto"/>
              <w:jc w:val="both"/>
              <w:rPr>
                <w:rFonts w:ascii="Century Gothic" w:hAnsi="Century Gothic"/>
                <w:sz w:val="22"/>
                <w:szCs w:val="22"/>
              </w:rPr>
            </w:pPr>
            <w:r w:rsidRPr="00994295">
              <w:rPr>
                <w:rFonts w:ascii="Century Gothic" w:hAnsi="Century Gothic"/>
                <w:sz w:val="22"/>
                <w:szCs w:val="22"/>
              </w:rPr>
              <w:t>DILIGENCIA Y CUIDADO.</w:t>
            </w:r>
          </w:p>
          <w:p w14:paraId="20209308" w14:textId="77777777" w:rsidR="004D6400" w:rsidRPr="00994295" w:rsidRDefault="004D6400" w:rsidP="004D6400">
            <w:pPr>
              <w:pStyle w:val="Prrafodelista"/>
              <w:numPr>
                <w:ilvl w:val="0"/>
                <w:numId w:val="7"/>
              </w:numPr>
              <w:spacing w:line="276" w:lineRule="auto"/>
              <w:jc w:val="both"/>
              <w:rPr>
                <w:rFonts w:ascii="Century Gothic" w:hAnsi="Century Gothic"/>
                <w:sz w:val="22"/>
                <w:szCs w:val="22"/>
              </w:rPr>
            </w:pPr>
            <w:r w:rsidRPr="00994295">
              <w:rPr>
                <w:rFonts w:ascii="Century Gothic" w:hAnsi="Century Gothic"/>
                <w:sz w:val="22"/>
                <w:szCs w:val="22"/>
              </w:rPr>
              <w:t>AUSENCIA DE RESPONSABILIDAD DE LOS DEMANDADO Y CONSECUENTE AUSENCIA DE COBERTURA DE LA PÓLIZA DE SEGURO SUSCRITA.</w:t>
            </w:r>
          </w:p>
          <w:p w14:paraId="1CB56B0E" w14:textId="77777777" w:rsidR="004D6400" w:rsidRPr="00994295" w:rsidRDefault="004D6400" w:rsidP="004D6400">
            <w:pPr>
              <w:pStyle w:val="Prrafodelista"/>
              <w:numPr>
                <w:ilvl w:val="0"/>
                <w:numId w:val="7"/>
              </w:numPr>
              <w:spacing w:line="276" w:lineRule="auto"/>
              <w:jc w:val="both"/>
              <w:rPr>
                <w:rFonts w:ascii="Century Gothic" w:hAnsi="Century Gothic"/>
                <w:sz w:val="22"/>
                <w:szCs w:val="22"/>
              </w:rPr>
            </w:pPr>
            <w:r w:rsidRPr="00994295">
              <w:rPr>
                <w:rFonts w:ascii="Century Gothic" w:hAnsi="Century Gothic"/>
                <w:sz w:val="22"/>
                <w:szCs w:val="22"/>
              </w:rPr>
              <w:t>RUPTURA DEL NEXO CAUSAL – HECHO EXCLUSIVO DE LA VICITMA.</w:t>
            </w:r>
          </w:p>
          <w:p w14:paraId="76D8C70F" w14:textId="77777777" w:rsidR="004D6400" w:rsidRPr="00994295" w:rsidRDefault="004D6400" w:rsidP="004D6400">
            <w:pPr>
              <w:pStyle w:val="Prrafodelista"/>
              <w:numPr>
                <w:ilvl w:val="0"/>
                <w:numId w:val="7"/>
              </w:numPr>
              <w:spacing w:line="276" w:lineRule="auto"/>
              <w:jc w:val="both"/>
              <w:rPr>
                <w:rFonts w:ascii="Century Gothic" w:hAnsi="Century Gothic"/>
                <w:sz w:val="22"/>
                <w:szCs w:val="22"/>
              </w:rPr>
            </w:pPr>
            <w:r w:rsidRPr="00994295">
              <w:rPr>
                <w:rFonts w:ascii="Century Gothic" w:hAnsi="Century Gothic"/>
                <w:sz w:val="22"/>
                <w:szCs w:val="22"/>
              </w:rPr>
              <w:t>INEXISTENCIA DE LA OBLIGACIÓN DE INDEMNIZAR DAÑO MATERIAL EN LA MODALIDAD DE LUCRO CESANTE.</w:t>
            </w:r>
          </w:p>
          <w:p w14:paraId="75597585" w14:textId="77777777" w:rsidR="004D6400" w:rsidRPr="00994295" w:rsidRDefault="004D6400" w:rsidP="004D6400">
            <w:pPr>
              <w:pStyle w:val="Prrafodelista"/>
              <w:numPr>
                <w:ilvl w:val="0"/>
                <w:numId w:val="7"/>
              </w:numPr>
              <w:spacing w:line="276" w:lineRule="auto"/>
              <w:jc w:val="both"/>
              <w:rPr>
                <w:rFonts w:ascii="Century Gothic" w:hAnsi="Century Gothic"/>
                <w:sz w:val="22"/>
                <w:szCs w:val="22"/>
              </w:rPr>
            </w:pPr>
            <w:r w:rsidRPr="00994295">
              <w:rPr>
                <w:rFonts w:ascii="Century Gothic" w:hAnsi="Century Gothic"/>
                <w:sz w:val="22"/>
                <w:szCs w:val="22"/>
              </w:rPr>
              <w:t>TASACIÓN EXCESIVA DE LOS EVENTUALES PERJUICIOS.</w:t>
            </w:r>
          </w:p>
          <w:p w14:paraId="03FE5EE3" w14:textId="77777777" w:rsidR="004D6400" w:rsidRPr="00994295" w:rsidRDefault="004D6400" w:rsidP="004D6400">
            <w:pPr>
              <w:pStyle w:val="Prrafodelista"/>
              <w:numPr>
                <w:ilvl w:val="0"/>
                <w:numId w:val="7"/>
              </w:numPr>
              <w:spacing w:line="276" w:lineRule="auto"/>
              <w:jc w:val="both"/>
              <w:rPr>
                <w:rFonts w:ascii="Century Gothic" w:hAnsi="Century Gothic"/>
                <w:sz w:val="22"/>
                <w:szCs w:val="22"/>
              </w:rPr>
            </w:pPr>
            <w:r w:rsidRPr="00994295">
              <w:rPr>
                <w:rFonts w:ascii="Century Gothic" w:hAnsi="Century Gothic"/>
                <w:sz w:val="22"/>
                <w:szCs w:val="22"/>
              </w:rPr>
              <w:t>OBJECIÓN AL JURAMENTO ESTIMATORIO.</w:t>
            </w:r>
          </w:p>
          <w:p w14:paraId="508AEFC6" w14:textId="77777777" w:rsidR="004D6400" w:rsidRPr="00994295" w:rsidRDefault="004D6400" w:rsidP="004D6400">
            <w:pPr>
              <w:pStyle w:val="Prrafodelista"/>
              <w:numPr>
                <w:ilvl w:val="0"/>
                <w:numId w:val="7"/>
              </w:numPr>
              <w:spacing w:line="276" w:lineRule="auto"/>
              <w:jc w:val="both"/>
              <w:rPr>
                <w:rFonts w:ascii="Century Gothic" w:hAnsi="Century Gothic"/>
                <w:sz w:val="22"/>
                <w:szCs w:val="22"/>
              </w:rPr>
            </w:pPr>
            <w:r w:rsidRPr="00994295">
              <w:rPr>
                <w:rFonts w:ascii="Century Gothic" w:hAnsi="Century Gothic"/>
                <w:sz w:val="22"/>
                <w:szCs w:val="22"/>
              </w:rPr>
              <w:t>REBAJA DE LA INDEMNIZACION – COLISION DE CULPAS.</w:t>
            </w:r>
          </w:p>
          <w:p w14:paraId="7D1D5971" w14:textId="77777777" w:rsidR="004D6400" w:rsidRPr="00994295" w:rsidRDefault="004D6400" w:rsidP="004D6400">
            <w:pPr>
              <w:spacing w:line="276" w:lineRule="auto"/>
              <w:jc w:val="both"/>
              <w:rPr>
                <w:rFonts w:ascii="Century Gothic" w:hAnsi="Century Gothic"/>
                <w:sz w:val="22"/>
                <w:szCs w:val="22"/>
              </w:rPr>
            </w:pPr>
          </w:p>
          <w:p w14:paraId="69FD2E12" w14:textId="77777777" w:rsidR="004D6400" w:rsidRPr="00994295" w:rsidRDefault="004D6400" w:rsidP="004D6400">
            <w:pPr>
              <w:spacing w:line="276" w:lineRule="auto"/>
              <w:jc w:val="both"/>
              <w:rPr>
                <w:rFonts w:ascii="Century Gothic" w:hAnsi="Century Gothic"/>
                <w:sz w:val="22"/>
                <w:szCs w:val="22"/>
              </w:rPr>
            </w:pPr>
            <w:r w:rsidRPr="00994295">
              <w:rPr>
                <w:rFonts w:ascii="Century Gothic" w:hAnsi="Century Gothic"/>
                <w:sz w:val="22"/>
                <w:szCs w:val="22"/>
              </w:rPr>
              <w:t>EXCEPCIONES FRENTE AL CONTRATO DE SEGUROS SUSCRITO:</w:t>
            </w:r>
          </w:p>
          <w:p w14:paraId="30DD69A4" w14:textId="77777777" w:rsidR="004D6400" w:rsidRPr="00994295" w:rsidRDefault="004D6400" w:rsidP="004D6400">
            <w:pPr>
              <w:spacing w:line="276" w:lineRule="auto"/>
              <w:jc w:val="both"/>
              <w:rPr>
                <w:rFonts w:ascii="Century Gothic" w:hAnsi="Century Gothic"/>
                <w:sz w:val="22"/>
                <w:szCs w:val="22"/>
              </w:rPr>
            </w:pPr>
          </w:p>
          <w:p w14:paraId="392A9125" w14:textId="77777777" w:rsidR="004D6400" w:rsidRPr="00994295" w:rsidRDefault="004D6400" w:rsidP="004D6400">
            <w:pPr>
              <w:pStyle w:val="Prrafodelista"/>
              <w:numPr>
                <w:ilvl w:val="0"/>
                <w:numId w:val="8"/>
              </w:numPr>
              <w:spacing w:line="276" w:lineRule="auto"/>
              <w:jc w:val="both"/>
              <w:rPr>
                <w:rFonts w:ascii="Century Gothic" w:hAnsi="Century Gothic"/>
                <w:sz w:val="22"/>
                <w:szCs w:val="22"/>
              </w:rPr>
            </w:pPr>
            <w:r w:rsidRPr="00994295">
              <w:rPr>
                <w:rFonts w:ascii="Century Gothic" w:hAnsi="Century Gothic"/>
                <w:sz w:val="22"/>
                <w:szCs w:val="22"/>
              </w:rPr>
              <w:t>SUJECIÓN AL CONTRATO DE SEGURO CELEBRADO.</w:t>
            </w:r>
          </w:p>
          <w:p w14:paraId="310F06BE" w14:textId="77777777" w:rsidR="004D6400" w:rsidRPr="00994295" w:rsidRDefault="004D6400" w:rsidP="004D6400">
            <w:pPr>
              <w:pStyle w:val="Prrafodelista"/>
              <w:numPr>
                <w:ilvl w:val="0"/>
                <w:numId w:val="8"/>
              </w:numPr>
              <w:spacing w:line="276" w:lineRule="auto"/>
              <w:jc w:val="both"/>
              <w:rPr>
                <w:rFonts w:ascii="Century Gothic" w:hAnsi="Century Gothic"/>
                <w:sz w:val="22"/>
                <w:szCs w:val="22"/>
              </w:rPr>
            </w:pPr>
            <w:r w:rsidRPr="00994295">
              <w:rPr>
                <w:rFonts w:ascii="Century Gothic" w:hAnsi="Century Gothic"/>
                <w:sz w:val="22"/>
                <w:szCs w:val="22"/>
              </w:rPr>
              <w:t>PRESCRIPCION DE LA ACCIÓN DERIVADA DEL CONTRATO DE SEGURO.</w:t>
            </w:r>
          </w:p>
          <w:p w14:paraId="288279BF" w14:textId="77777777" w:rsidR="004D6400" w:rsidRPr="00994295" w:rsidRDefault="004D6400" w:rsidP="004D6400">
            <w:pPr>
              <w:pStyle w:val="Prrafodelista"/>
              <w:numPr>
                <w:ilvl w:val="0"/>
                <w:numId w:val="8"/>
              </w:numPr>
              <w:spacing w:line="276" w:lineRule="auto"/>
              <w:jc w:val="both"/>
              <w:rPr>
                <w:rFonts w:ascii="Century Gothic" w:hAnsi="Century Gothic"/>
                <w:sz w:val="22"/>
                <w:szCs w:val="22"/>
              </w:rPr>
            </w:pPr>
            <w:r w:rsidRPr="00994295">
              <w:rPr>
                <w:rFonts w:ascii="Century Gothic" w:hAnsi="Century Gothic"/>
                <w:sz w:val="22"/>
                <w:szCs w:val="22"/>
              </w:rPr>
              <w:t>LÍMITE DEL VALOR ASEGURADO PARA CADA AMPARO.</w:t>
            </w:r>
          </w:p>
          <w:p w14:paraId="30855C3F" w14:textId="77777777" w:rsidR="004D6400" w:rsidRPr="00994295" w:rsidRDefault="004D6400" w:rsidP="004D6400">
            <w:pPr>
              <w:pStyle w:val="Prrafodelista"/>
              <w:numPr>
                <w:ilvl w:val="0"/>
                <w:numId w:val="8"/>
              </w:numPr>
              <w:spacing w:line="276" w:lineRule="auto"/>
              <w:jc w:val="both"/>
              <w:rPr>
                <w:rFonts w:ascii="Century Gothic" w:hAnsi="Century Gothic"/>
                <w:sz w:val="22"/>
                <w:szCs w:val="22"/>
              </w:rPr>
            </w:pPr>
            <w:r w:rsidRPr="00994295">
              <w:rPr>
                <w:rFonts w:ascii="Century Gothic" w:hAnsi="Century Gothic"/>
                <w:sz w:val="22"/>
                <w:szCs w:val="22"/>
              </w:rPr>
              <w:lastRenderedPageBreak/>
              <w:t>DISPONIBILIDAD DEL VALOR ASEGURADO.</w:t>
            </w:r>
          </w:p>
          <w:p w14:paraId="52CE2D52" w14:textId="0978C037" w:rsidR="004D6400" w:rsidRPr="00994295" w:rsidRDefault="004D6400" w:rsidP="00681F87">
            <w:pPr>
              <w:pStyle w:val="Prrafodelista"/>
              <w:numPr>
                <w:ilvl w:val="0"/>
                <w:numId w:val="8"/>
              </w:numPr>
              <w:spacing w:line="276" w:lineRule="auto"/>
              <w:jc w:val="both"/>
              <w:rPr>
                <w:rFonts w:ascii="Century Gothic" w:hAnsi="Century Gothic"/>
                <w:sz w:val="22"/>
                <w:szCs w:val="22"/>
              </w:rPr>
            </w:pPr>
            <w:r w:rsidRPr="00994295">
              <w:rPr>
                <w:rFonts w:ascii="Century Gothic" w:hAnsi="Century Gothic"/>
                <w:sz w:val="22"/>
                <w:szCs w:val="22"/>
              </w:rPr>
              <w:t>EXCEPCION GENÉRICA O INNOMINADA.</w:t>
            </w:r>
          </w:p>
        </w:tc>
      </w:tr>
    </w:tbl>
    <w:p w14:paraId="0AA122B4" w14:textId="77777777" w:rsidR="00F67EF8" w:rsidRPr="00994295" w:rsidRDefault="00F67EF8" w:rsidP="00F67EF8">
      <w:pPr>
        <w:spacing w:line="276" w:lineRule="auto"/>
        <w:jc w:val="both"/>
        <w:rPr>
          <w:rFonts w:ascii="Century Gothic" w:hAnsi="Century Gothic"/>
          <w:color w:val="FF0000"/>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391A6B" w:rsidRPr="00994295" w14:paraId="4B531C7D" w14:textId="77777777" w:rsidTr="40F7E47C">
        <w:trPr>
          <w:trHeight w:val="454"/>
        </w:trPr>
        <w:tc>
          <w:tcPr>
            <w:tcW w:w="3266" w:type="dxa"/>
            <w:vAlign w:val="center"/>
            <w:hideMark/>
          </w:tcPr>
          <w:p w14:paraId="3F99B56F" w14:textId="1315CCDB" w:rsidR="00EE687D" w:rsidRPr="00994295" w:rsidRDefault="006F0CAA" w:rsidP="00EB6AB4">
            <w:pPr>
              <w:jc w:val="both"/>
              <w:textAlignment w:val="baseline"/>
              <w:rPr>
                <w:rFonts w:ascii="Century Gothic" w:hAnsi="Century Gothic" w:cs="Segoe UI"/>
                <w:sz w:val="22"/>
                <w:szCs w:val="22"/>
                <w:lang w:eastAsia="es-CO"/>
              </w:rPr>
            </w:pPr>
            <w:r w:rsidRPr="00994295">
              <w:rPr>
                <w:rFonts w:ascii="Century Gothic" w:hAnsi="Century Gothic"/>
                <w:b/>
                <w:bCs/>
                <w:sz w:val="22"/>
                <w:szCs w:val="22"/>
                <w:shd w:val="clear" w:color="auto" w:fill="FFFFFF"/>
                <w:lang w:eastAsia="es-CO"/>
              </w:rPr>
              <w:t>Siniestro</w:t>
            </w:r>
          </w:p>
        </w:tc>
        <w:tc>
          <w:tcPr>
            <w:tcW w:w="6941" w:type="dxa"/>
            <w:vAlign w:val="center"/>
            <w:hideMark/>
          </w:tcPr>
          <w:p w14:paraId="06D242A3" w14:textId="7CB34C87" w:rsidR="00EE687D" w:rsidRPr="00994295" w:rsidRDefault="00DE05D4" w:rsidP="00EB6AB4">
            <w:pPr>
              <w:jc w:val="both"/>
              <w:rPr>
                <w:rFonts w:ascii="Century Gothic" w:hAnsi="Century Gothic" w:cs="Segoe UI"/>
                <w:sz w:val="22"/>
                <w:szCs w:val="22"/>
                <w:lang w:eastAsia="es-CO"/>
              </w:rPr>
            </w:pPr>
            <w:r w:rsidRPr="00994295">
              <w:rPr>
                <w:rFonts w:ascii="Century Gothic" w:hAnsi="Century Gothic" w:cs="Segoe UI"/>
                <w:sz w:val="22"/>
                <w:szCs w:val="22"/>
                <w:lang w:eastAsia="es-CO"/>
              </w:rPr>
              <w:t>10155425</w:t>
            </w:r>
          </w:p>
        </w:tc>
      </w:tr>
      <w:tr w:rsidR="00391A6B" w:rsidRPr="00994295" w14:paraId="7A21B905" w14:textId="77777777" w:rsidTr="40F7E47C">
        <w:trPr>
          <w:trHeight w:val="454"/>
        </w:trPr>
        <w:tc>
          <w:tcPr>
            <w:tcW w:w="3266" w:type="dxa"/>
            <w:vAlign w:val="center"/>
          </w:tcPr>
          <w:p w14:paraId="533380A9" w14:textId="7103E52D" w:rsidR="006F0CAA" w:rsidRPr="00994295" w:rsidRDefault="006F0CAA" w:rsidP="40F7E47C">
            <w:pPr>
              <w:jc w:val="both"/>
              <w:textAlignment w:val="baseline"/>
              <w:rPr>
                <w:rFonts w:ascii="Century Gothic" w:hAnsi="Century Gothic"/>
                <w:b/>
                <w:bCs/>
                <w:sz w:val="22"/>
                <w:szCs w:val="22"/>
                <w:shd w:val="clear" w:color="auto" w:fill="FFFFFF"/>
                <w:lang w:val="es-ES" w:eastAsia="es-CO"/>
              </w:rPr>
            </w:pPr>
            <w:r w:rsidRPr="00994295">
              <w:rPr>
                <w:rFonts w:ascii="Century Gothic" w:hAnsi="Century Gothic"/>
                <w:b/>
                <w:bCs/>
                <w:sz w:val="22"/>
                <w:szCs w:val="22"/>
                <w:shd w:val="clear" w:color="auto" w:fill="FFFFFF"/>
                <w:lang w:val="es-ES" w:eastAsia="es-CO"/>
              </w:rPr>
              <w:t xml:space="preserve">Caso </w:t>
            </w:r>
            <w:proofErr w:type="spellStart"/>
            <w:r w:rsidRPr="00994295">
              <w:rPr>
                <w:rFonts w:ascii="Century Gothic" w:hAnsi="Century Gothic"/>
                <w:b/>
                <w:bCs/>
                <w:sz w:val="22"/>
                <w:szCs w:val="22"/>
                <w:shd w:val="clear" w:color="auto" w:fill="FFFFFF"/>
                <w:lang w:val="es-ES" w:eastAsia="es-CO"/>
              </w:rPr>
              <w:t>Onbase</w:t>
            </w:r>
            <w:proofErr w:type="spellEnd"/>
          </w:p>
        </w:tc>
        <w:tc>
          <w:tcPr>
            <w:tcW w:w="6941" w:type="dxa"/>
            <w:vAlign w:val="center"/>
          </w:tcPr>
          <w:p w14:paraId="79DBA3A4" w14:textId="5D1B0171" w:rsidR="006F0CAA" w:rsidRPr="00994295" w:rsidRDefault="00410480" w:rsidP="00EB6AB4">
            <w:pPr>
              <w:jc w:val="both"/>
              <w:rPr>
                <w:rFonts w:ascii="Century Gothic" w:hAnsi="Century Gothic" w:cs="Segoe UI"/>
                <w:sz w:val="22"/>
                <w:szCs w:val="22"/>
                <w:lang w:eastAsia="es-CO"/>
              </w:rPr>
            </w:pPr>
            <w:r>
              <w:rPr>
                <w:rFonts w:ascii="Century Gothic" w:hAnsi="Century Gothic" w:cs="Segoe UI"/>
                <w:sz w:val="22"/>
                <w:szCs w:val="22"/>
                <w:lang w:eastAsia="es-CO"/>
              </w:rPr>
              <w:t>SIN INFORMACIÓN</w:t>
            </w:r>
          </w:p>
        </w:tc>
      </w:tr>
      <w:tr w:rsidR="00391A6B" w:rsidRPr="00994295" w14:paraId="00877764" w14:textId="77777777" w:rsidTr="40F7E47C">
        <w:trPr>
          <w:trHeight w:val="454"/>
        </w:trPr>
        <w:tc>
          <w:tcPr>
            <w:tcW w:w="3266" w:type="dxa"/>
            <w:vAlign w:val="center"/>
            <w:hideMark/>
          </w:tcPr>
          <w:p w14:paraId="749E810E" w14:textId="77777777" w:rsidR="00EE687D" w:rsidRPr="00994295" w:rsidRDefault="00EE687D" w:rsidP="00EB6AB4">
            <w:pPr>
              <w:jc w:val="both"/>
              <w:textAlignment w:val="baseline"/>
              <w:rPr>
                <w:rFonts w:ascii="Century Gothic" w:hAnsi="Century Gothic" w:cs="Segoe UI"/>
                <w:sz w:val="22"/>
                <w:szCs w:val="22"/>
                <w:lang w:eastAsia="es-CO"/>
              </w:rPr>
            </w:pPr>
            <w:r w:rsidRPr="00994295">
              <w:rPr>
                <w:rFonts w:ascii="Century Gothic" w:hAnsi="Century Gothic"/>
                <w:b/>
                <w:bCs/>
                <w:sz w:val="22"/>
                <w:szCs w:val="22"/>
                <w:shd w:val="clear" w:color="auto" w:fill="FFFFFF"/>
                <w:lang w:eastAsia="es-CO"/>
              </w:rPr>
              <w:t>Póliza</w:t>
            </w:r>
          </w:p>
        </w:tc>
        <w:tc>
          <w:tcPr>
            <w:tcW w:w="6941" w:type="dxa"/>
            <w:vAlign w:val="center"/>
          </w:tcPr>
          <w:p w14:paraId="7FC9EC9E" w14:textId="51A3F250" w:rsidR="00EE687D" w:rsidRPr="00994295" w:rsidRDefault="00DE05D4" w:rsidP="00EB6AB4">
            <w:pPr>
              <w:jc w:val="both"/>
              <w:rPr>
                <w:rFonts w:ascii="Century Gothic" w:hAnsi="Century Gothic" w:cs="Segoe UI"/>
                <w:sz w:val="22"/>
                <w:szCs w:val="22"/>
                <w:lang w:eastAsia="es-CO"/>
              </w:rPr>
            </w:pPr>
            <w:r w:rsidRPr="00994295">
              <w:rPr>
                <w:rFonts w:ascii="Century Gothic" w:hAnsi="Century Gothic" w:cs="Segoe UI"/>
                <w:sz w:val="22"/>
                <w:szCs w:val="22"/>
                <w:lang w:eastAsia="es-CO"/>
              </w:rPr>
              <w:t>AA003028</w:t>
            </w:r>
          </w:p>
        </w:tc>
      </w:tr>
      <w:tr w:rsidR="00391A6B" w:rsidRPr="00994295" w14:paraId="3260B646" w14:textId="77777777" w:rsidTr="40F7E47C">
        <w:trPr>
          <w:trHeight w:val="454"/>
        </w:trPr>
        <w:tc>
          <w:tcPr>
            <w:tcW w:w="3266" w:type="dxa"/>
            <w:vAlign w:val="center"/>
            <w:hideMark/>
          </w:tcPr>
          <w:p w14:paraId="67FBF2E5" w14:textId="77777777" w:rsidR="00EE687D" w:rsidRPr="00994295" w:rsidRDefault="00EE687D" w:rsidP="00EB6AB4">
            <w:pPr>
              <w:jc w:val="both"/>
              <w:textAlignment w:val="baseline"/>
              <w:rPr>
                <w:rFonts w:ascii="Century Gothic" w:hAnsi="Century Gothic" w:cs="Segoe UI"/>
                <w:sz w:val="22"/>
                <w:szCs w:val="22"/>
                <w:lang w:eastAsia="es-CO"/>
              </w:rPr>
            </w:pPr>
            <w:r w:rsidRPr="00994295">
              <w:rPr>
                <w:rFonts w:ascii="Century Gothic" w:hAnsi="Century Gothic"/>
                <w:b/>
                <w:bCs/>
                <w:sz w:val="22"/>
                <w:szCs w:val="22"/>
                <w:shd w:val="clear" w:color="auto" w:fill="FFFFFF"/>
                <w:lang w:eastAsia="es-CO"/>
              </w:rPr>
              <w:t>Certificado</w:t>
            </w:r>
          </w:p>
        </w:tc>
        <w:tc>
          <w:tcPr>
            <w:tcW w:w="6941" w:type="dxa"/>
            <w:vAlign w:val="center"/>
          </w:tcPr>
          <w:p w14:paraId="47A2248B" w14:textId="3ACDDA18" w:rsidR="00EE687D" w:rsidRPr="00994295" w:rsidRDefault="001E0B01" w:rsidP="00EB6AB4">
            <w:pPr>
              <w:jc w:val="both"/>
              <w:rPr>
                <w:rFonts w:ascii="Century Gothic" w:hAnsi="Century Gothic" w:cs="Segoe UI"/>
                <w:sz w:val="22"/>
                <w:szCs w:val="22"/>
                <w:lang w:eastAsia="es-CO"/>
              </w:rPr>
            </w:pPr>
            <w:r w:rsidRPr="00994295">
              <w:rPr>
                <w:rFonts w:ascii="Century Gothic" w:hAnsi="Century Gothic" w:cs="Segoe UI"/>
                <w:sz w:val="22"/>
                <w:szCs w:val="22"/>
                <w:lang w:eastAsia="es-CO"/>
              </w:rPr>
              <w:t>AA0</w:t>
            </w:r>
            <w:r w:rsidR="00DE05D4" w:rsidRPr="00994295">
              <w:rPr>
                <w:rFonts w:ascii="Century Gothic" w:hAnsi="Century Gothic" w:cs="Segoe UI"/>
                <w:sz w:val="22"/>
                <w:szCs w:val="22"/>
                <w:lang w:eastAsia="es-CO"/>
              </w:rPr>
              <w:t>72878</w:t>
            </w:r>
          </w:p>
        </w:tc>
      </w:tr>
      <w:tr w:rsidR="00391A6B" w:rsidRPr="00994295" w14:paraId="0BC7C6A3" w14:textId="77777777" w:rsidTr="40F7E47C">
        <w:trPr>
          <w:trHeight w:val="454"/>
        </w:trPr>
        <w:tc>
          <w:tcPr>
            <w:tcW w:w="3266" w:type="dxa"/>
            <w:vAlign w:val="center"/>
            <w:hideMark/>
          </w:tcPr>
          <w:p w14:paraId="433D63BC" w14:textId="77777777" w:rsidR="00EE687D" w:rsidRPr="00994295" w:rsidRDefault="00EE687D" w:rsidP="00EB6AB4">
            <w:pPr>
              <w:jc w:val="both"/>
              <w:textAlignment w:val="baseline"/>
              <w:rPr>
                <w:rFonts w:ascii="Century Gothic" w:hAnsi="Century Gothic" w:cs="Segoe UI"/>
                <w:sz w:val="22"/>
                <w:szCs w:val="22"/>
                <w:lang w:eastAsia="es-CO"/>
              </w:rPr>
            </w:pPr>
            <w:r w:rsidRPr="00994295">
              <w:rPr>
                <w:rFonts w:ascii="Century Gothic" w:hAnsi="Century Gothic"/>
                <w:b/>
                <w:bCs/>
                <w:sz w:val="22"/>
                <w:szCs w:val="22"/>
                <w:shd w:val="clear" w:color="auto" w:fill="FFFFFF"/>
                <w:lang w:eastAsia="es-CO"/>
              </w:rPr>
              <w:t>Orden</w:t>
            </w:r>
          </w:p>
        </w:tc>
        <w:tc>
          <w:tcPr>
            <w:tcW w:w="6941" w:type="dxa"/>
            <w:vAlign w:val="center"/>
          </w:tcPr>
          <w:p w14:paraId="25280801" w14:textId="1BAB4495" w:rsidR="00EE687D" w:rsidRPr="00994295" w:rsidRDefault="00E217B9" w:rsidP="00EB6AB4">
            <w:pPr>
              <w:jc w:val="both"/>
              <w:rPr>
                <w:rFonts w:ascii="Century Gothic" w:hAnsi="Century Gothic" w:cs="Segoe UI"/>
                <w:sz w:val="22"/>
                <w:szCs w:val="22"/>
                <w:lang w:eastAsia="es-CO"/>
              </w:rPr>
            </w:pPr>
            <w:r w:rsidRPr="00994295">
              <w:rPr>
                <w:rFonts w:ascii="Century Gothic" w:hAnsi="Century Gothic" w:cs="Segoe UI"/>
                <w:sz w:val="22"/>
                <w:szCs w:val="22"/>
                <w:lang w:eastAsia="es-CO"/>
              </w:rPr>
              <w:t>84</w:t>
            </w:r>
          </w:p>
        </w:tc>
      </w:tr>
      <w:tr w:rsidR="00391A6B" w:rsidRPr="00994295" w14:paraId="3ACEF28A" w14:textId="77777777" w:rsidTr="40F7E47C">
        <w:trPr>
          <w:trHeight w:val="454"/>
        </w:trPr>
        <w:tc>
          <w:tcPr>
            <w:tcW w:w="3266" w:type="dxa"/>
            <w:vAlign w:val="center"/>
          </w:tcPr>
          <w:p w14:paraId="0881BFDC" w14:textId="40C44F4A" w:rsidR="00B90E05" w:rsidRPr="00994295" w:rsidRDefault="00B90E05" w:rsidP="00EB6AB4">
            <w:pPr>
              <w:jc w:val="both"/>
              <w:textAlignment w:val="baseline"/>
              <w:rPr>
                <w:rFonts w:ascii="Century Gothic" w:hAnsi="Century Gothic"/>
                <w:b/>
                <w:bCs/>
                <w:sz w:val="22"/>
                <w:szCs w:val="22"/>
                <w:shd w:val="clear" w:color="auto" w:fill="FFFFFF"/>
                <w:lang w:eastAsia="es-CO"/>
              </w:rPr>
            </w:pPr>
            <w:r w:rsidRPr="00994295">
              <w:rPr>
                <w:rFonts w:ascii="Century Gothic" w:hAnsi="Century Gothic"/>
                <w:b/>
                <w:bCs/>
                <w:sz w:val="22"/>
                <w:szCs w:val="22"/>
                <w:shd w:val="clear" w:color="auto" w:fill="FFFFFF"/>
                <w:lang w:eastAsia="es-CO"/>
              </w:rPr>
              <w:t>Sucursal</w:t>
            </w:r>
          </w:p>
        </w:tc>
        <w:tc>
          <w:tcPr>
            <w:tcW w:w="6941" w:type="dxa"/>
            <w:vAlign w:val="center"/>
          </w:tcPr>
          <w:p w14:paraId="74AA0D59" w14:textId="13C302B4" w:rsidR="00B90E05" w:rsidRPr="00994295" w:rsidRDefault="00E217B9" w:rsidP="00EB6AB4">
            <w:pPr>
              <w:jc w:val="both"/>
              <w:rPr>
                <w:rFonts w:ascii="Century Gothic" w:hAnsi="Century Gothic" w:cs="Segoe UI"/>
                <w:sz w:val="22"/>
                <w:szCs w:val="22"/>
                <w:lang w:eastAsia="es-CO"/>
              </w:rPr>
            </w:pPr>
            <w:r w:rsidRPr="00994295">
              <w:rPr>
                <w:rFonts w:ascii="Century Gothic" w:hAnsi="Century Gothic" w:cs="Segoe UI"/>
                <w:sz w:val="22"/>
                <w:szCs w:val="22"/>
                <w:lang w:eastAsia="es-CO"/>
              </w:rPr>
              <w:t>IBAGUE</w:t>
            </w:r>
          </w:p>
        </w:tc>
      </w:tr>
      <w:tr w:rsidR="00391A6B" w:rsidRPr="00994295" w14:paraId="4BCD09C7" w14:textId="77777777" w:rsidTr="40F7E47C">
        <w:trPr>
          <w:trHeight w:val="454"/>
        </w:trPr>
        <w:tc>
          <w:tcPr>
            <w:tcW w:w="3266" w:type="dxa"/>
            <w:vAlign w:val="center"/>
            <w:hideMark/>
          </w:tcPr>
          <w:p w14:paraId="0A1C1E81" w14:textId="17519C67" w:rsidR="00EE687D" w:rsidRPr="00994295" w:rsidRDefault="001C44B4" w:rsidP="00EB6AB4">
            <w:pPr>
              <w:jc w:val="both"/>
              <w:textAlignment w:val="baseline"/>
              <w:rPr>
                <w:rFonts w:ascii="Century Gothic" w:hAnsi="Century Gothic" w:cs="Segoe UI"/>
                <w:sz w:val="22"/>
                <w:szCs w:val="22"/>
                <w:lang w:eastAsia="es-CO"/>
              </w:rPr>
            </w:pPr>
            <w:r w:rsidRPr="00994295">
              <w:rPr>
                <w:rFonts w:ascii="Century Gothic" w:hAnsi="Century Gothic"/>
                <w:b/>
                <w:bCs/>
                <w:sz w:val="22"/>
                <w:szCs w:val="22"/>
                <w:shd w:val="clear" w:color="auto" w:fill="FFFFFF"/>
                <w:lang w:eastAsia="es-CO"/>
              </w:rPr>
              <w:t>Placa del vehículo</w:t>
            </w:r>
          </w:p>
        </w:tc>
        <w:tc>
          <w:tcPr>
            <w:tcW w:w="6941" w:type="dxa"/>
            <w:vAlign w:val="center"/>
          </w:tcPr>
          <w:p w14:paraId="73CAF2AF" w14:textId="164338EF" w:rsidR="00EE687D" w:rsidRPr="00994295" w:rsidRDefault="00E217B9" w:rsidP="00EB6AB4">
            <w:pPr>
              <w:jc w:val="both"/>
              <w:rPr>
                <w:rFonts w:ascii="Century Gothic" w:hAnsi="Century Gothic" w:cs="Segoe UI"/>
                <w:sz w:val="22"/>
                <w:szCs w:val="22"/>
                <w:lang w:eastAsia="es-CO"/>
              </w:rPr>
            </w:pPr>
            <w:r w:rsidRPr="00994295">
              <w:rPr>
                <w:rFonts w:ascii="Century Gothic" w:hAnsi="Century Gothic" w:cs="Segoe UI"/>
                <w:sz w:val="22"/>
                <w:szCs w:val="22"/>
                <w:lang w:eastAsia="es-CO"/>
              </w:rPr>
              <w:t>WTO-433</w:t>
            </w:r>
          </w:p>
        </w:tc>
      </w:tr>
      <w:tr w:rsidR="00391A6B" w:rsidRPr="00994295" w14:paraId="0BA9ECEE" w14:textId="77777777" w:rsidTr="40F7E47C">
        <w:trPr>
          <w:trHeight w:val="454"/>
        </w:trPr>
        <w:tc>
          <w:tcPr>
            <w:tcW w:w="3266" w:type="dxa"/>
            <w:vAlign w:val="center"/>
          </w:tcPr>
          <w:p w14:paraId="7B70AF59" w14:textId="749D67BE" w:rsidR="001C44B4" w:rsidRPr="00994295" w:rsidRDefault="001C44B4" w:rsidP="001C44B4">
            <w:pPr>
              <w:jc w:val="both"/>
              <w:textAlignment w:val="baseline"/>
              <w:rPr>
                <w:rFonts w:ascii="Century Gothic" w:hAnsi="Century Gothic"/>
                <w:b/>
                <w:bCs/>
                <w:sz w:val="22"/>
                <w:szCs w:val="22"/>
                <w:shd w:val="clear" w:color="auto" w:fill="FFFFFF"/>
                <w:lang w:eastAsia="es-CO"/>
              </w:rPr>
            </w:pPr>
            <w:r w:rsidRPr="00994295">
              <w:rPr>
                <w:rFonts w:ascii="Century Gothic" w:hAnsi="Century Gothic"/>
                <w:b/>
                <w:bCs/>
                <w:sz w:val="22"/>
                <w:szCs w:val="22"/>
                <w:shd w:val="clear" w:color="auto" w:fill="FFFFFF"/>
                <w:lang w:eastAsia="es-CO"/>
              </w:rPr>
              <w:t>Fecha del siniestro</w:t>
            </w:r>
          </w:p>
        </w:tc>
        <w:tc>
          <w:tcPr>
            <w:tcW w:w="6941" w:type="dxa"/>
            <w:vAlign w:val="center"/>
          </w:tcPr>
          <w:p w14:paraId="2D03F3BA" w14:textId="4B0EA4E9" w:rsidR="001C44B4" w:rsidRPr="00994295" w:rsidRDefault="00E217B9" w:rsidP="001C44B4">
            <w:pPr>
              <w:jc w:val="both"/>
              <w:rPr>
                <w:rFonts w:ascii="Century Gothic" w:hAnsi="Century Gothic" w:cs="Segoe UI"/>
                <w:sz w:val="22"/>
                <w:szCs w:val="22"/>
                <w:lang w:eastAsia="es-CO"/>
              </w:rPr>
            </w:pPr>
            <w:r w:rsidRPr="00994295">
              <w:rPr>
                <w:rFonts w:ascii="Century Gothic" w:hAnsi="Century Gothic" w:cs="Segoe UI"/>
                <w:sz w:val="22"/>
                <w:szCs w:val="22"/>
                <w:lang w:eastAsia="es-CO"/>
              </w:rPr>
              <w:t>09</w:t>
            </w:r>
            <w:r w:rsidR="001E0B01" w:rsidRPr="00994295">
              <w:rPr>
                <w:rFonts w:ascii="Century Gothic" w:hAnsi="Century Gothic" w:cs="Segoe UI"/>
                <w:sz w:val="22"/>
                <w:szCs w:val="22"/>
                <w:lang w:eastAsia="es-CO"/>
              </w:rPr>
              <w:t>/0</w:t>
            </w:r>
            <w:r w:rsidRPr="00994295">
              <w:rPr>
                <w:rFonts w:ascii="Century Gothic" w:hAnsi="Century Gothic" w:cs="Segoe UI"/>
                <w:sz w:val="22"/>
                <w:szCs w:val="22"/>
                <w:lang w:eastAsia="es-CO"/>
              </w:rPr>
              <w:t>2</w:t>
            </w:r>
            <w:r w:rsidR="001E0B01" w:rsidRPr="00994295">
              <w:rPr>
                <w:rFonts w:ascii="Century Gothic" w:hAnsi="Century Gothic" w:cs="Segoe UI"/>
                <w:sz w:val="22"/>
                <w:szCs w:val="22"/>
                <w:lang w:eastAsia="es-CO"/>
              </w:rPr>
              <w:t>/20</w:t>
            </w:r>
            <w:r w:rsidRPr="00994295">
              <w:rPr>
                <w:rFonts w:ascii="Century Gothic" w:hAnsi="Century Gothic" w:cs="Segoe UI"/>
                <w:sz w:val="22"/>
                <w:szCs w:val="22"/>
                <w:lang w:eastAsia="es-CO"/>
              </w:rPr>
              <w:t>20</w:t>
            </w:r>
          </w:p>
        </w:tc>
      </w:tr>
      <w:tr w:rsidR="00391A6B" w:rsidRPr="00994295" w14:paraId="05412033" w14:textId="77777777" w:rsidTr="40F7E47C">
        <w:trPr>
          <w:trHeight w:val="454"/>
        </w:trPr>
        <w:tc>
          <w:tcPr>
            <w:tcW w:w="3266" w:type="dxa"/>
            <w:vAlign w:val="center"/>
          </w:tcPr>
          <w:p w14:paraId="43E688BB" w14:textId="54B02C3E" w:rsidR="001C44B4" w:rsidRPr="00994295" w:rsidRDefault="001C44B4" w:rsidP="001C44B4">
            <w:pPr>
              <w:jc w:val="both"/>
              <w:textAlignment w:val="baseline"/>
              <w:rPr>
                <w:rFonts w:ascii="Century Gothic" w:hAnsi="Century Gothic"/>
                <w:b/>
                <w:bCs/>
                <w:sz w:val="22"/>
                <w:szCs w:val="22"/>
                <w:shd w:val="clear" w:color="auto" w:fill="FFFFFF"/>
                <w:lang w:eastAsia="es-CO"/>
              </w:rPr>
            </w:pPr>
            <w:r w:rsidRPr="00994295">
              <w:rPr>
                <w:rFonts w:ascii="Century Gothic" w:hAnsi="Century Gothic"/>
                <w:b/>
                <w:bCs/>
                <w:sz w:val="22"/>
                <w:szCs w:val="22"/>
                <w:shd w:val="clear" w:color="auto" w:fill="FFFFFF"/>
                <w:lang w:eastAsia="es-CO"/>
              </w:rPr>
              <w:t>Fecha del aviso</w:t>
            </w:r>
          </w:p>
        </w:tc>
        <w:tc>
          <w:tcPr>
            <w:tcW w:w="6941" w:type="dxa"/>
            <w:vAlign w:val="center"/>
          </w:tcPr>
          <w:p w14:paraId="7E184CA4" w14:textId="67AAC3CA" w:rsidR="001C44B4" w:rsidRPr="00994295" w:rsidRDefault="00410480" w:rsidP="001C44B4">
            <w:pPr>
              <w:jc w:val="both"/>
              <w:rPr>
                <w:rFonts w:ascii="Century Gothic" w:hAnsi="Century Gothic" w:cs="Segoe UI"/>
                <w:sz w:val="22"/>
                <w:szCs w:val="22"/>
                <w:lang w:eastAsia="es-CO"/>
              </w:rPr>
            </w:pPr>
            <w:r>
              <w:rPr>
                <w:rFonts w:ascii="Century Gothic" w:hAnsi="Century Gothic" w:cs="Segoe UI"/>
                <w:sz w:val="22"/>
                <w:szCs w:val="22"/>
                <w:lang w:eastAsia="es-CO"/>
              </w:rPr>
              <w:t>SIN INFORMACIÓN</w:t>
            </w:r>
          </w:p>
        </w:tc>
      </w:tr>
      <w:tr w:rsidR="00391A6B" w:rsidRPr="00994295" w14:paraId="6DB6B020" w14:textId="77777777" w:rsidTr="40F7E47C">
        <w:trPr>
          <w:trHeight w:val="454"/>
        </w:trPr>
        <w:tc>
          <w:tcPr>
            <w:tcW w:w="3266" w:type="dxa"/>
            <w:vAlign w:val="center"/>
          </w:tcPr>
          <w:p w14:paraId="13FCE7D8" w14:textId="6EA7D194" w:rsidR="001C44B4" w:rsidRPr="00994295" w:rsidRDefault="001C44B4" w:rsidP="001C44B4">
            <w:pPr>
              <w:jc w:val="both"/>
              <w:textAlignment w:val="baseline"/>
              <w:rPr>
                <w:rFonts w:ascii="Century Gothic" w:hAnsi="Century Gothic"/>
                <w:b/>
                <w:bCs/>
                <w:sz w:val="22"/>
                <w:szCs w:val="22"/>
                <w:shd w:val="clear" w:color="auto" w:fill="FFFFFF"/>
                <w:lang w:eastAsia="es-CO"/>
              </w:rPr>
            </w:pPr>
            <w:r w:rsidRPr="00994295">
              <w:rPr>
                <w:rFonts w:ascii="Century Gothic" w:hAnsi="Century Gothic"/>
                <w:b/>
                <w:bCs/>
                <w:sz w:val="22"/>
                <w:szCs w:val="22"/>
                <w:shd w:val="clear" w:color="auto" w:fill="FFFFFF"/>
                <w:lang w:eastAsia="es-CO"/>
              </w:rPr>
              <w:t>Colocación de reaseguro</w:t>
            </w:r>
          </w:p>
        </w:tc>
        <w:tc>
          <w:tcPr>
            <w:tcW w:w="6941" w:type="dxa"/>
            <w:vAlign w:val="center"/>
          </w:tcPr>
          <w:p w14:paraId="6857070F" w14:textId="36ED5B30" w:rsidR="001C44B4" w:rsidRPr="00994295" w:rsidRDefault="00413A1F" w:rsidP="001C44B4">
            <w:pPr>
              <w:jc w:val="both"/>
              <w:rPr>
                <w:rFonts w:ascii="Century Gothic" w:hAnsi="Century Gothic" w:cs="Segoe UI"/>
                <w:sz w:val="22"/>
                <w:szCs w:val="22"/>
                <w:lang w:eastAsia="es-CO"/>
              </w:rPr>
            </w:pPr>
            <w:r w:rsidRPr="00994295">
              <w:rPr>
                <w:rFonts w:ascii="Century Gothic" w:hAnsi="Century Gothic" w:cs="Segoe UI"/>
                <w:sz w:val="22"/>
                <w:szCs w:val="22"/>
                <w:lang w:eastAsia="es-CO"/>
              </w:rPr>
              <w:t>CUOTA PARTE</w:t>
            </w:r>
          </w:p>
        </w:tc>
      </w:tr>
      <w:tr w:rsidR="00391A6B" w:rsidRPr="00994295" w14:paraId="2F1DA9E6" w14:textId="77777777" w:rsidTr="40F7E47C">
        <w:trPr>
          <w:trHeight w:val="454"/>
        </w:trPr>
        <w:tc>
          <w:tcPr>
            <w:tcW w:w="3266" w:type="dxa"/>
            <w:vAlign w:val="center"/>
          </w:tcPr>
          <w:p w14:paraId="3ECF2237" w14:textId="5FB6285C" w:rsidR="001C44B4" w:rsidRPr="00994295" w:rsidRDefault="008B685D" w:rsidP="001C44B4">
            <w:pPr>
              <w:jc w:val="both"/>
              <w:textAlignment w:val="baseline"/>
              <w:rPr>
                <w:rFonts w:ascii="Century Gothic" w:hAnsi="Century Gothic"/>
                <w:b/>
                <w:bCs/>
                <w:sz w:val="22"/>
                <w:szCs w:val="22"/>
                <w:shd w:val="clear" w:color="auto" w:fill="FFFFFF"/>
                <w:lang w:eastAsia="es-CO"/>
              </w:rPr>
            </w:pPr>
            <w:r w:rsidRPr="00994295">
              <w:rPr>
                <w:rFonts w:ascii="Century Gothic" w:hAnsi="Century Gothic"/>
                <w:b/>
                <w:bCs/>
                <w:sz w:val="22"/>
                <w:szCs w:val="22"/>
                <w:shd w:val="clear" w:color="auto" w:fill="FFFFFF"/>
                <w:lang w:eastAsia="es-CO"/>
              </w:rPr>
              <w:t>Tomador</w:t>
            </w:r>
          </w:p>
        </w:tc>
        <w:tc>
          <w:tcPr>
            <w:tcW w:w="6941" w:type="dxa"/>
            <w:vAlign w:val="center"/>
          </w:tcPr>
          <w:p w14:paraId="2B607964" w14:textId="385E93DA" w:rsidR="001C44B4" w:rsidRPr="00994295" w:rsidRDefault="00E217B9" w:rsidP="001C44B4">
            <w:pPr>
              <w:jc w:val="both"/>
              <w:rPr>
                <w:rFonts w:ascii="Century Gothic" w:hAnsi="Century Gothic" w:cs="Segoe UI"/>
                <w:sz w:val="22"/>
                <w:szCs w:val="22"/>
                <w:lang w:eastAsia="es-CO"/>
              </w:rPr>
            </w:pPr>
            <w:r w:rsidRPr="00994295">
              <w:rPr>
                <w:rFonts w:ascii="Century Gothic" w:hAnsi="Century Gothic" w:cs="Segoe UI"/>
                <w:sz w:val="22"/>
                <w:szCs w:val="22"/>
                <w:lang w:eastAsia="es-CO"/>
              </w:rPr>
              <w:t>COOP. DE TRANSPORTADORES DEL SERVICIO URBANO DEL TOLIMA</w:t>
            </w:r>
          </w:p>
        </w:tc>
      </w:tr>
      <w:tr w:rsidR="00391A6B" w:rsidRPr="00994295" w14:paraId="1165CBE1" w14:textId="77777777" w:rsidTr="40F7E47C">
        <w:trPr>
          <w:trHeight w:val="454"/>
        </w:trPr>
        <w:tc>
          <w:tcPr>
            <w:tcW w:w="3266" w:type="dxa"/>
            <w:vAlign w:val="center"/>
          </w:tcPr>
          <w:p w14:paraId="640F2169" w14:textId="4903327C" w:rsidR="001C44B4" w:rsidRPr="00994295" w:rsidRDefault="008B685D" w:rsidP="001C44B4">
            <w:pPr>
              <w:jc w:val="both"/>
              <w:textAlignment w:val="baseline"/>
              <w:rPr>
                <w:rFonts w:ascii="Century Gothic" w:hAnsi="Century Gothic" w:cs="Segoe UI"/>
                <w:sz w:val="22"/>
                <w:szCs w:val="22"/>
                <w:lang w:eastAsia="es-CO"/>
              </w:rPr>
            </w:pPr>
            <w:r w:rsidRPr="00994295">
              <w:rPr>
                <w:rFonts w:ascii="Century Gothic" w:hAnsi="Century Gothic"/>
                <w:b/>
                <w:bCs/>
                <w:sz w:val="22"/>
                <w:szCs w:val="22"/>
                <w:shd w:val="clear" w:color="auto" w:fill="FFFFFF"/>
                <w:lang w:eastAsia="es-CO"/>
              </w:rPr>
              <w:t>Asegurado</w:t>
            </w:r>
          </w:p>
        </w:tc>
        <w:tc>
          <w:tcPr>
            <w:tcW w:w="6941" w:type="dxa"/>
            <w:vAlign w:val="center"/>
          </w:tcPr>
          <w:p w14:paraId="3381B0BB" w14:textId="6FF8E360" w:rsidR="001C44B4" w:rsidRPr="00994295" w:rsidRDefault="00E217B9" w:rsidP="001C44B4">
            <w:pPr>
              <w:jc w:val="both"/>
              <w:rPr>
                <w:rFonts w:ascii="Century Gothic" w:hAnsi="Century Gothic" w:cs="Segoe UI"/>
                <w:sz w:val="22"/>
                <w:szCs w:val="22"/>
                <w:lang w:eastAsia="es-CO"/>
              </w:rPr>
            </w:pPr>
            <w:r w:rsidRPr="00994295">
              <w:rPr>
                <w:rFonts w:ascii="Century Gothic" w:hAnsi="Century Gothic" w:cs="Segoe UI"/>
                <w:sz w:val="22"/>
                <w:szCs w:val="22"/>
                <w:lang w:eastAsia="es-CO"/>
              </w:rPr>
              <w:t>BERMUDE VANEGAS AMPARO</w:t>
            </w:r>
          </w:p>
        </w:tc>
      </w:tr>
      <w:tr w:rsidR="00391A6B" w:rsidRPr="00994295" w14:paraId="513C2A8D" w14:textId="77777777" w:rsidTr="40F7E47C">
        <w:trPr>
          <w:trHeight w:val="454"/>
        </w:trPr>
        <w:tc>
          <w:tcPr>
            <w:tcW w:w="3266" w:type="dxa"/>
            <w:vAlign w:val="center"/>
            <w:hideMark/>
          </w:tcPr>
          <w:p w14:paraId="5E1FDA28" w14:textId="16DB1B8E" w:rsidR="001C44B4" w:rsidRPr="00994295" w:rsidRDefault="008B685D" w:rsidP="001C44B4">
            <w:pPr>
              <w:jc w:val="both"/>
              <w:textAlignment w:val="baseline"/>
              <w:rPr>
                <w:rFonts w:ascii="Century Gothic" w:hAnsi="Century Gothic" w:cs="Segoe UI"/>
                <w:sz w:val="22"/>
                <w:szCs w:val="22"/>
                <w:lang w:eastAsia="es-CO"/>
              </w:rPr>
            </w:pPr>
            <w:r w:rsidRPr="00994295">
              <w:rPr>
                <w:rFonts w:ascii="Century Gothic" w:hAnsi="Century Gothic"/>
                <w:b/>
                <w:bCs/>
                <w:sz w:val="22"/>
                <w:szCs w:val="22"/>
                <w:shd w:val="clear" w:color="auto" w:fill="FFFFFF"/>
                <w:lang w:eastAsia="es-CO"/>
              </w:rPr>
              <w:t>Ramo</w:t>
            </w:r>
          </w:p>
        </w:tc>
        <w:tc>
          <w:tcPr>
            <w:tcW w:w="6941" w:type="dxa"/>
            <w:vAlign w:val="center"/>
          </w:tcPr>
          <w:p w14:paraId="0701202E" w14:textId="62958380" w:rsidR="001C44B4" w:rsidRPr="00994295" w:rsidRDefault="001E0B01" w:rsidP="001C44B4">
            <w:pPr>
              <w:jc w:val="both"/>
              <w:rPr>
                <w:rFonts w:ascii="Century Gothic" w:hAnsi="Century Gothic" w:cs="Segoe UI"/>
                <w:sz w:val="22"/>
                <w:szCs w:val="22"/>
                <w:lang w:eastAsia="es-CO"/>
              </w:rPr>
            </w:pPr>
            <w:r w:rsidRPr="00994295">
              <w:rPr>
                <w:rFonts w:ascii="Century Gothic" w:hAnsi="Century Gothic" w:cs="Segoe UI"/>
                <w:sz w:val="22"/>
                <w:szCs w:val="22"/>
                <w:lang w:eastAsia="es-CO"/>
              </w:rPr>
              <w:t>RC</w:t>
            </w:r>
            <w:r w:rsidR="00E217B9" w:rsidRPr="00994295">
              <w:rPr>
                <w:rFonts w:ascii="Century Gothic" w:hAnsi="Century Gothic" w:cs="Segoe UI"/>
                <w:sz w:val="22"/>
                <w:szCs w:val="22"/>
                <w:lang w:eastAsia="es-CO"/>
              </w:rPr>
              <w:t>E SERVICIO PÚBLICOS</w:t>
            </w:r>
          </w:p>
        </w:tc>
      </w:tr>
      <w:tr w:rsidR="00391A6B" w:rsidRPr="00994295" w14:paraId="2F8ECFA3" w14:textId="77777777" w:rsidTr="40F7E47C">
        <w:trPr>
          <w:trHeight w:val="454"/>
        </w:trPr>
        <w:tc>
          <w:tcPr>
            <w:tcW w:w="3266" w:type="dxa"/>
            <w:vAlign w:val="center"/>
            <w:hideMark/>
          </w:tcPr>
          <w:p w14:paraId="0C3932A6" w14:textId="2792643B" w:rsidR="001C44B4" w:rsidRPr="00994295" w:rsidRDefault="008B685D" w:rsidP="001C44B4">
            <w:pPr>
              <w:jc w:val="both"/>
              <w:textAlignment w:val="baseline"/>
              <w:rPr>
                <w:rFonts w:ascii="Century Gothic" w:hAnsi="Century Gothic" w:cs="Segoe UI"/>
                <w:sz w:val="22"/>
                <w:szCs w:val="22"/>
                <w:lang w:eastAsia="es-CO"/>
              </w:rPr>
            </w:pPr>
            <w:r w:rsidRPr="00994295">
              <w:rPr>
                <w:rFonts w:ascii="Century Gothic" w:hAnsi="Century Gothic"/>
                <w:b/>
                <w:bCs/>
                <w:sz w:val="22"/>
                <w:szCs w:val="22"/>
                <w:shd w:val="clear" w:color="auto" w:fill="FFFFFF"/>
                <w:lang w:eastAsia="es-CO"/>
              </w:rPr>
              <w:t>Cobertura</w:t>
            </w:r>
          </w:p>
        </w:tc>
        <w:tc>
          <w:tcPr>
            <w:tcW w:w="6941" w:type="dxa"/>
            <w:vAlign w:val="center"/>
          </w:tcPr>
          <w:p w14:paraId="0958D277" w14:textId="5B14E315" w:rsidR="001C44B4" w:rsidRPr="00994295" w:rsidRDefault="00E217B9" w:rsidP="001C44B4">
            <w:pPr>
              <w:jc w:val="both"/>
              <w:rPr>
                <w:rFonts w:ascii="Century Gothic" w:hAnsi="Century Gothic" w:cs="Segoe UI"/>
                <w:sz w:val="22"/>
                <w:szCs w:val="22"/>
                <w:lang w:eastAsia="es-CO"/>
              </w:rPr>
            </w:pPr>
            <w:r w:rsidRPr="00994295">
              <w:rPr>
                <w:rFonts w:ascii="Century Gothic" w:hAnsi="Century Gothic" w:cs="Segoe UI"/>
                <w:sz w:val="22"/>
                <w:szCs w:val="22"/>
                <w:lang w:eastAsia="es-CO"/>
              </w:rPr>
              <w:t>LESIONES O MUERTE DE UNA PERSONA</w:t>
            </w:r>
          </w:p>
        </w:tc>
      </w:tr>
      <w:tr w:rsidR="00391A6B" w:rsidRPr="00994295" w14:paraId="59B4A554" w14:textId="77777777" w:rsidTr="40F7E47C">
        <w:trPr>
          <w:trHeight w:val="454"/>
        </w:trPr>
        <w:tc>
          <w:tcPr>
            <w:tcW w:w="3266" w:type="dxa"/>
            <w:vAlign w:val="center"/>
            <w:hideMark/>
          </w:tcPr>
          <w:p w14:paraId="0412A958" w14:textId="77777777" w:rsidR="001C44B4" w:rsidRPr="00994295" w:rsidRDefault="001C44B4" w:rsidP="001C44B4">
            <w:pPr>
              <w:jc w:val="both"/>
              <w:textAlignment w:val="baseline"/>
              <w:rPr>
                <w:rFonts w:ascii="Century Gothic" w:hAnsi="Century Gothic" w:cs="Segoe UI"/>
                <w:sz w:val="22"/>
                <w:szCs w:val="22"/>
                <w:lang w:eastAsia="es-CO"/>
              </w:rPr>
            </w:pPr>
            <w:r w:rsidRPr="00994295">
              <w:rPr>
                <w:rFonts w:ascii="Century Gothic" w:hAnsi="Century Gothic"/>
                <w:b/>
                <w:bCs/>
                <w:sz w:val="22"/>
                <w:szCs w:val="22"/>
                <w:shd w:val="clear" w:color="auto" w:fill="FFFFFF"/>
                <w:lang w:eastAsia="es-CO"/>
              </w:rPr>
              <w:t>Valor asegurado</w:t>
            </w:r>
          </w:p>
        </w:tc>
        <w:tc>
          <w:tcPr>
            <w:tcW w:w="6941" w:type="dxa"/>
            <w:vAlign w:val="center"/>
          </w:tcPr>
          <w:p w14:paraId="5AF73B8E" w14:textId="05F715CB" w:rsidR="001C44B4" w:rsidRPr="00994295" w:rsidRDefault="00E217B9" w:rsidP="001C44B4">
            <w:pPr>
              <w:jc w:val="both"/>
              <w:rPr>
                <w:rFonts w:ascii="Century Gothic" w:hAnsi="Century Gothic" w:cs="Segoe UI"/>
                <w:sz w:val="22"/>
                <w:szCs w:val="22"/>
                <w:lang w:eastAsia="es-CO"/>
              </w:rPr>
            </w:pPr>
            <w:r w:rsidRPr="00994295">
              <w:rPr>
                <w:rFonts w:ascii="Century Gothic" w:hAnsi="Century Gothic" w:cs="Segoe UI"/>
                <w:sz w:val="22"/>
                <w:szCs w:val="22"/>
                <w:lang w:eastAsia="es-CO"/>
              </w:rPr>
              <w:t>100 SMLMV</w:t>
            </w:r>
          </w:p>
        </w:tc>
      </w:tr>
      <w:tr w:rsidR="00391A6B" w:rsidRPr="00994295" w14:paraId="2F24D88E" w14:textId="77777777" w:rsidTr="40F7E47C">
        <w:trPr>
          <w:trHeight w:val="454"/>
        </w:trPr>
        <w:tc>
          <w:tcPr>
            <w:tcW w:w="3266" w:type="dxa"/>
            <w:vAlign w:val="center"/>
          </w:tcPr>
          <w:p w14:paraId="0E72F2CD" w14:textId="1A6BE851" w:rsidR="001129B6" w:rsidRPr="00994295" w:rsidRDefault="001129B6" w:rsidP="001C44B4">
            <w:pPr>
              <w:jc w:val="both"/>
              <w:textAlignment w:val="baseline"/>
              <w:rPr>
                <w:rFonts w:ascii="Century Gothic" w:hAnsi="Century Gothic"/>
                <w:b/>
                <w:bCs/>
                <w:sz w:val="22"/>
                <w:szCs w:val="22"/>
                <w:shd w:val="clear" w:color="auto" w:fill="FFFFFF"/>
                <w:lang w:eastAsia="es-CO"/>
              </w:rPr>
            </w:pPr>
            <w:r w:rsidRPr="00994295">
              <w:rPr>
                <w:rFonts w:ascii="Century Gothic" w:hAnsi="Century Gothic"/>
                <w:b/>
                <w:bCs/>
                <w:sz w:val="22"/>
                <w:szCs w:val="22"/>
                <w:shd w:val="clear" w:color="auto" w:fill="FFFFFF"/>
                <w:lang w:eastAsia="es-CO"/>
              </w:rPr>
              <w:t>Audiencia prejudicial</w:t>
            </w:r>
          </w:p>
        </w:tc>
        <w:tc>
          <w:tcPr>
            <w:tcW w:w="6941" w:type="dxa"/>
            <w:vAlign w:val="center"/>
          </w:tcPr>
          <w:p w14:paraId="6AD9587E" w14:textId="1D0FA82C" w:rsidR="001129B6" w:rsidRPr="00994295" w:rsidRDefault="00E217B9" w:rsidP="001C44B4">
            <w:pPr>
              <w:jc w:val="both"/>
              <w:rPr>
                <w:rFonts w:ascii="Century Gothic" w:hAnsi="Century Gothic" w:cs="Segoe UI"/>
                <w:sz w:val="22"/>
                <w:szCs w:val="22"/>
                <w:lang w:eastAsia="es-CO"/>
              </w:rPr>
            </w:pPr>
            <w:r w:rsidRPr="00994295">
              <w:rPr>
                <w:rFonts w:ascii="Century Gothic" w:hAnsi="Century Gothic" w:cs="Segoe UI"/>
                <w:sz w:val="22"/>
                <w:szCs w:val="22"/>
                <w:lang w:eastAsia="es-CO"/>
              </w:rPr>
              <w:t>NO</w:t>
            </w:r>
          </w:p>
        </w:tc>
      </w:tr>
      <w:tr w:rsidR="00391A6B" w:rsidRPr="00994295" w14:paraId="658B9E4D" w14:textId="77777777" w:rsidTr="40F7E47C">
        <w:trPr>
          <w:trHeight w:val="454"/>
        </w:trPr>
        <w:tc>
          <w:tcPr>
            <w:tcW w:w="3266" w:type="dxa"/>
            <w:vAlign w:val="center"/>
            <w:hideMark/>
          </w:tcPr>
          <w:p w14:paraId="02377331" w14:textId="79A3F98F" w:rsidR="001C44B4" w:rsidRPr="00994295" w:rsidRDefault="002633C0" w:rsidP="001C44B4">
            <w:pPr>
              <w:jc w:val="both"/>
              <w:textAlignment w:val="baseline"/>
              <w:rPr>
                <w:rFonts w:ascii="Century Gothic" w:hAnsi="Century Gothic" w:cs="Segoe UI"/>
                <w:sz w:val="22"/>
                <w:szCs w:val="22"/>
                <w:lang w:eastAsia="es-CO"/>
              </w:rPr>
            </w:pPr>
            <w:r w:rsidRPr="00994295">
              <w:rPr>
                <w:rFonts w:ascii="Century Gothic" w:hAnsi="Century Gothic"/>
                <w:b/>
                <w:bCs/>
                <w:sz w:val="22"/>
                <w:szCs w:val="22"/>
                <w:shd w:val="clear" w:color="auto" w:fill="FFFFFF"/>
                <w:lang w:eastAsia="es-CO"/>
              </w:rPr>
              <w:t>Ofrecimiento previo</w:t>
            </w:r>
          </w:p>
        </w:tc>
        <w:tc>
          <w:tcPr>
            <w:tcW w:w="6941" w:type="dxa"/>
            <w:vAlign w:val="center"/>
          </w:tcPr>
          <w:p w14:paraId="244AD2F4" w14:textId="258C0F0D" w:rsidR="001C44B4" w:rsidRPr="00994295" w:rsidRDefault="002633C0" w:rsidP="001C44B4">
            <w:pPr>
              <w:jc w:val="both"/>
              <w:rPr>
                <w:rFonts w:ascii="Century Gothic" w:hAnsi="Century Gothic" w:cs="Segoe UI"/>
                <w:sz w:val="22"/>
                <w:szCs w:val="22"/>
                <w:lang w:eastAsia="es-CO"/>
              </w:rPr>
            </w:pPr>
            <w:r w:rsidRPr="00994295">
              <w:rPr>
                <w:rFonts w:ascii="Century Gothic" w:hAnsi="Century Gothic" w:cs="Segoe UI"/>
                <w:sz w:val="22"/>
                <w:szCs w:val="22"/>
                <w:lang w:eastAsia="es-CO"/>
              </w:rPr>
              <w:t xml:space="preserve"> </w:t>
            </w:r>
            <w:r w:rsidR="00DD71DA" w:rsidRPr="00994295">
              <w:rPr>
                <w:rFonts w:ascii="Century Gothic" w:hAnsi="Century Gothic" w:cs="Segoe UI"/>
                <w:sz w:val="22"/>
                <w:szCs w:val="22"/>
                <w:lang w:eastAsia="es-CO"/>
              </w:rPr>
              <w:t>NO</w:t>
            </w:r>
          </w:p>
        </w:tc>
      </w:tr>
    </w:tbl>
    <w:p w14:paraId="397A1D68" w14:textId="77777777" w:rsidR="003B44CB" w:rsidRPr="00994295" w:rsidRDefault="003B44CB" w:rsidP="003314A2">
      <w:pPr>
        <w:spacing w:line="360" w:lineRule="auto"/>
        <w:rPr>
          <w:rFonts w:ascii="Century Gothic" w:hAnsi="Century Gothic"/>
          <w:color w:val="FF0000"/>
          <w:sz w:val="22"/>
          <w:szCs w:val="22"/>
        </w:rPr>
      </w:pPr>
    </w:p>
    <w:p w14:paraId="61F56879" w14:textId="77777777" w:rsidR="0095378E" w:rsidRPr="00994295" w:rsidRDefault="0095378E">
      <w:pPr>
        <w:rPr>
          <w:rFonts w:ascii="Century Gothic" w:hAnsi="Century Gothic"/>
          <w:color w:val="FF0000"/>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391A6B" w:rsidRPr="00994295" w14:paraId="49B1F103" w14:textId="77777777" w:rsidTr="00BA1E5F">
        <w:tc>
          <w:tcPr>
            <w:tcW w:w="3687" w:type="dxa"/>
          </w:tcPr>
          <w:p w14:paraId="673B76C6" w14:textId="23992614" w:rsidR="002633C0" w:rsidRPr="00994295" w:rsidRDefault="00BA1E5F" w:rsidP="003314A2">
            <w:pPr>
              <w:spacing w:line="360" w:lineRule="auto"/>
              <w:rPr>
                <w:rFonts w:ascii="Century Gothic" w:hAnsi="Century Gothic"/>
                <w:sz w:val="22"/>
                <w:szCs w:val="22"/>
              </w:rPr>
            </w:pPr>
            <w:r w:rsidRPr="00994295">
              <w:rPr>
                <w:rFonts w:ascii="Century Gothic" w:hAnsi="Century Gothic"/>
                <w:b/>
                <w:bCs/>
                <w:sz w:val="22"/>
                <w:szCs w:val="22"/>
              </w:rPr>
              <w:lastRenderedPageBreak/>
              <w:t>Calificación de la contingencia</w:t>
            </w:r>
          </w:p>
        </w:tc>
        <w:tc>
          <w:tcPr>
            <w:tcW w:w="6520" w:type="dxa"/>
          </w:tcPr>
          <w:p w14:paraId="6F4874B3" w14:textId="242EA480" w:rsidR="002633C0" w:rsidRPr="00994295" w:rsidRDefault="005D5768" w:rsidP="003314A2">
            <w:pPr>
              <w:spacing w:line="360" w:lineRule="auto"/>
              <w:rPr>
                <w:rFonts w:ascii="Century Gothic" w:hAnsi="Century Gothic"/>
                <w:sz w:val="22"/>
                <w:szCs w:val="22"/>
              </w:rPr>
            </w:pPr>
            <w:r w:rsidRPr="00994295">
              <w:rPr>
                <w:rFonts w:ascii="Century Gothic" w:hAnsi="Century Gothic"/>
                <w:sz w:val="22"/>
                <w:szCs w:val="22"/>
              </w:rPr>
              <w:t>PROBABLE</w:t>
            </w:r>
          </w:p>
        </w:tc>
      </w:tr>
      <w:tr w:rsidR="00391A6B" w:rsidRPr="00994295" w14:paraId="47B026EC" w14:textId="77777777" w:rsidTr="00BA1E5F">
        <w:tc>
          <w:tcPr>
            <w:tcW w:w="3687" w:type="dxa"/>
          </w:tcPr>
          <w:p w14:paraId="4A77CED7" w14:textId="00C97735" w:rsidR="002633C0" w:rsidRPr="00994295" w:rsidRDefault="00BA1E5F" w:rsidP="003314A2">
            <w:pPr>
              <w:spacing w:line="360" w:lineRule="auto"/>
              <w:rPr>
                <w:rFonts w:ascii="Century Gothic" w:hAnsi="Century Gothic"/>
                <w:b/>
                <w:bCs/>
                <w:sz w:val="22"/>
                <w:szCs w:val="22"/>
              </w:rPr>
            </w:pPr>
            <w:r w:rsidRPr="00994295">
              <w:rPr>
                <w:rFonts w:ascii="Century Gothic" w:hAnsi="Century Gothic"/>
                <w:b/>
                <w:bCs/>
                <w:sz w:val="22"/>
                <w:szCs w:val="22"/>
              </w:rPr>
              <w:t xml:space="preserve">Reserva sugerida: </w:t>
            </w:r>
          </w:p>
        </w:tc>
        <w:tc>
          <w:tcPr>
            <w:tcW w:w="6520" w:type="dxa"/>
          </w:tcPr>
          <w:p w14:paraId="7146E445" w14:textId="1E2C705F" w:rsidR="002633C0" w:rsidRPr="00994295" w:rsidRDefault="00824209" w:rsidP="003314A2">
            <w:pPr>
              <w:spacing w:line="360" w:lineRule="auto"/>
              <w:rPr>
                <w:rFonts w:ascii="Century Gothic" w:hAnsi="Century Gothic"/>
                <w:sz w:val="22"/>
                <w:szCs w:val="22"/>
              </w:rPr>
            </w:pPr>
            <w:r w:rsidRPr="00994295">
              <w:rPr>
                <w:rFonts w:ascii="Century Gothic" w:hAnsi="Century Gothic"/>
                <w:sz w:val="22"/>
                <w:szCs w:val="22"/>
              </w:rPr>
              <w:t xml:space="preserve">$ </w:t>
            </w:r>
            <w:r w:rsidR="00681F87" w:rsidRPr="00681F87">
              <w:rPr>
                <w:rFonts w:ascii="Century Gothic" w:hAnsi="Century Gothic"/>
                <w:sz w:val="22"/>
                <w:szCs w:val="22"/>
              </w:rPr>
              <w:t>76.503.88</w:t>
            </w:r>
            <w:r w:rsidR="00681F87">
              <w:rPr>
                <w:rFonts w:ascii="Century Gothic" w:hAnsi="Century Gothic"/>
                <w:sz w:val="22"/>
                <w:szCs w:val="22"/>
              </w:rPr>
              <w:t>9</w:t>
            </w:r>
            <w:r w:rsidR="008248D3" w:rsidRPr="00994295">
              <w:rPr>
                <w:rFonts w:ascii="Century Gothic" w:hAnsi="Century Gothic"/>
                <w:sz w:val="22"/>
                <w:szCs w:val="22"/>
              </w:rPr>
              <w:t>(</w:t>
            </w:r>
            <w:r w:rsidR="003015F4" w:rsidRPr="00994295">
              <w:rPr>
                <w:rFonts w:ascii="Century Gothic" w:hAnsi="Century Gothic"/>
                <w:sz w:val="22"/>
                <w:szCs w:val="22"/>
              </w:rPr>
              <w:t>8</w:t>
            </w:r>
            <w:r w:rsidR="008248D3" w:rsidRPr="00994295">
              <w:rPr>
                <w:rFonts w:ascii="Century Gothic" w:hAnsi="Century Gothic"/>
                <w:sz w:val="22"/>
                <w:szCs w:val="22"/>
              </w:rPr>
              <w:t>0% de la liquidación objetiva)</w:t>
            </w:r>
          </w:p>
        </w:tc>
      </w:tr>
      <w:tr w:rsidR="00391A6B" w:rsidRPr="00994295" w14:paraId="22F780E0" w14:textId="77777777" w:rsidTr="008B59F4">
        <w:tc>
          <w:tcPr>
            <w:tcW w:w="10207" w:type="dxa"/>
            <w:gridSpan w:val="2"/>
            <w:shd w:val="clear" w:color="auto" w:fill="C5E0B3" w:themeFill="accent6" w:themeFillTint="66"/>
            <w:vAlign w:val="center"/>
          </w:tcPr>
          <w:p w14:paraId="2E984764" w14:textId="51214522" w:rsidR="00BA1E5F" w:rsidRPr="00994295" w:rsidRDefault="00BA1E5F" w:rsidP="00BA1E5F">
            <w:pPr>
              <w:spacing w:line="360" w:lineRule="auto"/>
              <w:jc w:val="center"/>
              <w:rPr>
                <w:rFonts w:ascii="Century Gothic" w:hAnsi="Century Gothic"/>
                <w:sz w:val="22"/>
                <w:szCs w:val="22"/>
              </w:rPr>
            </w:pPr>
            <w:r w:rsidRPr="00994295">
              <w:rPr>
                <w:rFonts w:ascii="Century Gothic" w:hAnsi="Century Gothic"/>
                <w:b/>
                <w:bCs/>
                <w:sz w:val="22"/>
                <w:szCs w:val="22"/>
              </w:rPr>
              <w:t>Concepto del apoderado</w:t>
            </w:r>
          </w:p>
        </w:tc>
      </w:tr>
      <w:tr w:rsidR="00391A6B" w:rsidRPr="00994295" w14:paraId="4C51FAC2" w14:textId="77777777" w:rsidTr="00BA1E5F">
        <w:trPr>
          <w:trHeight w:val="3401"/>
        </w:trPr>
        <w:tc>
          <w:tcPr>
            <w:tcW w:w="10207" w:type="dxa"/>
            <w:gridSpan w:val="2"/>
            <w:vAlign w:val="center"/>
          </w:tcPr>
          <w:p w14:paraId="1E9A247C" w14:textId="77777777" w:rsidR="00867D13" w:rsidRPr="00994295" w:rsidRDefault="00867D13" w:rsidP="00867D13">
            <w:pPr>
              <w:spacing w:line="360" w:lineRule="auto"/>
              <w:jc w:val="both"/>
              <w:rPr>
                <w:rFonts w:ascii="Century Gothic" w:hAnsi="Century Gothic"/>
                <w:sz w:val="22"/>
                <w:szCs w:val="22"/>
              </w:rPr>
            </w:pPr>
            <w:r w:rsidRPr="00994295">
              <w:rPr>
                <w:rFonts w:ascii="Century Gothic" w:hAnsi="Century Gothic"/>
                <w:sz w:val="22"/>
                <w:szCs w:val="22"/>
              </w:rPr>
              <w:t>La contingencia se califica como PROBABLE, toda vez que la póliza presta cobertura temporal y material, adicionalmente, está acreditada la responsabilidad del asegurado.</w:t>
            </w:r>
          </w:p>
          <w:p w14:paraId="1A767E18" w14:textId="77777777" w:rsidR="00867D13" w:rsidRPr="00994295" w:rsidRDefault="00867D13" w:rsidP="00867D13">
            <w:pPr>
              <w:spacing w:line="360" w:lineRule="auto"/>
              <w:jc w:val="both"/>
              <w:rPr>
                <w:rFonts w:ascii="Century Gothic" w:hAnsi="Century Gothic"/>
                <w:sz w:val="22"/>
                <w:szCs w:val="22"/>
              </w:rPr>
            </w:pPr>
          </w:p>
          <w:p w14:paraId="238056D4" w14:textId="2DDB2D90" w:rsidR="005D5768" w:rsidRPr="00994295" w:rsidRDefault="005D5768" w:rsidP="005D5768">
            <w:pPr>
              <w:spacing w:line="360" w:lineRule="auto"/>
              <w:jc w:val="both"/>
              <w:rPr>
                <w:rFonts w:ascii="Century Gothic" w:hAnsi="Century Gothic"/>
                <w:sz w:val="22"/>
                <w:szCs w:val="22"/>
              </w:rPr>
            </w:pPr>
            <w:r w:rsidRPr="00994295">
              <w:rPr>
                <w:rFonts w:ascii="Century Gothic" w:hAnsi="Century Gothic"/>
                <w:sz w:val="22"/>
                <w:szCs w:val="22"/>
              </w:rPr>
              <w:t xml:space="preserve">Lo primero que debe tomarse en consideración, es que en el presente proceso se vinculó a la compañía aseguradora con ocasión al contrato de seguro No. AA003028 cuyo tomador es COOPERATIVA DE TRANSPORTADORES DE SERVICIO URBANO DEL TOLIMA ¨COTRAUTOL¨ </w:t>
            </w:r>
            <w:proofErr w:type="spellStart"/>
            <w:r w:rsidRPr="00994295">
              <w:rPr>
                <w:rFonts w:ascii="Century Gothic" w:hAnsi="Century Gothic"/>
                <w:sz w:val="22"/>
                <w:szCs w:val="22"/>
              </w:rPr>
              <w:t>como</w:t>
            </w:r>
            <w:proofErr w:type="spellEnd"/>
            <w:r w:rsidRPr="00994295">
              <w:rPr>
                <w:rFonts w:ascii="Century Gothic" w:hAnsi="Century Gothic"/>
                <w:sz w:val="22"/>
                <w:szCs w:val="22"/>
              </w:rPr>
              <w:t xml:space="preserve"> asegurada a AMPARO BERMUDEZ VANEGAS y como beneficiario se tenía a los terceros afectados del vehículo WTO 433. Dicha póliza prestaba cobertura material y temporal, de conformidad con los hechos y pretensiones de la demanda. Frente a la cobertura temporal debe señalarse que el accidente ocurrió el 09 de febrero de 2020, esto es dentro de la vigencia de la póliza, pues sus efectos iniciaron el 25 de enero de 2020 hasta el 25 de enero de 2021. </w:t>
            </w:r>
            <w:r w:rsidR="00105162">
              <w:rPr>
                <w:rFonts w:ascii="Century Gothic" w:hAnsi="Century Gothic"/>
                <w:sz w:val="22"/>
                <w:szCs w:val="22"/>
              </w:rPr>
              <w:t xml:space="preserve">Aunado a ello, presta cobertura material en tanto ampara la Responsabilidad Civil Extracontractual con amparo a lesiones de una persona, pretensión que se le endilga al asegurado.  </w:t>
            </w:r>
          </w:p>
          <w:p w14:paraId="062A7B19" w14:textId="77777777" w:rsidR="005D5768" w:rsidRPr="00994295" w:rsidRDefault="005D5768" w:rsidP="005D5768">
            <w:pPr>
              <w:spacing w:line="276" w:lineRule="auto"/>
              <w:jc w:val="both"/>
              <w:rPr>
                <w:rFonts w:ascii="Century Gothic" w:hAnsi="Century Gothic"/>
                <w:sz w:val="22"/>
                <w:szCs w:val="22"/>
              </w:rPr>
            </w:pPr>
          </w:p>
          <w:p w14:paraId="22C4150F" w14:textId="42AD8EDD" w:rsidR="00867D13" w:rsidRPr="00994295" w:rsidRDefault="00867D13" w:rsidP="00867D13">
            <w:pPr>
              <w:spacing w:line="360" w:lineRule="auto"/>
              <w:jc w:val="both"/>
              <w:rPr>
                <w:rFonts w:ascii="Century Gothic" w:hAnsi="Century Gothic"/>
                <w:sz w:val="22"/>
                <w:szCs w:val="22"/>
              </w:rPr>
            </w:pPr>
            <w:r w:rsidRPr="00994295">
              <w:rPr>
                <w:rFonts w:ascii="Century Gothic" w:hAnsi="Century Gothic"/>
                <w:sz w:val="22"/>
                <w:szCs w:val="22"/>
              </w:rPr>
              <w:t xml:space="preserve">Por otro lado, frente a la responsabilidad del asegurado, debe decirse que existen elementos de prueba suficientes que acreditan la responsabilidad del conductor del vehículo asegurado en el accidente del </w:t>
            </w:r>
            <w:r w:rsidR="005D5768" w:rsidRPr="00994295">
              <w:rPr>
                <w:rFonts w:ascii="Century Gothic" w:hAnsi="Century Gothic"/>
                <w:sz w:val="22"/>
                <w:szCs w:val="22"/>
              </w:rPr>
              <w:t>09 de febrero de 2020</w:t>
            </w:r>
            <w:r w:rsidRPr="00994295">
              <w:rPr>
                <w:rFonts w:ascii="Century Gothic" w:hAnsi="Century Gothic"/>
                <w:sz w:val="22"/>
                <w:szCs w:val="22"/>
              </w:rPr>
              <w:t xml:space="preserve">. En primera medida, porque a través del Informe Policial de Accidente de Tránsito se atribuyó al vehículo de placas </w:t>
            </w:r>
            <w:r w:rsidR="005D5768" w:rsidRPr="00994295">
              <w:rPr>
                <w:rFonts w:ascii="Century Gothic" w:hAnsi="Century Gothic"/>
                <w:sz w:val="22"/>
                <w:szCs w:val="22"/>
              </w:rPr>
              <w:t>WTO-433</w:t>
            </w:r>
            <w:r w:rsidRPr="00994295">
              <w:rPr>
                <w:rFonts w:ascii="Century Gothic" w:hAnsi="Century Gothic"/>
                <w:sz w:val="22"/>
                <w:szCs w:val="22"/>
              </w:rPr>
              <w:t xml:space="preserve"> como causa del accidente la hipótesis No. </w:t>
            </w:r>
            <w:r w:rsidR="008B5BF2" w:rsidRPr="00994295">
              <w:rPr>
                <w:rFonts w:ascii="Century Gothic" w:hAnsi="Century Gothic"/>
                <w:sz w:val="22"/>
                <w:szCs w:val="22"/>
              </w:rPr>
              <w:t>157</w:t>
            </w:r>
            <w:r w:rsidRPr="00994295">
              <w:rPr>
                <w:rFonts w:ascii="Century Gothic" w:hAnsi="Century Gothic"/>
                <w:sz w:val="22"/>
                <w:szCs w:val="22"/>
              </w:rPr>
              <w:t xml:space="preserve">, correspondiente a </w:t>
            </w:r>
            <w:r w:rsidR="008B5BF2" w:rsidRPr="00994295">
              <w:rPr>
                <w:rFonts w:ascii="Century Gothic" w:hAnsi="Century Gothic"/>
                <w:sz w:val="22"/>
                <w:szCs w:val="22"/>
              </w:rPr>
              <w:t>¨REALIZAR MANIOBRA DE GIRO A LA DERECHA SIN TENER PRECAUCIÓN¨</w:t>
            </w:r>
            <w:r w:rsidRPr="00994295">
              <w:rPr>
                <w:rFonts w:ascii="Century Gothic" w:hAnsi="Century Gothic"/>
                <w:sz w:val="22"/>
                <w:szCs w:val="22"/>
              </w:rPr>
              <w:t xml:space="preserve">". </w:t>
            </w:r>
            <w:r w:rsidR="008B5BF2" w:rsidRPr="00994295">
              <w:rPr>
                <w:rFonts w:ascii="Century Gothic" w:hAnsi="Century Gothic"/>
                <w:sz w:val="22"/>
                <w:szCs w:val="22"/>
              </w:rPr>
              <w:t>Sumado a ello, existe</w:t>
            </w:r>
            <w:r w:rsidR="009300B3">
              <w:rPr>
                <w:rFonts w:ascii="Century Gothic" w:hAnsi="Century Gothic"/>
                <w:sz w:val="22"/>
                <w:szCs w:val="22"/>
              </w:rPr>
              <w:t xml:space="preserve"> un</w:t>
            </w:r>
            <w:r w:rsidR="008B5BF2" w:rsidRPr="00994295">
              <w:rPr>
                <w:rFonts w:ascii="Century Gothic" w:hAnsi="Century Gothic"/>
                <w:sz w:val="22"/>
                <w:szCs w:val="22"/>
              </w:rPr>
              <w:t xml:space="preserve"> Dictamen pericial de reconstrucción analítica del accidente de tránsito el cual considera que ERA FÍSICAMENTE EVITABLE EL ACCIDENTE DE TRÁNSITO POR PARTE DEL CONDUCTOR DE LA BUSETA QUE SE DISPUSO A CONDUCIR SIN PRECAUCIÓN, NI RESPETAR LAS DEMARCACIONES VIALES. Lo que demostraría la responsabilidad del conductor del vehículo asegurado. </w:t>
            </w:r>
            <w:r w:rsidRPr="00994295">
              <w:rPr>
                <w:rFonts w:ascii="Century Gothic" w:hAnsi="Century Gothic"/>
                <w:sz w:val="22"/>
                <w:szCs w:val="22"/>
              </w:rPr>
              <w:t xml:space="preserve">Ahora, a pesar de ello, </w:t>
            </w:r>
            <w:r w:rsidR="008B5BF2" w:rsidRPr="00994295">
              <w:rPr>
                <w:rFonts w:ascii="Century Gothic" w:hAnsi="Century Gothic"/>
                <w:sz w:val="22"/>
                <w:szCs w:val="22"/>
              </w:rPr>
              <w:t xml:space="preserve">en el Informe Policial de Accidente de Tránsito </w:t>
            </w:r>
            <w:r w:rsidRPr="00994295">
              <w:rPr>
                <w:rFonts w:ascii="Century Gothic" w:hAnsi="Century Gothic"/>
                <w:sz w:val="22"/>
                <w:szCs w:val="22"/>
              </w:rPr>
              <w:t xml:space="preserve">también se le atribuyó al conductor de la </w:t>
            </w:r>
            <w:r w:rsidR="008B5BF2" w:rsidRPr="00994295">
              <w:rPr>
                <w:rFonts w:ascii="Century Gothic" w:hAnsi="Century Gothic"/>
                <w:sz w:val="22"/>
                <w:szCs w:val="22"/>
              </w:rPr>
              <w:t>bicicleta,</w:t>
            </w:r>
            <w:r w:rsidRPr="00994295">
              <w:rPr>
                <w:rFonts w:ascii="Century Gothic" w:hAnsi="Century Gothic"/>
                <w:sz w:val="22"/>
                <w:szCs w:val="22"/>
              </w:rPr>
              <w:t xml:space="preserve"> el joven OSCAR </w:t>
            </w:r>
            <w:r w:rsidR="008B5BF2" w:rsidRPr="00994295">
              <w:rPr>
                <w:rFonts w:ascii="Century Gothic" w:hAnsi="Century Gothic"/>
                <w:sz w:val="22"/>
                <w:szCs w:val="22"/>
              </w:rPr>
              <w:t>ANDRÉS OSPINA NARANJO</w:t>
            </w:r>
            <w:r w:rsidRPr="00994295">
              <w:rPr>
                <w:rFonts w:ascii="Century Gothic" w:hAnsi="Century Gothic"/>
                <w:sz w:val="22"/>
                <w:szCs w:val="22"/>
              </w:rPr>
              <w:t xml:space="preserve"> quien funge como demandante, víctima y lesionado, la hipótesis No. </w:t>
            </w:r>
            <w:r w:rsidR="008B5BF2" w:rsidRPr="00994295">
              <w:rPr>
                <w:rFonts w:ascii="Century Gothic" w:hAnsi="Century Gothic"/>
                <w:sz w:val="22"/>
                <w:szCs w:val="22"/>
              </w:rPr>
              <w:t xml:space="preserve">157, correspondiente a "NO UTILIZAR LA ZONA DESTINADA AL TRÁNSITO DE BICICLETAS¨, misma que es confirmada por Dictamen pericial aportado por la </w:t>
            </w:r>
            <w:r w:rsidR="008B5BF2" w:rsidRPr="00994295">
              <w:rPr>
                <w:rFonts w:ascii="Century Gothic" w:hAnsi="Century Gothic"/>
                <w:sz w:val="22"/>
                <w:szCs w:val="22"/>
              </w:rPr>
              <w:lastRenderedPageBreak/>
              <w:t>aseguradora INFORME TÉCNICO – PERICIAL DE RECONSTRUCCIÓN FORENSE DE ACCIDENTE DE TRÁNSITO el cual concluye que, la causa DETERMINANTE del accidente obedece al tránsito en contravía sobre la calle 15 con carrera 1 en sentido oriente – occidente por parte del vehículo No. 2 BICICLETA y realizar el cruce de la intersección sin tomar las medidas de precaución. Por lo anterior</w:t>
            </w:r>
            <w:r w:rsidRPr="00994295">
              <w:rPr>
                <w:rFonts w:ascii="Century Gothic" w:hAnsi="Century Gothic"/>
                <w:sz w:val="22"/>
                <w:szCs w:val="22"/>
              </w:rPr>
              <w:t>, al interior del proceso no existe ningún elemento de prueba</w:t>
            </w:r>
            <w:r w:rsidR="008B5BF2" w:rsidRPr="00994295">
              <w:rPr>
                <w:rFonts w:ascii="Century Gothic" w:hAnsi="Century Gothic"/>
                <w:sz w:val="22"/>
                <w:szCs w:val="22"/>
              </w:rPr>
              <w:t xml:space="preserve"> adicional </w:t>
            </w:r>
            <w:r w:rsidRPr="00994295">
              <w:rPr>
                <w:rFonts w:ascii="Century Gothic" w:hAnsi="Century Gothic"/>
                <w:sz w:val="22"/>
                <w:szCs w:val="22"/>
              </w:rPr>
              <w:t>que desvirtúe lo establecido en el Informe Policial,</w:t>
            </w:r>
            <w:r w:rsidR="008B5BF2" w:rsidRPr="00994295">
              <w:rPr>
                <w:rFonts w:ascii="Century Gothic" w:hAnsi="Century Gothic"/>
                <w:sz w:val="22"/>
                <w:szCs w:val="22"/>
              </w:rPr>
              <w:t xml:space="preserve"> ni en los dictámenes periciales</w:t>
            </w:r>
            <w:r w:rsidRPr="00994295">
              <w:rPr>
                <w:rFonts w:ascii="Century Gothic" w:hAnsi="Century Gothic"/>
                <w:sz w:val="22"/>
                <w:szCs w:val="22"/>
              </w:rPr>
              <w:t xml:space="preserve"> por lo que puede existir una relación causa y efecto entre la conducta del conductor del vehículo asegurado y las lesiones del joven </w:t>
            </w:r>
            <w:r w:rsidR="008B5BF2" w:rsidRPr="00994295">
              <w:rPr>
                <w:rFonts w:ascii="Century Gothic" w:hAnsi="Century Gothic"/>
                <w:sz w:val="22"/>
                <w:szCs w:val="22"/>
              </w:rPr>
              <w:t>OSCAR ANDRÉS OSPINA NARANJO</w:t>
            </w:r>
            <w:r w:rsidRPr="00994295">
              <w:rPr>
                <w:rFonts w:ascii="Century Gothic" w:hAnsi="Century Gothic"/>
                <w:sz w:val="22"/>
                <w:szCs w:val="22"/>
              </w:rPr>
              <w:t xml:space="preserve">, </w:t>
            </w:r>
            <w:r w:rsidR="008B5BF2" w:rsidRPr="00994295">
              <w:rPr>
                <w:rFonts w:ascii="Century Gothic" w:hAnsi="Century Gothic"/>
                <w:sz w:val="22"/>
                <w:szCs w:val="22"/>
              </w:rPr>
              <w:t xml:space="preserve">sin embargo, </w:t>
            </w:r>
            <w:r w:rsidR="009300B3">
              <w:rPr>
                <w:rFonts w:ascii="Century Gothic" w:hAnsi="Century Gothic"/>
                <w:sz w:val="22"/>
                <w:szCs w:val="22"/>
              </w:rPr>
              <w:t xml:space="preserve">las pruebas si permiten inferir que ambas conductas – tanto la del conductor del bus como la del conductor de la motocicleta -tuvieron incidencia determinante, por lo que podría existir una concurrencia de culpas. Asunto que será parte del debate del proceso. </w:t>
            </w:r>
            <w:r w:rsidRPr="00994295">
              <w:rPr>
                <w:rFonts w:ascii="Century Gothic" w:hAnsi="Century Gothic"/>
                <w:sz w:val="22"/>
                <w:szCs w:val="22"/>
              </w:rPr>
              <w:t xml:space="preserve"> </w:t>
            </w:r>
          </w:p>
          <w:p w14:paraId="5768A768" w14:textId="77777777" w:rsidR="00867D13" w:rsidRPr="00994295" w:rsidRDefault="00867D13" w:rsidP="00867D13">
            <w:pPr>
              <w:spacing w:line="360" w:lineRule="auto"/>
              <w:jc w:val="both"/>
              <w:rPr>
                <w:rFonts w:ascii="Century Gothic" w:hAnsi="Century Gothic"/>
                <w:sz w:val="22"/>
                <w:szCs w:val="22"/>
              </w:rPr>
            </w:pPr>
          </w:p>
          <w:p w14:paraId="58FF1192" w14:textId="391E21D0" w:rsidR="00BA1E5F" w:rsidRPr="00994295" w:rsidRDefault="00867D13" w:rsidP="001E0B01">
            <w:pPr>
              <w:spacing w:line="360" w:lineRule="auto"/>
              <w:jc w:val="both"/>
              <w:rPr>
                <w:rFonts w:ascii="Century Gothic" w:hAnsi="Century Gothic"/>
                <w:sz w:val="22"/>
                <w:szCs w:val="22"/>
              </w:rPr>
            </w:pPr>
            <w:r w:rsidRPr="00994295">
              <w:rPr>
                <w:rFonts w:ascii="Century Gothic" w:hAnsi="Century Gothic"/>
                <w:sz w:val="22"/>
                <w:szCs w:val="22"/>
              </w:rPr>
              <w:t>Lo anterior sin perjuicio del carácter contingente del proceso.</w:t>
            </w:r>
            <w:r w:rsidR="001E0B01" w:rsidRPr="00994295">
              <w:rPr>
                <w:rFonts w:ascii="Century Gothic" w:hAnsi="Century Gothic"/>
                <w:sz w:val="22"/>
                <w:szCs w:val="22"/>
              </w:rPr>
              <w:t xml:space="preserve"> </w:t>
            </w:r>
          </w:p>
        </w:tc>
      </w:tr>
      <w:tr w:rsidR="00391A6B" w:rsidRPr="00994295" w14:paraId="6A3F4D91" w14:textId="77777777" w:rsidTr="008B59F4">
        <w:trPr>
          <w:trHeight w:val="1361"/>
        </w:trPr>
        <w:tc>
          <w:tcPr>
            <w:tcW w:w="10207" w:type="dxa"/>
            <w:gridSpan w:val="2"/>
            <w:vAlign w:val="center"/>
          </w:tcPr>
          <w:p w14:paraId="496E2EE0" w14:textId="77777777" w:rsidR="00A765D5" w:rsidRPr="00994295" w:rsidRDefault="00A765D5" w:rsidP="00A765D5">
            <w:pPr>
              <w:spacing w:line="360" w:lineRule="auto"/>
              <w:jc w:val="center"/>
              <w:rPr>
                <w:rFonts w:ascii="Century Gothic" w:hAnsi="Century Gothic"/>
                <w:b/>
                <w:bCs/>
                <w:sz w:val="22"/>
                <w:szCs w:val="22"/>
              </w:rPr>
            </w:pPr>
            <w:r w:rsidRPr="00994295">
              <w:rPr>
                <w:rFonts w:ascii="Century Gothic" w:hAnsi="Century Gothic"/>
                <w:b/>
                <w:bCs/>
                <w:sz w:val="22"/>
                <w:szCs w:val="22"/>
              </w:rPr>
              <w:lastRenderedPageBreak/>
              <w:t>GUSTAVO ALBERTO HERRERA ÁVILA</w:t>
            </w:r>
          </w:p>
          <w:p w14:paraId="23091AFF" w14:textId="77777777" w:rsidR="00A765D5" w:rsidRPr="00994295" w:rsidRDefault="00A765D5" w:rsidP="00A765D5">
            <w:pPr>
              <w:spacing w:line="360" w:lineRule="auto"/>
              <w:jc w:val="center"/>
              <w:rPr>
                <w:rFonts w:ascii="Century Gothic" w:hAnsi="Century Gothic"/>
                <w:b/>
                <w:bCs/>
                <w:sz w:val="22"/>
                <w:szCs w:val="22"/>
              </w:rPr>
            </w:pPr>
            <w:r w:rsidRPr="00994295">
              <w:rPr>
                <w:rFonts w:ascii="Century Gothic" w:hAnsi="Century Gothic"/>
                <w:b/>
                <w:bCs/>
                <w:sz w:val="22"/>
                <w:szCs w:val="22"/>
              </w:rPr>
              <w:t xml:space="preserve">C.C. </w:t>
            </w:r>
            <w:proofErr w:type="spellStart"/>
            <w:r w:rsidRPr="00994295">
              <w:rPr>
                <w:rFonts w:ascii="Century Gothic" w:hAnsi="Century Gothic"/>
                <w:b/>
                <w:bCs/>
                <w:sz w:val="22"/>
                <w:szCs w:val="22"/>
              </w:rPr>
              <w:t>Nº</w:t>
            </w:r>
            <w:proofErr w:type="spellEnd"/>
            <w:r w:rsidRPr="00994295">
              <w:rPr>
                <w:rFonts w:ascii="Century Gothic" w:hAnsi="Century Gothic"/>
                <w:b/>
                <w:bCs/>
                <w:sz w:val="22"/>
                <w:szCs w:val="22"/>
              </w:rPr>
              <w:t xml:space="preserve"> 19.395.114 de Bogotá</w:t>
            </w:r>
          </w:p>
          <w:p w14:paraId="2F5D7763" w14:textId="77777777" w:rsidR="00A765D5" w:rsidRPr="00994295" w:rsidRDefault="00A765D5" w:rsidP="00A765D5">
            <w:pPr>
              <w:spacing w:line="360" w:lineRule="auto"/>
              <w:jc w:val="center"/>
              <w:rPr>
                <w:rFonts w:ascii="Century Gothic" w:hAnsi="Century Gothic"/>
                <w:b/>
                <w:bCs/>
                <w:sz w:val="22"/>
                <w:szCs w:val="22"/>
              </w:rPr>
            </w:pPr>
            <w:r w:rsidRPr="00994295">
              <w:rPr>
                <w:rFonts w:ascii="Century Gothic" w:hAnsi="Century Gothic"/>
                <w:b/>
                <w:bCs/>
                <w:sz w:val="22"/>
                <w:szCs w:val="22"/>
              </w:rPr>
              <w:t xml:space="preserve">T.P. </w:t>
            </w:r>
            <w:proofErr w:type="spellStart"/>
            <w:r w:rsidRPr="00994295">
              <w:rPr>
                <w:rFonts w:ascii="Century Gothic" w:hAnsi="Century Gothic"/>
                <w:b/>
                <w:bCs/>
                <w:sz w:val="22"/>
                <w:szCs w:val="22"/>
              </w:rPr>
              <w:t>N°</w:t>
            </w:r>
            <w:proofErr w:type="spellEnd"/>
            <w:r w:rsidRPr="00994295">
              <w:rPr>
                <w:rFonts w:ascii="Century Gothic" w:hAnsi="Century Gothic"/>
                <w:b/>
                <w:bCs/>
                <w:sz w:val="22"/>
                <w:szCs w:val="22"/>
              </w:rPr>
              <w:t xml:space="preserve"> 39.116 del C. S. de la J.</w:t>
            </w:r>
          </w:p>
          <w:p w14:paraId="3A806213" w14:textId="2FB9E722" w:rsidR="00BA1E5F" w:rsidRPr="00994295" w:rsidRDefault="00A765D5" w:rsidP="00A765D5">
            <w:pPr>
              <w:spacing w:line="360" w:lineRule="auto"/>
              <w:jc w:val="center"/>
              <w:rPr>
                <w:rFonts w:ascii="Century Gothic" w:hAnsi="Century Gothic"/>
                <w:b/>
                <w:bCs/>
                <w:sz w:val="22"/>
                <w:szCs w:val="22"/>
              </w:rPr>
            </w:pPr>
            <w:r w:rsidRPr="00994295">
              <w:rPr>
                <w:rFonts w:ascii="Century Gothic" w:hAnsi="Century Gothic"/>
                <w:b/>
                <w:bCs/>
                <w:sz w:val="22"/>
                <w:szCs w:val="22"/>
              </w:rPr>
              <w:t>YVJD</w:t>
            </w:r>
          </w:p>
        </w:tc>
      </w:tr>
    </w:tbl>
    <w:p w14:paraId="66CA6B89" w14:textId="77777777" w:rsidR="002633C0" w:rsidRPr="00994295" w:rsidRDefault="002633C0" w:rsidP="003314A2">
      <w:pPr>
        <w:spacing w:line="360" w:lineRule="auto"/>
        <w:rPr>
          <w:rFonts w:ascii="Century Gothic" w:hAnsi="Century Gothic"/>
          <w:color w:val="FF0000"/>
          <w:sz w:val="22"/>
          <w:szCs w:val="22"/>
        </w:rPr>
      </w:pPr>
    </w:p>
    <w:sectPr w:rsidR="002633C0" w:rsidRPr="00994295"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7BCD6" w14:textId="77777777" w:rsidR="00E02597" w:rsidRDefault="00E02597" w:rsidP="00E7033F">
      <w:r>
        <w:separator/>
      </w:r>
    </w:p>
  </w:endnote>
  <w:endnote w:type="continuationSeparator" w:id="0">
    <w:p w14:paraId="3DC01540" w14:textId="77777777" w:rsidR="00E02597" w:rsidRDefault="00E02597"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0DDB7" w14:textId="77777777" w:rsidR="00E02597" w:rsidRDefault="00E02597" w:rsidP="00E7033F">
      <w:r>
        <w:separator/>
      </w:r>
    </w:p>
  </w:footnote>
  <w:footnote w:type="continuationSeparator" w:id="0">
    <w:p w14:paraId="7D476165" w14:textId="77777777" w:rsidR="00E02597" w:rsidRDefault="00E02597"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600pt;height:776.4pt;z-index:-251657216;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600pt;height:776.4pt;z-index:-251658240;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00pt;height:776.4pt;z-index:-251656192;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3FA6"/>
    <w:multiLevelType w:val="hybridMultilevel"/>
    <w:tmpl w:val="36C4751A"/>
    <w:lvl w:ilvl="0" w:tplc="D4D4511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BB47A0A"/>
    <w:multiLevelType w:val="hybridMultilevel"/>
    <w:tmpl w:val="847615FA"/>
    <w:lvl w:ilvl="0" w:tplc="ECBCABC8">
      <w:start w:val="1"/>
      <w:numFmt w:val="lowerLetter"/>
      <w:lvlText w:val="%1."/>
      <w:lvlJc w:val="left"/>
      <w:pPr>
        <w:ind w:left="1425" w:hanging="360"/>
      </w:pPr>
      <w:rPr>
        <w:rFonts w:hint="default"/>
      </w:rPr>
    </w:lvl>
    <w:lvl w:ilvl="1" w:tplc="240A0019" w:tentative="1">
      <w:start w:val="1"/>
      <w:numFmt w:val="lowerLetter"/>
      <w:lvlText w:val="%2."/>
      <w:lvlJc w:val="left"/>
      <w:pPr>
        <w:ind w:left="2145" w:hanging="360"/>
      </w:pPr>
    </w:lvl>
    <w:lvl w:ilvl="2" w:tplc="240A001B" w:tentative="1">
      <w:start w:val="1"/>
      <w:numFmt w:val="lowerRoman"/>
      <w:lvlText w:val="%3."/>
      <w:lvlJc w:val="right"/>
      <w:pPr>
        <w:ind w:left="2865" w:hanging="180"/>
      </w:pPr>
    </w:lvl>
    <w:lvl w:ilvl="3" w:tplc="240A000F" w:tentative="1">
      <w:start w:val="1"/>
      <w:numFmt w:val="decimal"/>
      <w:lvlText w:val="%4."/>
      <w:lvlJc w:val="left"/>
      <w:pPr>
        <w:ind w:left="3585" w:hanging="360"/>
      </w:pPr>
    </w:lvl>
    <w:lvl w:ilvl="4" w:tplc="240A0019" w:tentative="1">
      <w:start w:val="1"/>
      <w:numFmt w:val="lowerLetter"/>
      <w:lvlText w:val="%5."/>
      <w:lvlJc w:val="left"/>
      <w:pPr>
        <w:ind w:left="4305" w:hanging="360"/>
      </w:pPr>
    </w:lvl>
    <w:lvl w:ilvl="5" w:tplc="240A001B" w:tentative="1">
      <w:start w:val="1"/>
      <w:numFmt w:val="lowerRoman"/>
      <w:lvlText w:val="%6."/>
      <w:lvlJc w:val="right"/>
      <w:pPr>
        <w:ind w:left="5025" w:hanging="180"/>
      </w:pPr>
    </w:lvl>
    <w:lvl w:ilvl="6" w:tplc="240A000F" w:tentative="1">
      <w:start w:val="1"/>
      <w:numFmt w:val="decimal"/>
      <w:lvlText w:val="%7."/>
      <w:lvlJc w:val="left"/>
      <w:pPr>
        <w:ind w:left="5745" w:hanging="360"/>
      </w:pPr>
    </w:lvl>
    <w:lvl w:ilvl="7" w:tplc="240A0019" w:tentative="1">
      <w:start w:val="1"/>
      <w:numFmt w:val="lowerLetter"/>
      <w:lvlText w:val="%8."/>
      <w:lvlJc w:val="left"/>
      <w:pPr>
        <w:ind w:left="6465" w:hanging="360"/>
      </w:pPr>
    </w:lvl>
    <w:lvl w:ilvl="8" w:tplc="240A001B" w:tentative="1">
      <w:start w:val="1"/>
      <w:numFmt w:val="lowerRoman"/>
      <w:lvlText w:val="%9."/>
      <w:lvlJc w:val="right"/>
      <w:pPr>
        <w:ind w:left="7185" w:hanging="180"/>
      </w:pPr>
    </w:lvl>
  </w:abstractNum>
  <w:abstractNum w:abstractNumId="2" w15:restartNumberingAfterBreak="0">
    <w:nsid w:val="1C453C5B"/>
    <w:multiLevelType w:val="hybridMultilevel"/>
    <w:tmpl w:val="C2641E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88E43D2"/>
    <w:multiLevelType w:val="hybridMultilevel"/>
    <w:tmpl w:val="5CDCC3AA"/>
    <w:lvl w:ilvl="0" w:tplc="320C6BB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9EE6C08"/>
    <w:multiLevelType w:val="hybridMultilevel"/>
    <w:tmpl w:val="98F2E9F8"/>
    <w:lvl w:ilvl="0" w:tplc="5A0E312A">
      <w:start w:val="1"/>
      <w:numFmt w:val="decimal"/>
      <w:lvlText w:val="%1."/>
      <w:lvlJc w:val="left"/>
      <w:pPr>
        <w:ind w:left="1020" w:hanging="360"/>
      </w:pPr>
    </w:lvl>
    <w:lvl w:ilvl="1" w:tplc="93406C08">
      <w:start w:val="1"/>
      <w:numFmt w:val="decimal"/>
      <w:lvlText w:val="%2."/>
      <w:lvlJc w:val="left"/>
      <w:pPr>
        <w:ind w:left="1020" w:hanging="360"/>
      </w:pPr>
    </w:lvl>
    <w:lvl w:ilvl="2" w:tplc="FDE258DE">
      <w:start w:val="1"/>
      <w:numFmt w:val="decimal"/>
      <w:lvlText w:val="%3."/>
      <w:lvlJc w:val="left"/>
      <w:pPr>
        <w:ind w:left="1020" w:hanging="360"/>
      </w:pPr>
    </w:lvl>
    <w:lvl w:ilvl="3" w:tplc="BFB2A7E4">
      <w:start w:val="1"/>
      <w:numFmt w:val="decimal"/>
      <w:lvlText w:val="%4."/>
      <w:lvlJc w:val="left"/>
      <w:pPr>
        <w:ind w:left="1020" w:hanging="360"/>
      </w:pPr>
    </w:lvl>
    <w:lvl w:ilvl="4" w:tplc="5E98669A">
      <w:start w:val="1"/>
      <w:numFmt w:val="decimal"/>
      <w:lvlText w:val="%5."/>
      <w:lvlJc w:val="left"/>
      <w:pPr>
        <w:ind w:left="1020" w:hanging="360"/>
      </w:pPr>
    </w:lvl>
    <w:lvl w:ilvl="5" w:tplc="ABE272E4">
      <w:start w:val="1"/>
      <w:numFmt w:val="decimal"/>
      <w:lvlText w:val="%6."/>
      <w:lvlJc w:val="left"/>
      <w:pPr>
        <w:ind w:left="1020" w:hanging="360"/>
      </w:pPr>
    </w:lvl>
    <w:lvl w:ilvl="6" w:tplc="19844564">
      <w:start w:val="1"/>
      <w:numFmt w:val="decimal"/>
      <w:lvlText w:val="%7."/>
      <w:lvlJc w:val="left"/>
      <w:pPr>
        <w:ind w:left="1020" w:hanging="360"/>
      </w:pPr>
    </w:lvl>
    <w:lvl w:ilvl="7" w:tplc="8BD04238">
      <w:start w:val="1"/>
      <w:numFmt w:val="decimal"/>
      <w:lvlText w:val="%8."/>
      <w:lvlJc w:val="left"/>
      <w:pPr>
        <w:ind w:left="1020" w:hanging="360"/>
      </w:pPr>
    </w:lvl>
    <w:lvl w:ilvl="8" w:tplc="E6A63504">
      <w:start w:val="1"/>
      <w:numFmt w:val="decimal"/>
      <w:lvlText w:val="%9."/>
      <w:lvlJc w:val="left"/>
      <w:pPr>
        <w:ind w:left="1020" w:hanging="360"/>
      </w:pPr>
    </w:lvl>
  </w:abstractNum>
  <w:abstractNum w:abstractNumId="5" w15:restartNumberingAfterBreak="0">
    <w:nsid w:val="56124330"/>
    <w:multiLevelType w:val="hybridMultilevel"/>
    <w:tmpl w:val="771ABE5C"/>
    <w:lvl w:ilvl="0" w:tplc="141497C8">
      <w:start w:val="1"/>
      <w:numFmt w:val="upperLetter"/>
      <w:lvlText w:val="%1."/>
      <w:lvlJc w:val="left"/>
      <w:pPr>
        <w:ind w:left="1425" w:hanging="360"/>
      </w:pPr>
      <w:rPr>
        <w:rFonts w:hint="default"/>
      </w:rPr>
    </w:lvl>
    <w:lvl w:ilvl="1" w:tplc="240A0019" w:tentative="1">
      <w:start w:val="1"/>
      <w:numFmt w:val="lowerLetter"/>
      <w:lvlText w:val="%2."/>
      <w:lvlJc w:val="left"/>
      <w:pPr>
        <w:ind w:left="2145" w:hanging="360"/>
      </w:pPr>
    </w:lvl>
    <w:lvl w:ilvl="2" w:tplc="240A001B" w:tentative="1">
      <w:start w:val="1"/>
      <w:numFmt w:val="lowerRoman"/>
      <w:lvlText w:val="%3."/>
      <w:lvlJc w:val="right"/>
      <w:pPr>
        <w:ind w:left="2865" w:hanging="180"/>
      </w:pPr>
    </w:lvl>
    <w:lvl w:ilvl="3" w:tplc="240A000F" w:tentative="1">
      <w:start w:val="1"/>
      <w:numFmt w:val="decimal"/>
      <w:lvlText w:val="%4."/>
      <w:lvlJc w:val="left"/>
      <w:pPr>
        <w:ind w:left="3585" w:hanging="360"/>
      </w:pPr>
    </w:lvl>
    <w:lvl w:ilvl="4" w:tplc="240A0019" w:tentative="1">
      <w:start w:val="1"/>
      <w:numFmt w:val="lowerLetter"/>
      <w:lvlText w:val="%5."/>
      <w:lvlJc w:val="left"/>
      <w:pPr>
        <w:ind w:left="4305" w:hanging="360"/>
      </w:pPr>
    </w:lvl>
    <w:lvl w:ilvl="5" w:tplc="240A001B" w:tentative="1">
      <w:start w:val="1"/>
      <w:numFmt w:val="lowerRoman"/>
      <w:lvlText w:val="%6."/>
      <w:lvlJc w:val="right"/>
      <w:pPr>
        <w:ind w:left="5025" w:hanging="180"/>
      </w:pPr>
    </w:lvl>
    <w:lvl w:ilvl="6" w:tplc="240A000F" w:tentative="1">
      <w:start w:val="1"/>
      <w:numFmt w:val="decimal"/>
      <w:lvlText w:val="%7."/>
      <w:lvlJc w:val="left"/>
      <w:pPr>
        <w:ind w:left="5745" w:hanging="360"/>
      </w:pPr>
    </w:lvl>
    <w:lvl w:ilvl="7" w:tplc="240A0019" w:tentative="1">
      <w:start w:val="1"/>
      <w:numFmt w:val="lowerLetter"/>
      <w:lvlText w:val="%8."/>
      <w:lvlJc w:val="left"/>
      <w:pPr>
        <w:ind w:left="6465" w:hanging="360"/>
      </w:pPr>
    </w:lvl>
    <w:lvl w:ilvl="8" w:tplc="240A001B" w:tentative="1">
      <w:start w:val="1"/>
      <w:numFmt w:val="lowerRoman"/>
      <w:lvlText w:val="%9."/>
      <w:lvlJc w:val="right"/>
      <w:pPr>
        <w:ind w:left="7185" w:hanging="180"/>
      </w:pPr>
    </w:lvl>
  </w:abstractNum>
  <w:abstractNum w:abstractNumId="6" w15:restartNumberingAfterBreak="0">
    <w:nsid w:val="5FFD4296"/>
    <w:multiLevelType w:val="hybridMultilevel"/>
    <w:tmpl w:val="354616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0520125"/>
    <w:multiLevelType w:val="hybridMultilevel"/>
    <w:tmpl w:val="2138D8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92582084">
    <w:abstractNumId w:val="4"/>
  </w:num>
  <w:num w:numId="2" w16cid:durableId="1017004004">
    <w:abstractNumId w:val="3"/>
  </w:num>
  <w:num w:numId="3" w16cid:durableId="1849825224">
    <w:abstractNumId w:val="0"/>
  </w:num>
  <w:num w:numId="4" w16cid:durableId="349453724">
    <w:abstractNumId w:val="1"/>
  </w:num>
  <w:num w:numId="5" w16cid:durableId="1520466239">
    <w:abstractNumId w:val="5"/>
  </w:num>
  <w:num w:numId="6" w16cid:durableId="2105109571">
    <w:abstractNumId w:val="7"/>
  </w:num>
  <w:num w:numId="7" w16cid:durableId="31461946">
    <w:abstractNumId w:val="6"/>
  </w:num>
  <w:num w:numId="8" w16cid:durableId="3409388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0718D"/>
    <w:rsid w:val="00015115"/>
    <w:rsid w:val="00023ECF"/>
    <w:rsid w:val="000263D7"/>
    <w:rsid w:val="00044BFD"/>
    <w:rsid w:val="000554F9"/>
    <w:rsid w:val="00060489"/>
    <w:rsid w:val="00072BFC"/>
    <w:rsid w:val="000D23FC"/>
    <w:rsid w:val="000E4329"/>
    <w:rsid w:val="000F6F26"/>
    <w:rsid w:val="00103D94"/>
    <w:rsid w:val="00105162"/>
    <w:rsid w:val="001129B6"/>
    <w:rsid w:val="00113720"/>
    <w:rsid w:val="00141EC5"/>
    <w:rsid w:val="00157716"/>
    <w:rsid w:val="00181E11"/>
    <w:rsid w:val="00197E4C"/>
    <w:rsid w:val="001B5E00"/>
    <w:rsid w:val="001C44B4"/>
    <w:rsid w:val="001E096B"/>
    <w:rsid w:val="001E0B01"/>
    <w:rsid w:val="001E1616"/>
    <w:rsid w:val="001E5C79"/>
    <w:rsid w:val="001F6E65"/>
    <w:rsid w:val="00215A5B"/>
    <w:rsid w:val="0022442E"/>
    <w:rsid w:val="00263011"/>
    <w:rsid w:val="002633C0"/>
    <w:rsid w:val="00274346"/>
    <w:rsid w:val="002A0E98"/>
    <w:rsid w:val="002D350B"/>
    <w:rsid w:val="002D5D22"/>
    <w:rsid w:val="002E1D33"/>
    <w:rsid w:val="003015F4"/>
    <w:rsid w:val="00311097"/>
    <w:rsid w:val="003127E3"/>
    <w:rsid w:val="003136A4"/>
    <w:rsid w:val="00314CAF"/>
    <w:rsid w:val="00324E27"/>
    <w:rsid w:val="0033017D"/>
    <w:rsid w:val="003314A2"/>
    <w:rsid w:val="00356A4E"/>
    <w:rsid w:val="00360E1A"/>
    <w:rsid w:val="003827E1"/>
    <w:rsid w:val="00391A6B"/>
    <w:rsid w:val="00395ACF"/>
    <w:rsid w:val="003B44CB"/>
    <w:rsid w:val="003B7F1A"/>
    <w:rsid w:val="00403BFC"/>
    <w:rsid w:val="00410480"/>
    <w:rsid w:val="00413A1F"/>
    <w:rsid w:val="00415C13"/>
    <w:rsid w:val="0043051F"/>
    <w:rsid w:val="00437455"/>
    <w:rsid w:val="0044134B"/>
    <w:rsid w:val="00493936"/>
    <w:rsid w:val="004B3A9B"/>
    <w:rsid w:val="004C7D4E"/>
    <w:rsid w:val="004D6400"/>
    <w:rsid w:val="00504FFB"/>
    <w:rsid w:val="005B6A3D"/>
    <w:rsid w:val="005C319A"/>
    <w:rsid w:val="005D5768"/>
    <w:rsid w:val="005F61D3"/>
    <w:rsid w:val="0060538A"/>
    <w:rsid w:val="006056E7"/>
    <w:rsid w:val="00615265"/>
    <w:rsid w:val="00641B41"/>
    <w:rsid w:val="0064593C"/>
    <w:rsid w:val="00681F87"/>
    <w:rsid w:val="00694306"/>
    <w:rsid w:val="006A1563"/>
    <w:rsid w:val="006C2B64"/>
    <w:rsid w:val="006C2B65"/>
    <w:rsid w:val="006E57AC"/>
    <w:rsid w:val="006F0CAA"/>
    <w:rsid w:val="0073642F"/>
    <w:rsid w:val="007443CD"/>
    <w:rsid w:val="00761B63"/>
    <w:rsid w:val="0077350A"/>
    <w:rsid w:val="007A4803"/>
    <w:rsid w:val="007C37D7"/>
    <w:rsid w:val="008160D8"/>
    <w:rsid w:val="00824209"/>
    <w:rsid w:val="008248D3"/>
    <w:rsid w:val="0086005A"/>
    <w:rsid w:val="00867D13"/>
    <w:rsid w:val="008B59F4"/>
    <w:rsid w:val="008B5BF2"/>
    <w:rsid w:val="008B61E5"/>
    <w:rsid w:val="008B685D"/>
    <w:rsid w:val="008D0DA4"/>
    <w:rsid w:val="008E249B"/>
    <w:rsid w:val="008F6B57"/>
    <w:rsid w:val="009300B3"/>
    <w:rsid w:val="00950A8C"/>
    <w:rsid w:val="0095378E"/>
    <w:rsid w:val="0095762A"/>
    <w:rsid w:val="009820E4"/>
    <w:rsid w:val="00987619"/>
    <w:rsid w:val="00992368"/>
    <w:rsid w:val="00994295"/>
    <w:rsid w:val="00996B7A"/>
    <w:rsid w:val="009A06ED"/>
    <w:rsid w:val="009A3FDB"/>
    <w:rsid w:val="009F6A94"/>
    <w:rsid w:val="009F7D35"/>
    <w:rsid w:val="00A51E4E"/>
    <w:rsid w:val="00A539EA"/>
    <w:rsid w:val="00A70D57"/>
    <w:rsid w:val="00A765D5"/>
    <w:rsid w:val="00A77FED"/>
    <w:rsid w:val="00AE5656"/>
    <w:rsid w:val="00B02654"/>
    <w:rsid w:val="00B2787D"/>
    <w:rsid w:val="00B80D24"/>
    <w:rsid w:val="00B90E05"/>
    <w:rsid w:val="00BA0472"/>
    <w:rsid w:val="00BA1E5F"/>
    <w:rsid w:val="00C213A5"/>
    <w:rsid w:val="00C4153F"/>
    <w:rsid w:val="00C560E8"/>
    <w:rsid w:val="00C82AE2"/>
    <w:rsid w:val="00CA477D"/>
    <w:rsid w:val="00D33414"/>
    <w:rsid w:val="00D33E78"/>
    <w:rsid w:val="00D35F0D"/>
    <w:rsid w:val="00D63A16"/>
    <w:rsid w:val="00DD4F01"/>
    <w:rsid w:val="00DD6A64"/>
    <w:rsid w:val="00DD71DA"/>
    <w:rsid w:val="00DE05D4"/>
    <w:rsid w:val="00DE5BEB"/>
    <w:rsid w:val="00DF130E"/>
    <w:rsid w:val="00E02597"/>
    <w:rsid w:val="00E217B9"/>
    <w:rsid w:val="00E25E3A"/>
    <w:rsid w:val="00E26ED3"/>
    <w:rsid w:val="00E5260A"/>
    <w:rsid w:val="00E7033F"/>
    <w:rsid w:val="00E70FE1"/>
    <w:rsid w:val="00E802BC"/>
    <w:rsid w:val="00EB5FFB"/>
    <w:rsid w:val="00EB7F20"/>
    <w:rsid w:val="00EE687D"/>
    <w:rsid w:val="00F024DE"/>
    <w:rsid w:val="00F068FC"/>
    <w:rsid w:val="00F20861"/>
    <w:rsid w:val="00F62D63"/>
    <w:rsid w:val="00F67EF8"/>
    <w:rsid w:val="00F856C2"/>
    <w:rsid w:val="00F90650"/>
    <w:rsid w:val="00FC01A7"/>
    <w:rsid w:val="00FD0FD5"/>
    <w:rsid w:val="00FD53B3"/>
    <w:rsid w:val="3DE6980C"/>
    <w:rsid w:val="40F7E47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56A4E"/>
    <w:rPr>
      <w:sz w:val="16"/>
      <w:szCs w:val="16"/>
    </w:rPr>
  </w:style>
  <w:style w:type="paragraph" w:styleId="Textocomentario">
    <w:name w:val="annotation text"/>
    <w:basedOn w:val="Normal"/>
    <w:link w:val="TextocomentarioCar"/>
    <w:uiPriority w:val="99"/>
    <w:unhideWhenUsed/>
    <w:rsid w:val="00356A4E"/>
    <w:rPr>
      <w:sz w:val="20"/>
      <w:szCs w:val="20"/>
    </w:rPr>
  </w:style>
  <w:style w:type="character" w:customStyle="1" w:styleId="TextocomentarioCar">
    <w:name w:val="Texto comentario Car"/>
    <w:basedOn w:val="Fuentedeprrafopredeter"/>
    <w:link w:val="Textocomentario"/>
    <w:uiPriority w:val="99"/>
    <w:rsid w:val="00356A4E"/>
    <w:rPr>
      <w:sz w:val="20"/>
      <w:szCs w:val="20"/>
    </w:rPr>
  </w:style>
  <w:style w:type="paragraph" w:styleId="Asuntodelcomentario">
    <w:name w:val="annotation subject"/>
    <w:basedOn w:val="Textocomentario"/>
    <w:next w:val="Textocomentario"/>
    <w:link w:val="AsuntodelcomentarioCar"/>
    <w:uiPriority w:val="99"/>
    <w:semiHidden/>
    <w:unhideWhenUsed/>
    <w:rsid w:val="00356A4E"/>
    <w:rPr>
      <w:b/>
      <w:bCs/>
    </w:rPr>
  </w:style>
  <w:style w:type="character" w:customStyle="1" w:styleId="AsuntodelcomentarioCar">
    <w:name w:val="Asunto del comentario Car"/>
    <w:basedOn w:val="TextocomentarioCar"/>
    <w:link w:val="Asuntodelcomentario"/>
    <w:uiPriority w:val="99"/>
    <w:semiHidden/>
    <w:rsid w:val="00356A4E"/>
    <w:rPr>
      <w:b/>
      <w:bCs/>
      <w:sz w:val="20"/>
      <w:szCs w:val="20"/>
    </w:rPr>
  </w:style>
  <w:style w:type="paragraph" w:styleId="Prrafodelista">
    <w:name w:val="List Paragraph"/>
    <w:basedOn w:val="Normal"/>
    <w:uiPriority w:val="34"/>
    <w:qFormat/>
    <w:rsid w:val="008D0D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193DA9-7773-4836-AF9B-301B31840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3.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2146</Words>
  <Characters>11809</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Juan Pablo Medina Campiño</cp:lastModifiedBy>
  <cp:revision>2</cp:revision>
  <cp:lastPrinted>2025-01-20T16:39:00Z</cp:lastPrinted>
  <dcterms:created xsi:type="dcterms:W3CDTF">2025-05-26T01:42:00Z</dcterms:created>
  <dcterms:modified xsi:type="dcterms:W3CDTF">2025-05-26T01:42:00Z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