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61B0CDC" w:rsidR="00F67EF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17/06/2025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26E8FA5F" w:rsidR="00F67EF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C5B9471" w:rsidR="00F67EF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101F9746" w:rsidR="00F67EF8" w:rsidRPr="00BA1E5F" w:rsidRDefault="00130E32" w:rsidP="00F67EF8">
            <w:pPr>
              <w:spacing w:line="276" w:lineRule="auto"/>
              <w:jc w:val="both"/>
              <w:rPr>
                <w:rFonts w:ascii="Century Gothic" w:hAnsi="Century Gothic"/>
                <w:sz w:val="22"/>
                <w:szCs w:val="22"/>
              </w:rPr>
            </w:pPr>
            <w:r w:rsidRPr="00130E32">
              <w:rPr>
                <w:rFonts w:ascii="Century Gothic" w:hAnsi="Century Gothic"/>
                <w:sz w:val="22"/>
                <w:szCs w:val="22"/>
              </w:rPr>
              <w:t>11089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32FB9B2" w:rsidR="00F67EF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SEGUNDO CIVIL DEL CIRCUITO DE DUITAMA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0A28DF1E" w:rsidR="00F67EF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TUNJA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68AA659" w:rsidR="00992368" w:rsidRPr="00BA1E5F" w:rsidRDefault="00130E32" w:rsidP="00F67EF8">
            <w:pPr>
              <w:spacing w:line="276" w:lineRule="auto"/>
              <w:jc w:val="both"/>
              <w:rPr>
                <w:rFonts w:ascii="Century Gothic" w:hAnsi="Century Gothic"/>
                <w:sz w:val="22"/>
                <w:szCs w:val="22"/>
              </w:rPr>
            </w:pPr>
            <w:r w:rsidRPr="00130E32">
              <w:rPr>
                <w:rFonts w:ascii="Century Gothic" w:hAnsi="Century Gothic"/>
                <w:sz w:val="22"/>
                <w:szCs w:val="22"/>
              </w:rPr>
              <w:t>15238310300220250002800</w:t>
            </w:r>
            <w:r w:rsidR="00E968CB">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8820089" w:rsidR="0099236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MAYO 14 DE 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16D91A49" w:rsidR="00992368" w:rsidRPr="00BA1E5F" w:rsidRDefault="00130E32" w:rsidP="00F67EF8">
            <w:pPr>
              <w:spacing w:line="276" w:lineRule="auto"/>
              <w:jc w:val="both"/>
              <w:rPr>
                <w:rFonts w:ascii="Century Gothic" w:hAnsi="Century Gothic"/>
                <w:sz w:val="22"/>
                <w:szCs w:val="22"/>
              </w:rPr>
            </w:pPr>
            <w:r>
              <w:rPr>
                <w:rFonts w:ascii="Century Gothic" w:hAnsi="Century Gothic"/>
                <w:sz w:val="22"/>
                <w:szCs w:val="22"/>
              </w:rPr>
              <w:t>16 DE JUNIO DE 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3E46FA69" w14:textId="77777777" w:rsidR="00B2787D" w:rsidRPr="00BA1E5F" w:rsidRDefault="00B2787D" w:rsidP="00130E32">
            <w:pPr>
              <w:spacing w:line="276" w:lineRule="auto"/>
              <w:rPr>
                <w:rFonts w:ascii="Century Gothic" w:hAnsi="Century Gothic"/>
                <w:sz w:val="22"/>
                <w:szCs w:val="22"/>
              </w:rPr>
            </w:pPr>
          </w:p>
          <w:p w14:paraId="3957AEE1" w14:textId="77777777" w:rsidR="00130E32" w:rsidRDefault="00130E32" w:rsidP="00130E32">
            <w:pPr>
              <w:numPr>
                <w:ilvl w:val="0"/>
                <w:numId w:val="7"/>
              </w:numPr>
              <w:spacing w:line="276" w:lineRule="auto"/>
              <w:jc w:val="both"/>
              <w:rPr>
                <w:rFonts w:ascii="Century Gothic" w:hAnsi="Century Gothic"/>
                <w:sz w:val="22"/>
                <w:szCs w:val="22"/>
                <w:lang w:val="es-CO"/>
              </w:rPr>
            </w:pPr>
            <w:r w:rsidRPr="00130E32">
              <w:rPr>
                <w:rFonts w:ascii="Century Gothic" w:hAnsi="Century Gothic"/>
                <w:sz w:val="22"/>
                <w:szCs w:val="22"/>
                <w:lang w:val="es-CO"/>
              </w:rPr>
              <w:t>El día 6 de marzo de 2022, aproximadamente a las 16:00 horas, el señor Justo Pastor Echeverría Higuera se encontraba trasladándose en bicicleta por la vía Tunja – Duitama, a la altura del kilómetro 39+100, en jurisdicción del municipio de Duitama.</w:t>
            </w:r>
          </w:p>
          <w:p w14:paraId="1DD8B515" w14:textId="77777777" w:rsidR="006A45A3" w:rsidRPr="00130E32" w:rsidRDefault="006A45A3" w:rsidP="006A45A3">
            <w:pPr>
              <w:spacing w:line="276" w:lineRule="auto"/>
              <w:ind w:left="720"/>
              <w:jc w:val="both"/>
              <w:rPr>
                <w:rFonts w:ascii="Century Gothic" w:hAnsi="Century Gothic"/>
                <w:sz w:val="22"/>
                <w:szCs w:val="22"/>
                <w:lang w:val="es-CO"/>
              </w:rPr>
            </w:pPr>
          </w:p>
          <w:p w14:paraId="73DCC6E6" w14:textId="77777777" w:rsidR="00130E32" w:rsidRDefault="00130E32" w:rsidP="00130E32">
            <w:pPr>
              <w:numPr>
                <w:ilvl w:val="0"/>
                <w:numId w:val="8"/>
              </w:numPr>
              <w:spacing w:line="276" w:lineRule="auto"/>
              <w:jc w:val="both"/>
              <w:rPr>
                <w:rFonts w:ascii="Century Gothic" w:hAnsi="Century Gothic"/>
                <w:sz w:val="22"/>
                <w:szCs w:val="22"/>
                <w:lang w:val="es-CO"/>
              </w:rPr>
            </w:pPr>
            <w:r w:rsidRPr="00130E32">
              <w:rPr>
                <w:rFonts w:ascii="Century Gothic" w:hAnsi="Century Gothic"/>
                <w:sz w:val="22"/>
                <w:szCs w:val="22"/>
                <w:lang w:val="es-CO"/>
              </w:rPr>
              <w:t>El lugar del hecho corresponde a una vía de doble calzada por sentido, con separador central compuesto por cemento y vegetación. Es un punto con pasos peatonales y frecuente presencia de ciclistas.</w:t>
            </w:r>
          </w:p>
          <w:p w14:paraId="451A0997" w14:textId="77777777" w:rsidR="006A45A3" w:rsidRPr="00130E32" w:rsidRDefault="006A45A3" w:rsidP="006A45A3">
            <w:pPr>
              <w:spacing w:line="276" w:lineRule="auto"/>
              <w:ind w:left="720"/>
              <w:jc w:val="both"/>
              <w:rPr>
                <w:rFonts w:ascii="Century Gothic" w:hAnsi="Century Gothic"/>
                <w:sz w:val="22"/>
                <w:szCs w:val="22"/>
                <w:lang w:val="es-CO"/>
              </w:rPr>
            </w:pPr>
          </w:p>
          <w:p w14:paraId="77C76B99" w14:textId="77777777" w:rsidR="00130E32" w:rsidRDefault="00130E32" w:rsidP="00130E32">
            <w:pPr>
              <w:numPr>
                <w:ilvl w:val="0"/>
                <w:numId w:val="9"/>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En el momento en que cruzaba la vía, el señor Echeverría Higuera colisionó con un vehículo marca Kia </w:t>
            </w:r>
            <w:proofErr w:type="spellStart"/>
            <w:r w:rsidRPr="00130E32">
              <w:rPr>
                <w:rFonts w:ascii="Century Gothic" w:hAnsi="Century Gothic"/>
                <w:sz w:val="22"/>
                <w:szCs w:val="22"/>
                <w:lang w:val="es-CO"/>
              </w:rPr>
              <w:t>Picanto</w:t>
            </w:r>
            <w:proofErr w:type="spellEnd"/>
            <w:r w:rsidRPr="00130E32">
              <w:rPr>
                <w:rFonts w:ascii="Century Gothic" w:hAnsi="Century Gothic"/>
                <w:sz w:val="22"/>
                <w:szCs w:val="22"/>
                <w:lang w:val="es-CO"/>
              </w:rPr>
              <w:t xml:space="preserve">, placas IAN895, conducido por el señor </w:t>
            </w:r>
            <w:proofErr w:type="spellStart"/>
            <w:r w:rsidRPr="00130E32">
              <w:rPr>
                <w:rFonts w:ascii="Century Gothic" w:hAnsi="Century Gothic"/>
                <w:sz w:val="22"/>
                <w:szCs w:val="22"/>
                <w:lang w:val="es-CO"/>
              </w:rPr>
              <w:t>Esfrit</w:t>
            </w:r>
            <w:proofErr w:type="spellEnd"/>
            <w:r w:rsidRPr="00130E32">
              <w:rPr>
                <w:rFonts w:ascii="Century Gothic" w:hAnsi="Century Gothic"/>
                <w:sz w:val="22"/>
                <w:szCs w:val="22"/>
                <w:lang w:val="es-CO"/>
              </w:rPr>
              <w:t xml:space="preserve"> Alexander Fonseca Rodríguez. El vehículo era de propiedad de la señora Rosalba Rodríguez </w:t>
            </w:r>
            <w:proofErr w:type="spellStart"/>
            <w:r w:rsidRPr="00130E32">
              <w:rPr>
                <w:rFonts w:ascii="Century Gothic" w:hAnsi="Century Gothic"/>
                <w:sz w:val="22"/>
                <w:szCs w:val="22"/>
                <w:lang w:val="es-CO"/>
              </w:rPr>
              <w:t>Rodríguez</w:t>
            </w:r>
            <w:proofErr w:type="spellEnd"/>
            <w:r w:rsidRPr="00130E32">
              <w:rPr>
                <w:rFonts w:ascii="Century Gothic" w:hAnsi="Century Gothic"/>
                <w:sz w:val="22"/>
                <w:szCs w:val="22"/>
                <w:lang w:val="es-CO"/>
              </w:rPr>
              <w:t>.</w:t>
            </w:r>
          </w:p>
          <w:p w14:paraId="69712189" w14:textId="77777777" w:rsidR="006A45A3" w:rsidRPr="00130E32" w:rsidRDefault="006A45A3" w:rsidP="006A45A3">
            <w:pPr>
              <w:spacing w:line="276" w:lineRule="auto"/>
              <w:ind w:left="720"/>
              <w:jc w:val="both"/>
              <w:rPr>
                <w:rFonts w:ascii="Century Gothic" w:hAnsi="Century Gothic"/>
                <w:sz w:val="22"/>
                <w:szCs w:val="22"/>
                <w:lang w:val="es-CO"/>
              </w:rPr>
            </w:pPr>
          </w:p>
          <w:p w14:paraId="3877CB23" w14:textId="34207ADC" w:rsidR="00130E32" w:rsidRDefault="00130E32" w:rsidP="00130E32">
            <w:pPr>
              <w:numPr>
                <w:ilvl w:val="0"/>
                <w:numId w:val="10"/>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El señor Justo Pastor Echeverría Higuera falleció el 20 de mayo de 2022 a las 10:24 horas en las instalaciones de </w:t>
            </w:r>
            <w:r w:rsidR="00C356C2" w:rsidRPr="00130E32">
              <w:rPr>
                <w:rFonts w:ascii="Century Gothic" w:hAnsi="Century Gothic"/>
                <w:sz w:val="22"/>
                <w:szCs w:val="22"/>
                <w:lang w:val="es-CO"/>
              </w:rPr>
              <w:t>la Sociedad</w:t>
            </w:r>
            <w:r w:rsidRPr="00130E32">
              <w:rPr>
                <w:rFonts w:ascii="Century Gothic" w:hAnsi="Century Gothic"/>
                <w:sz w:val="22"/>
                <w:szCs w:val="22"/>
                <w:lang w:val="es-CO"/>
              </w:rPr>
              <w:t xml:space="preserve"> de Enfermeras Profesionales – SEP en Bogotá</w:t>
            </w:r>
            <w:r w:rsidR="006A45A3">
              <w:rPr>
                <w:rFonts w:ascii="Century Gothic" w:hAnsi="Century Gothic"/>
                <w:sz w:val="22"/>
                <w:szCs w:val="22"/>
                <w:lang w:val="es-CO"/>
              </w:rPr>
              <w:t>.</w:t>
            </w:r>
          </w:p>
          <w:p w14:paraId="312DF224" w14:textId="77777777" w:rsidR="006A45A3" w:rsidRPr="00130E32" w:rsidRDefault="006A45A3" w:rsidP="006A45A3">
            <w:pPr>
              <w:spacing w:line="276" w:lineRule="auto"/>
              <w:ind w:left="720"/>
              <w:jc w:val="both"/>
              <w:rPr>
                <w:rFonts w:ascii="Century Gothic" w:hAnsi="Century Gothic"/>
                <w:sz w:val="22"/>
                <w:szCs w:val="22"/>
                <w:lang w:val="es-CO"/>
              </w:rPr>
            </w:pPr>
          </w:p>
          <w:p w14:paraId="66B8CF9C" w14:textId="77777777" w:rsidR="00130E32" w:rsidRDefault="00130E32" w:rsidP="00130E32">
            <w:pPr>
              <w:numPr>
                <w:ilvl w:val="0"/>
                <w:numId w:val="11"/>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El Instituto de Medicina Legal elaboró el Informe Pericial de Necropsia </w:t>
            </w:r>
            <w:proofErr w:type="spellStart"/>
            <w:r w:rsidRPr="00130E32">
              <w:rPr>
                <w:rFonts w:ascii="Century Gothic" w:hAnsi="Century Gothic"/>
                <w:sz w:val="22"/>
                <w:szCs w:val="22"/>
                <w:lang w:val="es-CO"/>
              </w:rPr>
              <w:t>N.°</w:t>
            </w:r>
            <w:proofErr w:type="spellEnd"/>
            <w:r w:rsidRPr="00130E32">
              <w:rPr>
                <w:rFonts w:ascii="Century Gothic" w:hAnsi="Century Gothic"/>
                <w:sz w:val="22"/>
                <w:szCs w:val="22"/>
                <w:lang w:val="es-CO"/>
              </w:rPr>
              <w:t xml:space="preserve"> 2022010111001001661, en el cual se consignó como causa de muerte un politraumatismo en evento de tránsito y como manera de muerte, violenta.</w:t>
            </w:r>
          </w:p>
          <w:p w14:paraId="392F7A2B" w14:textId="77777777" w:rsidR="006A45A3" w:rsidRPr="00130E32" w:rsidRDefault="006A45A3" w:rsidP="006A45A3">
            <w:pPr>
              <w:spacing w:line="276" w:lineRule="auto"/>
              <w:ind w:left="720"/>
              <w:jc w:val="both"/>
              <w:rPr>
                <w:rFonts w:ascii="Century Gothic" w:hAnsi="Century Gothic"/>
                <w:sz w:val="22"/>
                <w:szCs w:val="22"/>
                <w:lang w:val="es-CO"/>
              </w:rPr>
            </w:pPr>
          </w:p>
          <w:p w14:paraId="5B0181F7" w14:textId="77777777" w:rsidR="00130E32" w:rsidRPr="00130E32" w:rsidRDefault="00130E32" w:rsidP="00130E32">
            <w:pPr>
              <w:numPr>
                <w:ilvl w:val="0"/>
                <w:numId w:val="12"/>
              </w:numPr>
              <w:spacing w:line="276" w:lineRule="auto"/>
              <w:jc w:val="both"/>
              <w:rPr>
                <w:rFonts w:ascii="Century Gothic" w:hAnsi="Century Gothic"/>
                <w:sz w:val="22"/>
                <w:szCs w:val="22"/>
                <w:lang w:val="es-CO"/>
              </w:rPr>
            </w:pPr>
            <w:r w:rsidRPr="00130E32">
              <w:rPr>
                <w:rFonts w:ascii="Century Gothic" w:hAnsi="Century Gothic"/>
                <w:sz w:val="22"/>
                <w:szCs w:val="22"/>
                <w:lang w:val="es-CO"/>
              </w:rPr>
              <w:lastRenderedPageBreak/>
              <w:t>El lugar del accidente es una zona donde confluyen vías veredales y principales, lo que genera tránsito mixto de vehículos, peatones y ciclistas.</w:t>
            </w:r>
          </w:p>
          <w:p w14:paraId="285181BA" w14:textId="77777777" w:rsidR="00B2787D" w:rsidRPr="00BA1E5F" w:rsidRDefault="00B2787D" w:rsidP="00130E32">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3380385A" w14:textId="77777777" w:rsidR="00130E32" w:rsidRDefault="00130E32" w:rsidP="00130E32">
            <w:pPr>
              <w:numPr>
                <w:ilvl w:val="0"/>
                <w:numId w:val="13"/>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Se declare la responsabilidad civil extracontractual del conductor </w:t>
            </w:r>
            <w:proofErr w:type="spellStart"/>
            <w:r w:rsidRPr="00130E32">
              <w:rPr>
                <w:rFonts w:ascii="Century Gothic" w:hAnsi="Century Gothic"/>
                <w:sz w:val="22"/>
                <w:szCs w:val="22"/>
                <w:lang w:val="es-CO"/>
              </w:rPr>
              <w:t>Esfrit</w:t>
            </w:r>
            <w:proofErr w:type="spellEnd"/>
            <w:r w:rsidRPr="00130E32">
              <w:rPr>
                <w:rFonts w:ascii="Century Gothic" w:hAnsi="Century Gothic"/>
                <w:sz w:val="22"/>
                <w:szCs w:val="22"/>
                <w:lang w:val="es-CO"/>
              </w:rPr>
              <w:t xml:space="preserve"> Alexander Fonseca Rodríguez por el fallecimiento del señor Justo Pastor Echeverría Higuera, ocurrido el 6 de marzo de 2022.</w:t>
            </w:r>
          </w:p>
          <w:p w14:paraId="4875FFB6" w14:textId="77777777" w:rsidR="006A45A3" w:rsidRPr="00130E32" w:rsidRDefault="006A45A3" w:rsidP="006A45A3">
            <w:pPr>
              <w:spacing w:line="276" w:lineRule="auto"/>
              <w:ind w:left="720"/>
              <w:jc w:val="both"/>
              <w:rPr>
                <w:rFonts w:ascii="Century Gothic" w:hAnsi="Century Gothic"/>
                <w:sz w:val="22"/>
                <w:szCs w:val="22"/>
                <w:lang w:val="es-CO"/>
              </w:rPr>
            </w:pPr>
          </w:p>
          <w:p w14:paraId="58FEA5D7" w14:textId="77777777" w:rsidR="00130E32" w:rsidRDefault="00130E32" w:rsidP="00130E32">
            <w:pPr>
              <w:numPr>
                <w:ilvl w:val="0"/>
                <w:numId w:val="14"/>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Se declare la responsabilidad solidaria de Rosalba Rodríguez </w:t>
            </w:r>
            <w:proofErr w:type="spellStart"/>
            <w:r w:rsidRPr="00130E32">
              <w:rPr>
                <w:rFonts w:ascii="Century Gothic" w:hAnsi="Century Gothic"/>
                <w:sz w:val="22"/>
                <w:szCs w:val="22"/>
                <w:lang w:val="es-CO"/>
              </w:rPr>
              <w:t>Rodríguez</w:t>
            </w:r>
            <w:proofErr w:type="spellEnd"/>
            <w:r w:rsidRPr="00130E32">
              <w:rPr>
                <w:rFonts w:ascii="Century Gothic" w:hAnsi="Century Gothic"/>
                <w:sz w:val="22"/>
                <w:szCs w:val="22"/>
                <w:lang w:val="es-CO"/>
              </w:rPr>
              <w:t>, propietaria del vehículo involucrado (placas IAN895), y La Equidad Seguros Generales, aseguradora del vehículo.</w:t>
            </w:r>
          </w:p>
          <w:p w14:paraId="2F4A0E0F" w14:textId="77777777" w:rsidR="006A45A3" w:rsidRPr="00130E32" w:rsidRDefault="006A45A3" w:rsidP="006A45A3">
            <w:pPr>
              <w:spacing w:line="276" w:lineRule="auto"/>
              <w:ind w:left="720"/>
              <w:jc w:val="both"/>
              <w:rPr>
                <w:rFonts w:ascii="Century Gothic" w:hAnsi="Century Gothic"/>
                <w:sz w:val="22"/>
                <w:szCs w:val="22"/>
                <w:lang w:val="es-CO"/>
              </w:rPr>
            </w:pPr>
          </w:p>
          <w:p w14:paraId="3C2D1E72" w14:textId="77777777" w:rsidR="00130E32" w:rsidRDefault="00130E32" w:rsidP="00130E32">
            <w:pPr>
              <w:numPr>
                <w:ilvl w:val="0"/>
                <w:numId w:val="15"/>
              </w:numPr>
              <w:spacing w:line="276" w:lineRule="auto"/>
              <w:jc w:val="both"/>
              <w:rPr>
                <w:rFonts w:ascii="Century Gothic" w:hAnsi="Century Gothic"/>
                <w:sz w:val="22"/>
                <w:szCs w:val="22"/>
                <w:lang w:val="es-CO"/>
              </w:rPr>
            </w:pPr>
            <w:r w:rsidRPr="00130E32">
              <w:rPr>
                <w:rFonts w:ascii="Century Gothic" w:hAnsi="Century Gothic"/>
                <w:sz w:val="22"/>
                <w:szCs w:val="22"/>
                <w:lang w:val="es-CO"/>
              </w:rPr>
              <w:t>Se condene solidariamente al pago de perjuicios morales por valor de $72.000.000 COP para cada uno de los siguientes demandantes, por un total de $648.000.000 COP:</w:t>
            </w:r>
          </w:p>
          <w:p w14:paraId="395DDB29" w14:textId="77777777" w:rsidR="006A45A3" w:rsidRPr="00130E32" w:rsidRDefault="006A45A3" w:rsidP="006A45A3">
            <w:pPr>
              <w:spacing w:line="276" w:lineRule="auto"/>
              <w:ind w:left="720"/>
              <w:jc w:val="both"/>
              <w:rPr>
                <w:rFonts w:ascii="Century Gothic" w:hAnsi="Century Gothic"/>
                <w:sz w:val="22"/>
                <w:szCs w:val="22"/>
                <w:lang w:val="es-CO"/>
              </w:rPr>
            </w:pPr>
          </w:p>
          <w:p w14:paraId="29F5C020" w14:textId="77777777" w:rsidR="00130E32" w:rsidRDefault="00130E32" w:rsidP="00130E32">
            <w:pPr>
              <w:numPr>
                <w:ilvl w:val="1"/>
                <w:numId w:val="16"/>
              </w:numPr>
              <w:spacing w:line="276" w:lineRule="auto"/>
              <w:jc w:val="both"/>
              <w:rPr>
                <w:rFonts w:ascii="Century Gothic" w:hAnsi="Century Gothic"/>
                <w:sz w:val="22"/>
                <w:szCs w:val="22"/>
                <w:lang w:val="es-CO"/>
              </w:rPr>
            </w:pPr>
            <w:r w:rsidRPr="00130E32">
              <w:rPr>
                <w:rFonts w:ascii="Century Gothic" w:hAnsi="Century Gothic"/>
                <w:sz w:val="22"/>
                <w:szCs w:val="22"/>
                <w:lang w:val="es-CO"/>
              </w:rPr>
              <w:t>La esposa del fallecido: Ana Agripina Salamanca de Echeverría.</w:t>
            </w:r>
          </w:p>
          <w:p w14:paraId="6994A048" w14:textId="77777777" w:rsidR="006A45A3" w:rsidRPr="00130E32" w:rsidRDefault="006A45A3" w:rsidP="006A45A3">
            <w:pPr>
              <w:spacing w:line="276" w:lineRule="auto"/>
              <w:ind w:left="1440"/>
              <w:jc w:val="both"/>
              <w:rPr>
                <w:rFonts w:ascii="Century Gothic" w:hAnsi="Century Gothic"/>
                <w:sz w:val="22"/>
                <w:szCs w:val="22"/>
                <w:lang w:val="es-CO"/>
              </w:rPr>
            </w:pPr>
          </w:p>
          <w:p w14:paraId="53D854C1" w14:textId="77777777" w:rsidR="00130E32" w:rsidRDefault="00130E32" w:rsidP="00130E32">
            <w:pPr>
              <w:numPr>
                <w:ilvl w:val="1"/>
                <w:numId w:val="17"/>
              </w:numPr>
              <w:spacing w:line="276" w:lineRule="auto"/>
              <w:jc w:val="both"/>
              <w:rPr>
                <w:rFonts w:ascii="Century Gothic" w:hAnsi="Century Gothic"/>
                <w:sz w:val="22"/>
                <w:szCs w:val="22"/>
                <w:lang w:val="es-CO"/>
              </w:rPr>
            </w:pPr>
            <w:r w:rsidRPr="00130E32">
              <w:rPr>
                <w:rFonts w:ascii="Century Gothic" w:hAnsi="Century Gothic"/>
                <w:sz w:val="22"/>
                <w:szCs w:val="22"/>
                <w:lang w:val="es-CO"/>
              </w:rPr>
              <w:t xml:space="preserve">Los hijos: Ana Isabel, María Yaneth, Olga Lucía, Rubén Darío, Nohora Inés, </w:t>
            </w:r>
            <w:proofErr w:type="spellStart"/>
            <w:r w:rsidRPr="00130E32">
              <w:rPr>
                <w:rFonts w:ascii="Century Gothic" w:hAnsi="Century Gothic"/>
                <w:sz w:val="22"/>
                <w:szCs w:val="22"/>
                <w:lang w:val="es-CO"/>
              </w:rPr>
              <w:t>Deicy</w:t>
            </w:r>
            <w:proofErr w:type="spellEnd"/>
            <w:r w:rsidRPr="00130E32">
              <w:rPr>
                <w:rFonts w:ascii="Century Gothic" w:hAnsi="Century Gothic"/>
                <w:sz w:val="22"/>
                <w:szCs w:val="22"/>
                <w:lang w:val="es-CO"/>
              </w:rPr>
              <w:t xml:space="preserve"> </w:t>
            </w:r>
            <w:proofErr w:type="spellStart"/>
            <w:r w:rsidRPr="00130E32">
              <w:rPr>
                <w:rFonts w:ascii="Century Gothic" w:hAnsi="Century Gothic"/>
                <w:sz w:val="22"/>
                <w:szCs w:val="22"/>
                <w:lang w:val="es-CO"/>
              </w:rPr>
              <w:t>Nataly</w:t>
            </w:r>
            <w:proofErr w:type="spellEnd"/>
            <w:r w:rsidRPr="00130E32">
              <w:rPr>
                <w:rFonts w:ascii="Century Gothic" w:hAnsi="Century Gothic"/>
                <w:sz w:val="22"/>
                <w:szCs w:val="22"/>
                <w:lang w:val="es-CO"/>
              </w:rPr>
              <w:t>, Justo Pastor y Justo Fernando Echeverría.</w:t>
            </w:r>
          </w:p>
          <w:p w14:paraId="77A6FE75" w14:textId="77777777" w:rsidR="006A45A3" w:rsidRPr="00130E32" w:rsidRDefault="006A45A3" w:rsidP="006A45A3">
            <w:pPr>
              <w:spacing w:line="276" w:lineRule="auto"/>
              <w:ind w:left="1440"/>
              <w:jc w:val="both"/>
              <w:rPr>
                <w:rFonts w:ascii="Century Gothic" w:hAnsi="Century Gothic"/>
                <w:sz w:val="22"/>
                <w:szCs w:val="22"/>
                <w:lang w:val="es-CO"/>
              </w:rPr>
            </w:pPr>
          </w:p>
          <w:p w14:paraId="2D3854BE" w14:textId="77777777" w:rsidR="00130E32" w:rsidRDefault="00130E32" w:rsidP="00130E32">
            <w:pPr>
              <w:numPr>
                <w:ilvl w:val="0"/>
                <w:numId w:val="18"/>
              </w:numPr>
              <w:spacing w:line="276" w:lineRule="auto"/>
              <w:jc w:val="both"/>
              <w:rPr>
                <w:rFonts w:ascii="Century Gothic" w:hAnsi="Century Gothic"/>
                <w:sz w:val="22"/>
                <w:szCs w:val="22"/>
                <w:lang w:val="es-CO"/>
              </w:rPr>
            </w:pPr>
            <w:r w:rsidRPr="00130E32">
              <w:rPr>
                <w:rFonts w:ascii="Century Gothic" w:hAnsi="Century Gothic"/>
                <w:sz w:val="22"/>
                <w:szCs w:val="22"/>
                <w:lang w:val="es-CO"/>
              </w:rPr>
              <w:t>Se condene solidariamente al pago de perjuicios materiales (lucro cesante) en favor de la esposa de la víctima, Ana Agripina Salamanca de Echeverría, por un total de $67.594.650 COP, discriminado así:</w:t>
            </w:r>
          </w:p>
          <w:p w14:paraId="7A407834" w14:textId="77777777" w:rsidR="006A45A3" w:rsidRPr="00130E32" w:rsidRDefault="006A45A3" w:rsidP="006A45A3">
            <w:pPr>
              <w:spacing w:line="276" w:lineRule="auto"/>
              <w:ind w:left="720"/>
              <w:jc w:val="both"/>
              <w:rPr>
                <w:rFonts w:ascii="Century Gothic" w:hAnsi="Century Gothic"/>
                <w:sz w:val="22"/>
                <w:szCs w:val="22"/>
                <w:lang w:val="es-CO"/>
              </w:rPr>
            </w:pPr>
          </w:p>
          <w:p w14:paraId="6517D4B0" w14:textId="77777777" w:rsidR="00130E32" w:rsidRPr="00130E32" w:rsidRDefault="00130E32" w:rsidP="00130E32">
            <w:pPr>
              <w:numPr>
                <w:ilvl w:val="1"/>
                <w:numId w:val="19"/>
              </w:numPr>
              <w:spacing w:line="276" w:lineRule="auto"/>
              <w:jc w:val="both"/>
              <w:rPr>
                <w:rFonts w:ascii="Century Gothic" w:hAnsi="Century Gothic"/>
                <w:sz w:val="22"/>
                <w:szCs w:val="22"/>
                <w:lang w:val="es-CO"/>
              </w:rPr>
            </w:pPr>
            <w:r w:rsidRPr="00130E32">
              <w:rPr>
                <w:rFonts w:ascii="Century Gothic" w:hAnsi="Century Gothic"/>
                <w:sz w:val="22"/>
                <w:szCs w:val="22"/>
                <w:lang w:val="es-CO"/>
              </w:rPr>
              <w:t>Lucro cesante consolidado: $17.844.650 COP.</w:t>
            </w:r>
          </w:p>
          <w:p w14:paraId="11B57CBF" w14:textId="5C41874D" w:rsidR="007C37D7" w:rsidRPr="00130E32" w:rsidRDefault="00130E32" w:rsidP="00130E32">
            <w:pPr>
              <w:numPr>
                <w:ilvl w:val="1"/>
                <w:numId w:val="20"/>
              </w:numPr>
              <w:spacing w:line="276" w:lineRule="auto"/>
              <w:jc w:val="both"/>
              <w:rPr>
                <w:rFonts w:ascii="Century Gothic" w:hAnsi="Century Gothic"/>
                <w:sz w:val="22"/>
                <w:szCs w:val="22"/>
                <w:lang w:val="es-CO"/>
              </w:rPr>
            </w:pPr>
            <w:r w:rsidRPr="00130E32">
              <w:rPr>
                <w:rFonts w:ascii="Century Gothic" w:hAnsi="Century Gothic"/>
                <w:sz w:val="22"/>
                <w:szCs w:val="22"/>
                <w:lang w:val="es-CO"/>
              </w:rPr>
              <w:t>Lucro cesante futuro: $49.750.000 COP.</w:t>
            </w:r>
          </w:p>
          <w:p w14:paraId="0CFD4ACC" w14:textId="77777777" w:rsidR="00FD53B3" w:rsidRPr="00BA1E5F" w:rsidRDefault="00FD53B3" w:rsidP="00130E32">
            <w:pPr>
              <w:spacing w:line="276" w:lineRule="auto"/>
              <w:jc w:val="both"/>
              <w:rPr>
                <w:rFonts w:ascii="Century Gothic" w:hAnsi="Century Gothic"/>
                <w:sz w:val="22"/>
                <w:szCs w:val="22"/>
              </w:rPr>
            </w:pPr>
          </w:p>
          <w:p w14:paraId="77C06868" w14:textId="77777777" w:rsidR="00FD53B3" w:rsidRPr="00BA1E5F" w:rsidRDefault="00FD53B3" w:rsidP="00130E32">
            <w:pPr>
              <w:spacing w:line="276" w:lineRule="auto"/>
              <w:jc w:val="both"/>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0A92B4A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527420" w:rsidRPr="00527420">
              <w:rPr>
                <w:rFonts w:ascii="Century Gothic" w:hAnsi="Century Gothic"/>
                <w:sz w:val="22"/>
                <w:szCs w:val="22"/>
                <w:lang w:val="es-CO"/>
              </w:rPr>
              <w:t>1.420.042.782</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1EA04D70"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E952BF" w:rsidRPr="00E952BF">
              <w:rPr>
                <w:rFonts w:ascii="Century Gothic" w:hAnsi="Century Gothic"/>
                <w:sz w:val="22"/>
                <w:szCs w:val="22"/>
              </w:rPr>
              <w:t>786.892.782</w:t>
            </w:r>
          </w:p>
        </w:tc>
      </w:tr>
    </w:tbl>
    <w:p w14:paraId="146E9C6D" w14:textId="77777777" w:rsidR="0095378E" w:rsidRDefault="0095378E"/>
    <w:p w14:paraId="22A35C2A" w14:textId="77777777" w:rsidR="006A45A3" w:rsidRDefault="006A45A3"/>
    <w:p w14:paraId="353D1119" w14:textId="77777777" w:rsidR="006A45A3" w:rsidRDefault="006A45A3"/>
    <w:p w14:paraId="76301875" w14:textId="77777777" w:rsidR="006A45A3" w:rsidRDefault="006A45A3"/>
    <w:p w14:paraId="32BC4A80" w14:textId="77777777" w:rsidR="006A45A3" w:rsidRDefault="006A45A3"/>
    <w:p w14:paraId="4259E053" w14:textId="77777777" w:rsidR="006A45A3" w:rsidRDefault="006A45A3"/>
    <w:p w14:paraId="47BEC038" w14:textId="77777777" w:rsidR="006A45A3" w:rsidRDefault="006A45A3"/>
    <w:p w14:paraId="03D4481C" w14:textId="77777777" w:rsidR="006A45A3" w:rsidRDefault="006A45A3"/>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0095378E">
        <w:trPr>
          <w:trHeight w:val="6406"/>
        </w:trPr>
        <w:tc>
          <w:tcPr>
            <w:tcW w:w="10191" w:type="dxa"/>
            <w:vAlign w:val="center"/>
          </w:tcPr>
          <w:p w14:paraId="7D8FBF5E" w14:textId="2C19DB23" w:rsidR="00920CC9" w:rsidRPr="00C356C2" w:rsidRDefault="00920CC9" w:rsidP="00920CC9">
            <w:pPr>
              <w:jc w:val="both"/>
              <w:rPr>
                <w:rFonts w:ascii="Century Gothic" w:hAnsi="Century Gothic"/>
                <w:sz w:val="22"/>
                <w:szCs w:val="22"/>
                <w:lang w:val="es-CO"/>
              </w:rPr>
            </w:pPr>
            <w:r w:rsidRPr="00C356C2">
              <w:rPr>
                <w:rFonts w:ascii="Century Gothic" w:hAnsi="Century Gothic"/>
                <w:sz w:val="22"/>
                <w:szCs w:val="22"/>
                <w:lang w:val="es-CO"/>
              </w:rPr>
              <w:t>Como liquidación objetiva de pretensiones se llegó a la suma de</w:t>
            </w:r>
            <w:r w:rsidR="00087837">
              <w:rPr>
                <w:rFonts w:ascii="Century Gothic" w:hAnsi="Century Gothic"/>
                <w:sz w:val="22"/>
                <w:szCs w:val="22"/>
                <w:lang w:val="es-CO"/>
              </w:rPr>
              <w:t xml:space="preserve"> </w:t>
            </w:r>
            <w:r w:rsidR="00087837" w:rsidRPr="00087837">
              <w:rPr>
                <w:rFonts w:ascii="Century Gothic" w:hAnsi="Century Gothic"/>
                <w:b/>
                <w:bCs/>
                <w:sz w:val="22"/>
                <w:szCs w:val="22"/>
                <w:lang w:val="es-CO"/>
              </w:rPr>
              <w:t>$</w:t>
            </w:r>
            <w:r w:rsidR="00E952BF" w:rsidRPr="00E952BF">
              <w:rPr>
                <w:rFonts w:ascii="Century Gothic" w:hAnsi="Century Gothic"/>
                <w:b/>
                <w:bCs/>
                <w:sz w:val="22"/>
                <w:szCs w:val="22"/>
                <w:lang w:val="es-CO"/>
              </w:rPr>
              <w:t>786.892.782</w:t>
            </w:r>
            <w:r w:rsidRPr="00C356C2">
              <w:rPr>
                <w:rFonts w:ascii="Century Gothic" w:hAnsi="Century Gothic"/>
                <w:sz w:val="22"/>
                <w:szCs w:val="22"/>
                <w:lang w:val="es-CO"/>
              </w:rPr>
              <w:t>. Lo anterior, con base en los siguientes argumentos fácticos y jurídicos:</w:t>
            </w:r>
          </w:p>
          <w:p w14:paraId="4051C181" w14:textId="711220D7" w:rsidR="00920CC9" w:rsidRPr="00C356C2" w:rsidRDefault="00920CC9" w:rsidP="00C356C2">
            <w:pPr>
              <w:pStyle w:val="Prrafodelista"/>
              <w:jc w:val="both"/>
              <w:rPr>
                <w:rFonts w:ascii="Century Gothic" w:hAnsi="Century Gothic"/>
                <w:sz w:val="22"/>
                <w:szCs w:val="22"/>
                <w:lang w:val="es-CO"/>
              </w:rPr>
            </w:pPr>
            <w:r w:rsidRPr="00C356C2">
              <w:rPr>
                <w:rFonts w:ascii="Century Gothic" w:hAnsi="Century Gothic"/>
                <w:sz w:val="22"/>
                <w:szCs w:val="22"/>
                <w:lang w:val="es-CO"/>
              </w:rPr>
              <w:br/>
            </w:r>
            <w:r w:rsidR="00C356C2" w:rsidRPr="00C356C2">
              <w:rPr>
                <w:rFonts w:ascii="Century Gothic" w:hAnsi="Century Gothic"/>
                <w:b/>
                <w:bCs/>
                <w:sz w:val="22"/>
                <w:szCs w:val="22"/>
                <w:lang w:val="es-CO"/>
              </w:rPr>
              <w:t xml:space="preserve">1. </w:t>
            </w:r>
            <w:r w:rsidRPr="00C356C2">
              <w:rPr>
                <w:rFonts w:ascii="Century Gothic" w:hAnsi="Century Gothic"/>
                <w:b/>
                <w:bCs/>
                <w:sz w:val="22"/>
                <w:szCs w:val="22"/>
                <w:lang w:val="es-CO"/>
              </w:rPr>
              <w:t>Daño Moral:</w:t>
            </w:r>
            <w:r w:rsidRPr="00C356C2">
              <w:rPr>
                <w:rFonts w:ascii="Century Gothic" w:hAnsi="Century Gothic"/>
                <w:sz w:val="22"/>
                <w:szCs w:val="22"/>
                <w:lang w:val="es-CO"/>
              </w:rPr>
              <w:t xml:space="preserve"> </w:t>
            </w:r>
            <w:r w:rsidR="00C356C2" w:rsidRPr="00C356C2">
              <w:rPr>
                <w:rFonts w:ascii="Century Gothic" w:hAnsi="Century Gothic"/>
                <w:sz w:val="22"/>
                <w:szCs w:val="22"/>
                <w:lang w:val="es-CO"/>
              </w:rPr>
              <w:t xml:space="preserve">Se reconocerá la suma de </w:t>
            </w:r>
            <w:r w:rsidR="00C356C2" w:rsidRPr="00C356C2">
              <w:rPr>
                <w:rFonts w:ascii="Century Gothic" w:hAnsi="Century Gothic"/>
                <w:sz w:val="22"/>
                <w:szCs w:val="22"/>
              </w:rPr>
              <w:t>$</w:t>
            </w:r>
            <w:r w:rsidR="00F4208A">
              <w:rPr>
                <w:rFonts w:ascii="Century Gothic" w:hAnsi="Century Gothic"/>
                <w:sz w:val="22"/>
                <w:szCs w:val="22"/>
              </w:rPr>
              <w:t>648.000.000</w:t>
            </w:r>
            <w:r w:rsidR="00C356C2" w:rsidRPr="00C356C2">
              <w:rPr>
                <w:rFonts w:ascii="Century Gothic" w:hAnsi="Century Gothic"/>
                <w:sz w:val="22"/>
                <w:szCs w:val="22"/>
              </w:rPr>
              <w:t>. Para esta liquidación se reconoció una indemnización por daño moral en favor de Ana Agripina Salamanca (esposa), así como de Ana Isabel</w:t>
            </w:r>
            <w:r w:rsidR="00087837" w:rsidRPr="00C356C2">
              <w:rPr>
                <w:rFonts w:ascii="Century Gothic" w:hAnsi="Century Gothic"/>
                <w:sz w:val="22"/>
                <w:szCs w:val="22"/>
              </w:rPr>
              <w:t xml:space="preserve"> Echeverría Salamanca</w:t>
            </w:r>
            <w:r w:rsidR="00C356C2" w:rsidRPr="00C356C2">
              <w:rPr>
                <w:rFonts w:ascii="Century Gothic" w:hAnsi="Century Gothic"/>
                <w:sz w:val="22"/>
                <w:szCs w:val="22"/>
              </w:rPr>
              <w:t>, María Yaneth</w:t>
            </w:r>
            <w:r w:rsidR="00087837" w:rsidRPr="00C356C2">
              <w:rPr>
                <w:rFonts w:ascii="Century Gothic" w:hAnsi="Century Gothic"/>
                <w:sz w:val="22"/>
                <w:szCs w:val="22"/>
              </w:rPr>
              <w:t xml:space="preserve"> Echeverría Salamanca</w:t>
            </w:r>
            <w:r w:rsidR="00C356C2" w:rsidRPr="00C356C2">
              <w:rPr>
                <w:rFonts w:ascii="Century Gothic" w:hAnsi="Century Gothic"/>
                <w:sz w:val="22"/>
                <w:szCs w:val="22"/>
              </w:rPr>
              <w:t>, Olga Lucía</w:t>
            </w:r>
            <w:r w:rsidR="00087837" w:rsidRPr="00C356C2">
              <w:rPr>
                <w:rFonts w:ascii="Century Gothic" w:hAnsi="Century Gothic"/>
                <w:sz w:val="22"/>
                <w:szCs w:val="22"/>
              </w:rPr>
              <w:t xml:space="preserve"> Echeverría Salamanca</w:t>
            </w:r>
            <w:r w:rsidR="00C356C2" w:rsidRPr="00C356C2">
              <w:rPr>
                <w:rFonts w:ascii="Century Gothic" w:hAnsi="Century Gothic"/>
                <w:sz w:val="22"/>
                <w:szCs w:val="22"/>
              </w:rPr>
              <w:t>, Rubén Darío</w:t>
            </w:r>
            <w:r w:rsidR="00087837" w:rsidRPr="00C356C2">
              <w:rPr>
                <w:rFonts w:ascii="Century Gothic" w:hAnsi="Century Gothic"/>
                <w:sz w:val="22"/>
                <w:szCs w:val="22"/>
              </w:rPr>
              <w:t xml:space="preserve"> Echeverría Salamanca</w:t>
            </w:r>
            <w:r w:rsidR="00C356C2" w:rsidRPr="00C356C2">
              <w:rPr>
                <w:rFonts w:ascii="Century Gothic" w:hAnsi="Century Gothic"/>
                <w:sz w:val="22"/>
                <w:szCs w:val="22"/>
              </w:rPr>
              <w:t>, Nohora Inés</w:t>
            </w:r>
            <w:r w:rsidR="00087837" w:rsidRPr="00C356C2">
              <w:rPr>
                <w:rFonts w:ascii="Century Gothic" w:hAnsi="Century Gothic"/>
                <w:sz w:val="22"/>
                <w:szCs w:val="22"/>
              </w:rPr>
              <w:t xml:space="preserve"> Echeverría Salamanca</w:t>
            </w:r>
            <w:r w:rsidR="00C356C2" w:rsidRPr="00C356C2">
              <w:rPr>
                <w:rFonts w:ascii="Century Gothic" w:hAnsi="Century Gothic"/>
                <w:sz w:val="22"/>
                <w:szCs w:val="22"/>
              </w:rPr>
              <w:t xml:space="preserve">, </w:t>
            </w:r>
            <w:proofErr w:type="spellStart"/>
            <w:r w:rsidR="00C356C2" w:rsidRPr="00C356C2">
              <w:rPr>
                <w:rFonts w:ascii="Century Gothic" w:hAnsi="Century Gothic"/>
                <w:sz w:val="22"/>
                <w:szCs w:val="22"/>
              </w:rPr>
              <w:t>Deicy</w:t>
            </w:r>
            <w:proofErr w:type="spellEnd"/>
            <w:r w:rsidR="00C356C2" w:rsidRPr="00C356C2">
              <w:rPr>
                <w:rFonts w:ascii="Century Gothic" w:hAnsi="Century Gothic"/>
                <w:sz w:val="22"/>
                <w:szCs w:val="22"/>
              </w:rPr>
              <w:t xml:space="preserve"> </w:t>
            </w:r>
            <w:proofErr w:type="spellStart"/>
            <w:r w:rsidR="00C356C2" w:rsidRPr="00C356C2">
              <w:rPr>
                <w:rFonts w:ascii="Century Gothic" w:hAnsi="Century Gothic"/>
                <w:sz w:val="22"/>
                <w:szCs w:val="22"/>
              </w:rPr>
              <w:t>Nataly</w:t>
            </w:r>
            <w:proofErr w:type="spellEnd"/>
            <w:r w:rsidR="00087837">
              <w:rPr>
                <w:rFonts w:ascii="Century Gothic" w:hAnsi="Century Gothic"/>
                <w:sz w:val="22"/>
                <w:szCs w:val="22"/>
              </w:rPr>
              <w:t xml:space="preserve"> </w:t>
            </w:r>
            <w:r w:rsidR="00087837" w:rsidRPr="00C356C2">
              <w:rPr>
                <w:rFonts w:ascii="Century Gothic" w:hAnsi="Century Gothic"/>
                <w:sz w:val="22"/>
                <w:szCs w:val="22"/>
              </w:rPr>
              <w:t>Echeverría Salamanca</w:t>
            </w:r>
            <w:r w:rsidR="00C356C2" w:rsidRPr="00C356C2">
              <w:rPr>
                <w:rFonts w:ascii="Century Gothic" w:hAnsi="Century Gothic"/>
                <w:sz w:val="22"/>
                <w:szCs w:val="22"/>
              </w:rPr>
              <w:t xml:space="preserve">, Justo Pastor Echeverría Salamanca y Justo Fernando Echeverría Castro (hijos), por un valor individual de $142.350.000. Esta suma fue determinada con base en los lineamientos jurisprudenciales fijados por la Corte Suprema de Justicia en la sentencia SC072-2025 (M.P. Octavio Augusto Tejeiro), en la cual se estableció que, ante la muerte de un familiar en primer grado de consanguinidad o afinidad, procede el reconocimiento del 100% del tope máximo indemnizatorio por daño moral. Dicho tope fue fijado en 100 salarios mínimos mensuales legales vigentes (SMMLV), liquidados a la fecha actual. En consecuencia, </w:t>
            </w:r>
            <w:r w:rsidR="00F4208A">
              <w:rPr>
                <w:rFonts w:ascii="Century Gothic" w:hAnsi="Century Gothic"/>
                <w:sz w:val="22"/>
                <w:szCs w:val="22"/>
              </w:rPr>
              <w:t xml:space="preserve">si bien a la luz del parámetro jurisprudencia se debería reconocer, la suma de </w:t>
            </w:r>
            <w:r w:rsidR="00C356C2" w:rsidRPr="00C356C2">
              <w:rPr>
                <w:rFonts w:ascii="Century Gothic" w:hAnsi="Century Gothic"/>
                <w:sz w:val="22"/>
                <w:szCs w:val="22"/>
              </w:rPr>
              <w:t>$1.281.150.000</w:t>
            </w:r>
            <w:r w:rsidR="00F4208A">
              <w:rPr>
                <w:rFonts w:ascii="Century Gothic" w:hAnsi="Century Gothic"/>
                <w:sz w:val="22"/>
                <w:szCs w:val="22"/>
              </w:rPr>
              <w:t xml:space="preserve">, solo se reconocerá </w:t>
            </w:r>
            <w:r w:rsidR="00F4208A" w:rsidRPr="009A03F0">
              <w:rPr>
                <w:rFonts w:ascii="Century Gothic" w:hAnsi="Century Gothic"/>
                <w:b/>
                <w:bCs/>
                <w:sz w:val="22"/>
                <w:szCs w:val="22"/>
                <w:u w:val="single"/>
              </w:rPr>
              <w:t>$648.000.000</w:t>
            </w:r>
            <w:r w:rsidR="00F4208A">
              <w:rPr>
                <w:rFonts w:ascii="Century Gothic" w:hAnsi="Century Gothic"/>
                <w:sz w:val="22"/>
                <w:szCs w:val="22"/>
              </w:rPr>
              <w:t xml:space="preserve"> por cuanto por cada demandante relacionado fue solicitado </w:t>
            </w:r>
            <w:r w:rsidR="009A03F0">
              <w:rPr>
                <w:rFonts w:ascii="Century Gothic" w:hAnsi="Century Gothic"/>
                <w:sz w:val="22"/>
                <w:szCs w:val="22"/>
              </w:rPr>
              <w:t xml:space="preserve">únicamente </w:t>
            </w:r>
            <w:r w:rsidR="00F4208A" w:rsidRPr="00F4208A">
              <w:rPr>
                <w:rFonts w:ascii="Century Gothic" w:hAnsi="Century Gothic"/>
                <w:sz w:val="22"/>
                <w:szCs w:val="22"/>
              </w:rPr>
              <w:t>$72’000.000</w:t>
            </w:r>
            <w:r w:rsidR="009A03F0">
              <w:rPr>
                <w:rFonts w:ascii="Century Gothic" w:hAnsi="Century Gothic"/>
                <w:sz w:val="22"/>
                <w:szCs w:val="22"/>
              </w:rPr>
              <w:t xml:space="preserve">. </w:t>
            </w:r>
            <w:r w:rsidR="00F4208A">
              <w:rPr>
                <w:rFonts w:ascii="Century Gothic" w:hAnsi="Century Gothic"/>
                <w:sz w:val="22"/>
                <w:szCs w:val="22"/>
              </w:rPr>
              <w:t xml:space="preserve"> </w:t>
            </w:r>
            <w:r w:rsidR="009A03F0">
              <w:rPr>
                <w:rFonts w:ascii="Century Gothic" w:hAnsi="Century Gothic"/>
                <w:sz w:val="22"/>
                <w:szCs w:val="22"/>
              </w:rPr>
              <w:t>E</w:t>
            </w:r>
            <w:r w:rsidR="00F4208A">
              <w:rPr>
                <w:rFonts w:ascii="Century Gothic" w:hAnsi="Century Gothic"/>
                <w:sz w:val="22"/>
                <w:szCs w:val="22"/>
              </w:rPr>
              <w:t>sto, en línea con el principio de congruenci</w:t>
            </w:r>
            <w:r w:rsidR="009A03F0">
              <w:rPr>
                <w:rFonts w:ascii="Century Gothic" w:hAnsi="Century Gothic"/>
                <w:sz w:val="22"/>
                <w:szCs w:val="22"/>
              </w:rPr>
              <w:t>a consagrado en el artículo 281 del C.G.P</w:t>
            </w:r>
          </w:p>
          <w:p w14:paraId="5A3E7E40" w14:textId="77777777" w:rsidR="009A03F0" w:rsidRDefault="00920CC9" w:rsidP="009A03F0">
            <w:pPr>
              <w:pStyle w:val="Prrafodelista"/>
              <w:jc w:val="both"/>
              <w:rPr>
                <w:rFonts w:ascii="Century Gothic" w:hAnsi="Century Gothic"/>
                <w:sz w:val="22"/>
                <w:szCs w:val="22"/>
                <w:lang w:val="es-CO"/>
              </w:rPr>
            </w:pPr>
            <w:r w:rsidRPr="00C356C2">
              <w:rPr>
                <w:rFonts w:ascii="Century Gothic" w:hAnsi="Century Gothic"/>
                <w:sz w:val="22"/>
                <w:szCs w:val="22"/>
                <w:lang w:val="es-CO"/>
              </w:rPr>
              <w:br/>
            </w:r>
            <w:r w:rsidRPr="00C356C2">
              <w:rPr>
                <w:rFonts w:ascii="Century Gothic" w:hAnsi="Century Gothic"/>
                <w:b/>
                <w:bCs/>
                <w:sz w:val="22"/>
                <w:szCs w:val="22"/>
                <w:lang w:val="es-CO"/>
              </w:rPr>
              <w:t>2. Lucro cesante:</w:t>
            </w:r>
            <w:r w:rsidRPr="00C356C2">
              <w:rPr>
                <w:rFonts w:ascii="Century Gothic" w:hAnsi="Century Gothic"/>
                <w:sz w:val="22"/>
                <w:szCs w:val="22"/>
                <w:lang w:val="es-CO"/>
              </w:rPr>
              <w:t xml:space="preserve">  </w:t>
            </w:r>
            <w:r w:rsidR="009A03F0" w:rsidRPr="009A03F0">
              <w:rPr>
                <w:rFonts w:ascii="Century Gothic" w:hAnsi="Century Gothic"/>
                <w:sz w:val="22"/>
                <w:szCs w:val="22"/>
                <w:lang w:val="es-CO"/>
              </w:rPr>
              <w:t xml:space="preserve">Se reconocerá a favor de Ana Agripina Salamanca la suma de </w:t>
            </w:r>
            <w:r w:rsidR="009A03F0" w:rsidRPr="009A03F0">
              <w:rPr>
                <w:rFonts w:ascii="Century Gothic" w:hAnsi="Century Gothic"/>
                <w:b/>
                <w:bCs/>
                <w:sz w:val="22"/>
                <w:szCs w:val="22"/>
                <w:lang w:val="es-CO"/>
              </w:rPr>
              <w:t>$138.892.782</w:t>
            </w:r>
            <w:r w:rsidR="009A03F0" w:rsidRPr="009A03F0">
              <w:rPr>
                <w:rFonts w:ascii="Century Gothic" w:hAnsi="Century Gothic"/>
                <w:sz w:val="22"/>
                <w:szCs w:val="22"/>
                <w:lang w:val="es-CO"/>
              </w:rPr>
              <w:t xml:space="preserve">, por concepto de </w:t>
            </w:r>
            <w:r w:rsidR="009A03F0" w:rsidRPr="009A03F0">
              <w:rPr>
                <w:rFonts w:ascii="Century Gothic" w:hAnsi="Century Gothic"/>
                <w:b/>
                <w:bCs/>
                <w:sz w:val="22"/>
                <w:szCs w:val="22"/>
                <w:lang w:val="es-CO"/>
              </w:rPr>
              <w:t>lucro cesante consolidado y futuro</w:t>
            </w:r>
            <w:r w:rsidR="009A03F0" w:rsidRPr="009A03F0">
              <w:rPr>
                <w:rFonts w:ascii="Century Gothic" w:hAnsi="Century Gothic"/>
                <w:sz w:val="22"/>
                <w:szCs w:val="22"/>
                <w:lang w:val="es-CO"/>
              </w:rPr>
              <w:t>, conforme a la fórmula de liquidación establecida por las altas Cortes. Para ello se consideraron los siguientes aspectos: (i) el salario mínimo legal mensual vigente (SMMLV) actualizado a $1.423.500; y (</w:t>
            </w:r>
            <w:proofErr w:type="spellStart"/>
            <w:r w:rsidR="009A03F0" w:rsidRPr="009A03F0">
              <w:rPr>
                <w:rFonts w:ascii="Century Gothic" w:hAnsi="Century Gothic"/>
                <w:sz w:val="22"/>
                <w:szCs w:val="22"/>
                <w:lang w:val="es-CO"/>
              </w:rPr>
              <w:t>ii</w:t>
            </w:r>
            <w:proofErr w:type="spellEnd"/>
            <w:r w:rsidR="009A03F0" w:rsidRPr="009A03F0">
              <w:rPr>
                <w:rFonts w:ascii="Century Gothic" w:hAnsi="Century Gothic"/>
                <w:sz w:val="22"/>
                <w:szCs w:val="22"/>
                <w:lang w:val="es-CO"/>
              </w:rPr>
              <w:t>) la expectativa de vida del señor Justo Pastor Echeverría Higuera, fijada en 12,7 años, considerando que a la fecha del accidente tenía 74 años. Con base en dichos parámetros, se determinó un valor de $46.277.441 por concepto de lucro cesante consolidado (calculado desde la fecha del accidente hasta el 18 de junio de 2025), y un valor de $92.615.340 por concepto de lucro cesante futuro (desde el 19 de junio de 2025 y por el resto de la expectativa de vida del fallecido).</w:t>
            </w:r>
            <w:r w:rsidR="009A03F0">
              <w:rPr>
                <w:rFonts w:ascii="Century Gothic" w:hAnsi="Century Gothic"/>
                <w:sz w:val="22"/>
                <w:szCs w:val="22"/>
                <w:lang w:val="es-CO"/>
              </w:rPr>
              <w:t xml:space="preserve"> </w:t>
            </w:r>
            <w:r w:rsidR="009A03F0" w:rsidRPr="009A03F0">
              <w:rPr>
                <w:rFonts w:ascii="Century Gothic" w:hAnsi="Century Gothic"/>
                <w:sz w:val="22"/>
                <w:szCs w:val="22"/>
                <w:lang w:val="es-CO"/>
              </w:rPr>
              <w:t>Ahora bien, si bien el señor Justo Pastor Echeverría Higuera no acreditó mediante documentos formales que se encontraba vinculado laboralmente al momento de su fallecimiento —y si bien podría alegarse que, dada su edad, no se presume una actividad laboral productiva—, lo cierto es que de la prueba documental allegada se evidencia que desarrollaba actividades generadoras de ingresos como independiente, específicamente en labores informales de agricultura, jardinería y oficios generales. En tales condiciones, y conforme a reiterada jurisprudencia, resulta razonable y jurídicamente viable presumir un ingreso equivalente al salario mínimo, dado el carácter informal y autónomo de la actividad ejercida por la víctima.</w:t>
            </w:r>
          </w:p>
          <w:p w14:paraId="371F4663" w14:textId="6F3F2ADF" w:rsidR="00920CC9" w:rsidRPr="00C356C2" w:rsidRDefault="00920CC9" w:rsidP="009A03F0">
            <w:pPr>
              <w:pStyle w:val="Prrafodelista"/>
              <w:jc w:val="both"/>
              <w:rPr>
                <w:rFonts w:ascii="Century Gothic" w:hAnsi="Century Gothic"/>
                <w:sz w:val="22"/>
                <w:szCs w:val="22"/>
                <w:lang w:val="es-CO"/>
              </w:rPr>
            </w:pPr>
            <w:r w:rsidRPr="00C356C2">
              <w:rPr>
                <w:rFonts w:ascii="Century Gothic" w:hAnsi="Century Gothic"/>
                <w:sz w:val="22"/>
                <w:szCs w:val="22"/>
                <w:lang w:val="es-CO"/>
              </w:rPr>
              <w:br/>
            </w:r>
            <w:r w:rsidRPr="009A03F0">
              <w:rPr>
                <w:rFonts w:ascii="Century Gothic" w:hAnsi="Century Gothic"/>
                <w:b/>
                <w:bCs/>
                <w:sz w:val="22"/>
                <w:szCs w:val="22"/>
                <w:lang w:val="es-CO"/>
              </w:rPr>
              <w:t xml:space="preserve">3. </w:t>
            </w:r>
            <w:r w:rsidR="009A03F0">
              <w:rPr>
                <w:rFonts w:ascii="Century Gothic" w:hAnsi="Century Gothic"/>
                <w:b/>
                <w:bCs/>
                <w:sz w:val="22"/>
                <w:szCs w:val="22"/>
                <w:lang w:val="es-CO"/>
              </w:rPr>
              <w:t>Valor asegurado y d</w:t>
            </w:r>
            <w:r w:rsidRPr="009A03F0">
              <w:rPr>
                <w:rFonts w:ascii="Century Gothic" w:hAnsi="Century Gothic"/>
                <w:b/>
                <w:bCs/>
                <w:sz w:val="22"/>
                <w:szCs w:val="22"/>
                <w:lang w:val="es-CO"/>
              </w:rPr>
              <w:t>educible:</w:t>
            </w:r>
            <w:r w:rsidRPr="00C356C2">
              <w:rPr>
                <w:rFonts w:ascii="Century Gothic" w:hAnsi="Century Gothic"/>
                <w:sz w:val="22"/>
                <w:szCs w:val="22"/>
                <w:lang w:val="es-CO"/>
              </w:rPr>
              <w:t xml:space="preserve"> </w:t>
            </w:r>
            <w:r w:rsidR="009A03F0">
              <w:rPr>
                <w:rFonts w:ascii="Century Gothic" w:hAnsi="Century Gothic"/>
                <w:sz w:val="22"/>
                <w:szCs w:val="22"/>
                <w:lang w:val="es-CO"/>
              </w:rPr>
              <w:t xml:space="preserve">La Póliza Seguro </w:t>
            </w:r>
            <w:proofErr w:type="spellStart"/>
            <w:r w:rsidR="009A03F0">
              <w:rPr>
                <w:rFonts w:ascii="Century Gothic" w:hAnsi="Century Gothic"/>
                <w:sz w:val="22"/>
                <w:szCs w:val="22"/>
                <w:lang w:val="es-CO"/>
              </w:rPr>
              <w:t>AutoPlus</w:t>
            </w:r>
            <w:proofErr w:type="spellEnd"/>
            <w:r w:rsidR="009A03F0">
              <w:rPr>
                <w:rFonts w:ascii="Century Gothic" w:hAnsi="Century Gothic"/>
                <w:sz w:val="22"/>
                <w:szCs w:val="22"/>
                <w:lang w:val="es-CO"/>
              </w:rPr>
              <w:t xml:space="preserve"> AA213428 cuenta con un valor asegurado de $4.000.000.000 por la cobertura de “Lesiones, muerte y/o daños de Terceros”. </w:t>
            </w:r>
            <w:r w:rsidRPr="00C356C2">
              <w:rPr>
                <w:rFonts w:ascii="Century Gothic" w:hAnsi="Century Gothic"/>
                <w:sz w:val="22"/>
                <w:szCs w:val="22"/>
                <w:lang w:val="es-CO"/>
              </w:rPr>
              <w:t>No se contempla deducible para el amparo de responsabilidad civil extracontractual</w:t>
            </w:r>
          </w:p>
          <w:p w14:paraId="31FF8AB1" w14:textId="6E429C79" w:rsidR="00E802BC" w:rsidRPr="00BA1E5F" w:rsidRDefault="00E802BC" w:rsidP="005565C1">
            <w:pPr>
              <w:spacing w:line="276" w:lineRule="auto"/>
              <w:jc w:val="both"/>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lastRenderedPageBreak/>
              <w:t>Excepciones</w:t>
            </w:r>
          </w:p>
        </w:tc>
      </w:tr>
      <w:tr w:rsidR="003B7F1A" w:rsidRPr="00BA1E5F" w14:paraId="4AAD7549" w14:textId="77777777" w:rsidTr="0095378E">
        <w:trPr>
          <w:trHeight w:val="3906"/>
        </w:trPr>
        <w:tc>
          <w:tcPr>
            <w:tcW w:w="10207" w:type="dxa"/>
            <w:vAlign w:val="center"/>
          </w:tcPr>
          <w:p w14:paraId="6A10E500" w14:textId="77777777" w:rsidR="00F256CF" w:rsidRPr="00F256CF" w:rsidRDefault="00F256CF" w:rsidP="00F256CF">
            <w:pPr>
              <w:spacing w:line="276" w:lineRule="auto"/>
              <w:jc w:val="both"/>
              <w:rPr>
                <w:rFonts w:ascii="Century Gothic" w:hAnsi="Century Gothic"/>
                <w:sz w:val="22"/>
                <w:szCs w:val="22"/>
              </w:rPr>
            </w:pPr>
          </w:p>
          <w:p w14:paraId="497B9765" w14:textId="2D980B61" w:rsidR="00F256CF" w:rsidRPr="00F256CF" w:rsidRDefault="00F256CF" w:rsidP="00F256CF">
            <w:pPr>
              <w:pStyle w:val="Prrafodelista"/>
              <w:numPr>
                <w:ilvl w:val="0"/>
                <w:numId w:val="23"/>
              </w:numPr>
              <w:spacing w:line="276" w:lineRule="auto"/>
              <w:jc w:val="both"/>
              <w:rPr>
                <w:rFonts w:ascii="Century Gothic" w:hAnsi="Century Gothic"/>
                <w:sz w:val="22"/>
                <w:szCs w:val="22"/>
              </w:rPr>
            </w:pPr>
            <w:r w:rsidRPr="00F256CF">
              <w:rPr>
                <w:rFonts w:ascii="Century Gothic" w:hAnsi="Century Gothic"/>
                <w:sz w:val="22"/>
                <w:szCs w:val="22"/>
              </w:rPr>
              <w:t>DEBERÁ TENERSE EN CUENTA EL HECHO EXCLUSIVO DE LA VÍCTIMA COMO UNA CAUSA DE EXIMENTE DE RESPONSABILIDAD – CRUZAR SIN MIRAR NI TOMAR PRECAUCIONES DE SEGURIDA</w:t>
            </w:r>
          </w:p>
          <w:p w14:paraId="0366A13F" w14:textId="13449501" w:rsidR="00F256CF" w:rsidRPr="00F256CF" w:rsidRDefault="00F256CF" w:rsidP="00F256CF">
            <w:pPr>
              <w:pStyle w:val="Prrafodelista"/>
              <w:numPr>
                <w:ilvl w:val="0"/>
                <w:numId w:val="23"/>
              </w:numPr>
              <w:spacing w:line="276" w:lineRule="auto"/>
              <w:jc w:val="both"/>
              <w:rPr>
                <w:rFonts w:ascii="Century Gothic" w:hAnsi="Century Gothic"/>
                <w:sz w:val="22"/>
                <w:szCs w:val="22"/>
              </w:rPr>
            </w:pPr>
            <w:r w:rsidRPr="00F256CF">
              <w:rPr>
                <w:rFonts w:ascii="Century Gothic" w:hAnsi="Century Gothic"/>
                <w:sz w:val="22"/>
                <w:szCs w:val="22"/>
              </w:rPr>
              <w:t>INEXISTENCIA DE RESPONSABILIDAD POR LA FALTA DE ACREDITACIÓN DEL NEXO CAUSAL.</w:t>
            </w:r>
          </w:p>
          <w:p w14:paraId="7C84C93F"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 xml:space="preserve">ANULACIÓN DE LA PRESUNCIÓN DE CULPA COMO CONSECUENCIA DE LA CONCURRENCIA DE ACTIVIDADES PELIGROSAS. </w:t>
            </w:r>
          </w:p>
          <w:p w14:paraId="660D6C75"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 xml:space="preserve">REDUCCIÓN DE LA INDEMNIZACIÓN POR LA INJERENCIA DE LA VÍCTIMA EN LA OCURRENCIA DEL HECHO. </w:t>
            </w:r>
          </w:p>
          <w:p w14:paraId="52A84C02"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TASACIÓN INDEBIDA Y EXORBITANTE DE LOS PERJUICIOS RECLAMADOS POR LOS DEMANDANTES DENOMINADOS “DAÑO MORAL”</w:t>
            </w:r>
          </w:p>
          <w:p w14:paraId="60F1D2FE"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IMPROCEDENCIA DEL LUCRO CESANTE</w:t>
            </w:r>
          </w:p>
          <w:p w14:paraId="58607CF3"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FALTA DE LEGITIMACIÓN EN LA CAUSA POR ACTIVA POR PARTE DEL SEÑOR JUSTO PASTOR ECHEVERRÍA SALAMANCA.</w:t>
            </w:r>
          </w:p>
          <w:p w14:paraId="53976A95" w14:textId="77777777" w:rsidR="00F256CF" w:rsidRPr="00F256CF" w:rsidRDefault="00F256CF" w:rsidP="00F256CF">
            <w:pPr>
              <w:pStyle w:val="Prrafodelista"/>
              <w:numPr>
                <w:ilvl w:val="0"/>
                <w:numId w:val="23"/>
              </w:numPr>
              <w:jc w:val="both"/>
              <w:rPr>
                <w:rFonts w:ascii="Century Gothic" w:hAnsi="Century Gothic"/>
                <w:sz w:val="22"/>
                <w:szCs w:val="22"/>
              </w:rPr>
            </w:pPr>
            <w:r w:rsidRPr="00F256CF">
              <w:rPr>
                <w:rFonts w:ascii="Century Gothic" w:hAnsi="Century Gothic"/>
                <w:sz w:val="22"/>
                <w:szCs w:val="22"/>
              </w:rPr>
              <w:t>GENÉRICA O INNOMINADA</w:t>
            </w:r>
          </w:p>
          <w:p w14:paraId="71C661D7" w14:textId="77777777" w:rsidR="00F256CF" w:rsidRDefault="00F256CF" w:rsidP="00F256CF">
            <w:pPr>
              <w:jc w:val="both"/>
              <w:rPr>
                <w:rFonts w:ascii="Century Gothic" w:hAnsi="Century Gothic"/>
                <w:sz w:val="22"/>
                <w:szCs w:val="22"/>
              </w:rPr>
            </w:pPr>
          </w:p>
          <w:p w14:paraId="6893F637" w14:textId="4D708C62" w:rsidR="00F256CF" w:rsidRDefault="00F256CF" w:rsidP="00F256CF">
            <w:pPr>
              <w:jc w:val="both"/>
              <w:rPr>
                <w:rFonts w:ascii="Century Gothic" w:hAnsi="Century Gothic"/>
                <w:sz w:val="22"/>
                <w:szCs w:val="22"/>
              </w:rPr>
            </w:pPr>
            <w:r w:rsidRPr="00F256CF">
              <w:rPr>
                <w:rFonts w:ascii="Century Gothic" w:hAnsi="Century Gothic"/>
                <w:sz w:val="22"/>
                <w:szCs w:val="22"/>
              </w:rPr>
              <w:t>EXCEPCIONES FRENTE AL CONTRATO DE SEGURO</w:t>
            </w:r>
          </w:p>
          <w:p w14:paraId="2DE41A85" w14:textId="77777777" w:rsidR="009A03F0" w:rsidRPr="00F256CF" w:rsidRDefault="009A03F0" w:rsidP="00F256CF">
            <w:pPr>
              <w:jc w:val="both"/>
              <w:rPr>
                <w:rFonts w:ascii="Century Gothic" w:hAnsi="Century Gothic"/>
                <w:sz w:val="22"/>
                <w:szCs w:val="22"/>
              </w:rPr>
            </w:pPr>
          </w:p>
          <w:p w14:paraId="2C5B4AD3" w14:textId="77777777" w:rsid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INEXISTENCIA DE LA OBLIGACIÓN INDEMNIZATORIA A CARGO DE LA COMPAÑÍA LA EQUIDAD SEGUROS GENERALES O.C. POR FALTA DE ACREDITACIÓN DE LAS CARGAS PREVISTAS EN EL ARTÍCULO 1077 DEL CÓDIGO DE COMERCIO.</w:t>
            </w:r>
          </w:p>
          <w:p w14:paraId="40AF6D1A"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INEXISTENCIA DE OBLIGACIÓN INDEMNIZATORIA POR CUANTO NO SE HA REALIZADO EL RIESGO ASEGURADO EN LA PÓLIZA AA213428, EN LO QUE RESPECTA AL AMPARO DE RESPONSABILIDAD CIVIL EXTRACONTRACTUAL</w:t>
            </w:r>
          </w:p>
          <w:p w14:paraId="68AF667D"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RIESGOS EXPRESAMENTE EXCLUIDOS EN LA PÓLIZA DE SEGURO AUTOPLUS NO. AA213428</w:t>
            </w:r>
          </w:p>
          <w:p w14:paraId="73654E4D"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CARÁCTER MERAMENTE INDEMNIZATORIO QUE REVISTEN LOS CONTRATOS DE SEGUROS.</w:t>
            </w:r>
          </w:p>
          <w:p w14:paraId="580B583A"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INEXISTENCIA DE SOLIDARIDAD ENTRE LA EQUIDAD SEGUROS O.C. Y LOS CODEMANDADOS</w:t>
            </w:r>
          </w:p>
          <w:p w14:paraId="42045D3B"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 xml:space="preserve">LÍMITE DEL VALOR ASEGURADO. </w:t>
            </w:r>
          </w:p>
          <w:p w14:paraId="1310F656"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 xml:space="preserve">SUJECIÓN A LAS CONDICIONES PARTICULARES Y GENERALES DEL CONTRATO DE SEGURO, EN LA QUE SE IDENTIFICA LA PÓLIZA No. AA213428, EL CLAUSULADO Y LOS AMPAROS </w:t>
            </w:r>
          </w:p>
          <w:p w14:paraId="6B898684" w14:textId="77777777"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DISPONIBILIDAD DEL VALOR ASEGURADO</w:t>
            </w:r>
          </w:p>
          <w:p w14:paraId="0F429769" w14:textId="69905ACC" w:rsidR="00F256CF" w:rsidRPr="00F256CF" w:rsidRDefault="00F256CF" w:rsidP="00F256CF">
            <w:pPr>
              <w:pStyle w:val="Prrafodelista"/>
              <w:numPr>
                <w:ilvl w:val="0"/>
                <w:numId w:val="22"/>
              </w:numPr>
              <w:jc w:val="both"/>
              <w:rPr>
                <w:rFonts w:ascii="Century Gothic" w:hAnsi="Century Gothic"/>
                <w:sz w:val="22"/>
                <w:szCs w:val="22"/>
              </w:rPr>
            </w:pPr>
            <w:r w:rsidRPr="00F256CF">
              <w:rPr>
                <w:rFonts w:ascii="Century Gothic" w:hAnsi="Century Gothic"/>
                <w:sz w:val="22"/>
                <w:szCs w:val="22"/>
              </w:rPr>
              <w:t>GENÉRICA O INNOMINADA</w:t>
            </w:r>
          </w:p>
          <w:p w14:paraId="52CE2D52" w14:textId="35CA94B0" w:rsidR="00F256CF" w:rsidRPr="00F256CF" w:rsidRDefault="00F256CF" w:rsidP="00F256CF">
            <w:pPr>
              <w:spacing w:line="276" w:lineRule="auto"/>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663C9127" w:rsidR="00EE687D"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SP119205</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60F978" w:rsidR="006F0CAA"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165966</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346C7B7D" w:rsidR="00EE687D"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AA213428</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FDDA98D" w:rsidR="00EE687D"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AA910304</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2293A521" w:rsidR="00EE687D"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Sucursal</w:t>
            </w:r>
          </w:p>
        </w:tc>
        <w:tc>
          <w:tcPr>
            <w:tcW w:w="6941" w:type="dxa"/>
            <w:vAlign w:val="center"/>
          </w:tcPr>
          <w:p w14:paraId="74AA0D59" w14:textId="23E222F4" w:rsidR="00B90E05" w:rsidRPr="00BA1E5F" w:rsidRDefault="006A45A3"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10001</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59C531A0" w:rsidR="00EE687D" w:rsidRPr="00BA1E5F" w:rsidRDefault="00155C1F" w:rsidP="00EB6A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IAN895</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CC743BE"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03/06/2022</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B435569"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03/23/2022</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F89EF97"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CUOTA PARTE</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37045C9"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 xml:space="preserve">RODRIGUEZ </w:t>
            </w:r>
            <w:proofErr w:type="spellStart"/>
            <w:r w:rsidRPr="00155C1F">
              <w:rPr>
                <w:rFonts w:ascii="Century Gothic" w:hAnsi="Century Gothic" w:cs="Segoe UI"/>
                <w:sz w:val="22"/>
                <w:szCs w:val="22"/>
                <w:lang w:eastAsia="es-CO"/>
              </w:rPr>
              <w:t>RODRIGUEZ</w:t>
            </w:r>
            <w:proofErr w:type="spellEnd"/>
            <w:r w:rsidRPr="00155C1F">
              <w:rPr>
                <w:rFonts w:ascii="Century Gothic" w:hAnsi="Century Gothic" w:cs="Segoe UI"/>
                <w:sz w:val="22"/>
                <w:szCs w:val="22"/>
                <w:lang w:eastAsia="es-CO"/>
              </w:rPr>
              <w:t xml:space="preserve"> ROSALBA</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9CA8FA5"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 xml:space="preserve">RODRIGUEZ </w:t>
            </w:r>
            <w:proofErr w:type="spellStart"/>
            <w:r w:rsidRPr="00155C1F">
              <w:rPr>
                <w:rFonts w:ascii="Century Gothic" w:hAnsi="Century Gothic" w:cs="Segoe UI"/>
                <w:sz w:val="22"/>
                <w:szCs w:val="22"/>
                <w:lang w:eastAsia="es-CO"/>
              </w:rPr>
              <w:t>RODRIGUEZ</w:t>
            </w:r>
            <w:proofErr w:type="spellEnd"/>
            <w:r w:rsidRPr="00155C1F">
              <w:rPr>
                <w:rFonts w:ascii="Century Gothic" w:hAnsi="Century Gothic" w:cs="Segoe UI"/>
                <w:sz w:val="22"/>
                <w:szCs w:val="22"/>
                <w:lang w:eastAsia="es-CO"/>
              </w:rPr>
              <w:t xml:space="preserve"> ROSALBA</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11ADECCC"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Auto plus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4787240" w:rsidR="001C44B4" w:rsidRPr="00BA1E5F" w:rsidRDefault="00155C1F" w:rsidP="001C44B4">
            <w:pPr>
              <w:jc w:val="both"/>
              <w:rPr>
                <w:rFonts w:ascii="Century Gothic" w:hAnsi="Century Gothic" w:cs="Segoe UI"/>
                <w:sz w:val="22"/>
                <w:szCs w:val="22"/>
                <w:lang w:eastAsia="es-CO"/>
              </w:rPr>
            </w:pPr>
            <w:r>
              <w:rPr>
                <w:rFonts w:ascii="Century Gothic" w:hAnsi="Century Gothic" w:cs="Segoe UI"/>
                <w:sz w:val="22"/>
                <w:szCs w:val="22"/>
                <w:lang w:eastAsia="es-CO"/>
              </w:rPr>
              <w:t>Responsabilidad Civil Extracontractual</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6CCB50F" w:rsidR="001C44B4" w:rsidRPr="00BA1E5F" w:rsidRDefault="00155C1F" w:rsidP="001C44B4">
            <w:pPr>
              <w:jc w:val="both"/>
              <w:rPr>
                <w:rFonts w:ascii="Century Gothic" w:hAnsi="Century Gothic" w:cs="Segoe UI"/>
                <w:sz w:val="22"/>
                <w:szCs w:val="22"/>
                <w:lang w:eastAsia="es-CO"/>
              </w:rPr>
            </w:pPr>
            <w:r w:rsidRPr="00155C1F">
              <w:rPr>
                <w:rFonts w:ascii="Century Gothic" w:hAnsi="Century Gothic" w:cs="Segoe UI"/>
                <w:sz w:val="22"/>
                <w:szCs w:val="22"/>
                <w:lang w:eastAsia="es-CO"/>
              </w:rPr>
              <w:t>Col $ 4.000.000.000.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B9E6096" w:rsidR="001129B6" w:rsidRPr="00BA1E5F" w:rsidRDefault="006A45A3"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35DEC1B"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155C1F" w:rsidRPr="00155C1F">
              <w:rPr>
                <w:rFonts w:ascii="Century Gothic" w:hAnsi="Century Gothic" w:cs="Segoe UI"/>
                <w:sz w:val="22"/>
                <w:szCs w:val="22"/>
                <w:lang w:eastAsia="es-CO"/>
              </w:rPr>
              <w:t>OBJETADO</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67A6901" w:rsidR="002633C0" w:rsidRPr="00BA1E5F" w:rsidRDefault="00527420"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6F07B1F8" w:rsidR="002633C0" w:rsidRPr="00BA1E5F" w:rsidRDefault="00527420" w:rsidP="003314A2">
            <w:pPr>
              <w:spacing w:line="360" w:lineRule="auto"/>
              <w:rPr>
                <w:rFonts w:ascii="Century Gothic" w:hAnsi="Century Gothic"/>
                <w:sz w:val="22"/>
                <w:szCs w:val="22"/>
              </w:rPr>
            </w:pPr>
            <w:r>
              <w:rPr>
                <w:rFonts w:ascii="Century Gothic" w:hAnsi="Century Gothic"/>
                <w:sz w:val="22"/>
                <w:szCs w:val="22"/>
              </w:rPr>
              <w:t>30% DE LAS PRETENSIONES: $</w:t>
            </w:r>
            <w:r w:rsidR="00E952BF" w:rsidRPr="00E952BF">
              <w:rPr>
                <w:rFonts w:ascii="Century Gothic" w:hAnsi="Century Gothic"/>
                <w:sz w:val="22"/>
                <w:szCs w:val="22"/>
              </w:rPr>
              <w:t>236.067.834</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22670A98" w14:textId="05A8E47B" w:rsidR="00920CC9" w:rsidRPr="00920CC9" w:rsidRDefault="00920CC9" w:rsidP="00920CC9">
            <w:pPr>
              <w:spacing w:line="360" w:lineRule="auto"/>
              <w:jc w:val="both"/>
              <w:rPr>
                <w:rFonts w:ascii="Century Gothic" w:hAnsi="Century Gothic"/>
                <w:sz w:val="22"/>
                <w:szCs w:val="22"/>
              </w:rPr>
            </w:pPr>
            <w:r w:rsidRPr="00920CC9">
              <w:rPr>
                <w:rFonts w:ascii="Century Gothic" w:hAnsi="Century Gothic"/>
                <w:sz w:val="22"/>
                <w:szCs w:val="22"/>
              </w:rPr>
              <w:t xml:space="preserve">La contingencia se califica como REMOTA, toda vez que si bien la </w:t>
            </w:r>
            <w:r w:rsidR="009A03F0">
              <w:rPr>
                <w:rFonts w:ascii="Century Gothic" w:hAnsi="Century Gothic"/>
                <w:sz w:val="22"/>
                <w:szCs w:val="22"/>
              </w:rPr>
              <w:t>Póliza AA213428</w:t>
            </w:r>
            <w:r w:rsidRPr="00920CC9">
              <w:rPr>
                <w:rFonts w:ascii="Century Gothic" w:hAnsi="Century Gothic"/>
                <w:sz w:val="22"/>
                <w:szCs w:val="22"/>
              </w:rPr>
              <w:t xml:space="preserve"> No. AA213428 presta cobertura temporal y material, lo cierto es que </w:t>
            </w:r>
            <w:r w:rsidR="009A03F0">
              <w:rPr>
                <w:rFonts w:ascii="Century Gothic" w:hAnsi="Century Gothic"/>
                <w:sz w:val="22"/>
                <w:szCs w:val="22"/>
              </w:rPr>
              <w:t>se encuentra acreditada</w:t>
            </w:r>
            <w:r w:rsidRPr="00920CC9">
              <w:rPr>
                <w:rFonts w:ascii="Century Gothic" w:hAnsi="Century Gothic"/>
                <w:sz w:val="22"/>
                <w:szCs w:val="22"/>
              </w:rPr>
              <w:t xml:space="preserve"> causa extraña denominada "culpa exclusiva de la víctima"</w:t>
            </w:r>
            <w:r w:rsidR="009A03F0">
              <w:rPr>
                <w:rFonts w:ascii="Century Gothic" w:hAnsi="Century Gothic"/>
                <w:sz w:val="22"/>
                <w:szCs w:val="22"/>
              </w:rPr>
              <w:t xml:space="preserve">. </w:t>
            </w:r>
          </w:p>
          <w:p w14:paraId="660E3D36" w14:textId="77777777" w:rsidR="00920CC9" w:rsidRPr="00920CC9" w:rsidRDefault="00920CC9" w:rsidP="00920CC9">
            <w:pPr>
              <w:spacing w:line="360" w:lineRule="auto"/>
              <w:jc w:val="both"/>
              <w:rPr>
                <w:rFonts w:ascii="Century Gothic" w:hAnsi="Century Gothic"/>
                <w:sz w:val="22"/>
                <w:szCs w:val="22"/>
              </w:rPr>
            </w:pPr>
          </w:p>
          <w:p w14:paraId="4B4F3235" w14:textId="0EB0D4D0" w:rsidR="00920CC9" w:rsidRPr="00920CC9" w:rsidRDefault="00920CC9" w:rsidP="00920CC9">
            <w:pPr>
              <w:spacing w:line="360" w:lineRule="auto"/>
              <w:jc w:val="both"/>
              <w:rPr>
                <w:rFonts w:ascii="Century Gothic" w:hAnsi="Century Gothic"/>
                <w:sz w:val="22"/>
                <w:szCs w:val="22"/>
              </w:rPr>
            </w:pPr>
            <w:r w:rsidRPr="00920CC9">
              <w:rPr>
                <w:rFonts w:ascii="Century Gothic" w:hAnsi="Century Gothic"/>
                <w:sz w:val="22"/>
                <w:szCs w:val="22"/>
              </w:rPr>
              <w:t xml:space="preserve">Lo primero que debe tomarse en consideración es que la </w:t>
            </w:r>
            <w:r w:rsidR="009A03F0">
              <w:rPr>
                <w:rFonts w:ascii="Century Gothic" w:hAnsi="Century Gothic"/>
                <w:sz w:val="22"/>
                <w:szCs w:val="22"/>
              </w:rPr>
              <w:t>P</w:t>
            </w:r>
            <w:r w:rsidRPr="00920CC9">
              <w:rPr>
                <w:rFonts w:ascii="Century Gothic" w:hAnsi="Century Gothic"/>
                <w:sz w:val="22"/>
                <w:szCs w:val="22"/>
              </w:rPr>
              <w:t xml:space="preserve">óliza </w:t>
            </w:r>
            <w:r w:rsidR="009A03F0">
              <w:rPr>
                <w:rFonts w:ascii="Century Gothic" w:hAnsi="Century Gothic"/>
                <w:sz w:val="22"/>
                <w:szCs w:val="22"/>
              </w:rPr>
              <w:t xml:space="preserve">de Seguro </w:t>
            </w:r>
            <w:proofErr w:type="spellStart"/>
            <w:r w:rsidRPr="00920CC9">
              <w:rPr>
                <w:rFonts w:ascii="Century Gothic" w:hAnsi="Century Gothic"/>
                <w:sz w:val="22"/>
                <w:szCs w:val="22"/>
              </w:rPr>
              <w:t>Autoplus</w:t>
            </w:r>
            <w:proofErr w:type="spellEnd"/>
            <w:r w:rsidRPr="00920CC9">
              <w:rPr>
                <w:rFonts w:ascii="Century Gothic" w:hAnsi="Century Gothic"/>
                <w:sz w:val="22"/>
                <w:szCs w:val="22"/>
              </w:rPr>
              <w:t xml:space="preserve"> AA213428, cuyo asegurado es ROSALBA RODRÍGUEZ </w:t>
            </w:r>
            <w:proofErr w:type="spellStart"/>
            <w:r w:rsidRPr="00920CC9">
              <w:rPr>
                <w:rFonts w:ascii="Century Gothic" w:hAnsi="Century Gothic"/>
                <w:sz w:val="22"/>
                <w:szCs w:val="22"/>
              </w:rPr>
              <w:t>RODRÍGUEZ</w:t>
            </w:r>
            <w:proofErr w:type="spellEnd"/>
            <w:r w:rsidRPr="00920CC9">
              <w:rPr>
                <w:rFonts w:ascii="Century Gothic" w:hAnsi="Century Gothic"/>
                <w:sz w:val="22"/>
                <w:szCs w:val="22"/>
              </w:rPr>
              <w:t>, presta cobertura material y temporal, de conformidad con los hechos y pretensiones expuestos en el líbelo de la demanda. Frente a la cobertura temporal, debe señalarse que la ocurrencia del accidente de tránsito (6 de marzo de 2022) se encuentra dentro de la delimitación temporal de la Póliza comprendida desde el 20 de marzo de 2021 hasta el 20 de marzo de 2022. Aunado a ello, presta cobertura material en tanto ampara la responsabilidad civil extracontractual, pretensión que se le endilga al extremo pasivo.</w:t>
            </w:r>
          </w:p>
          <w:p w14:paraId="3846032E" w14:textId="77777777" w:rsidR="00920CC9" w:rsidRPr="00920CC9" w:rsidRDefault="00920CC9" w:rsidP="00920CC9">
            <w:pPr>
              <w:spacing w:line="360" w:lineRule="auto"/>
              <w:jc w:val="both"/>
              <w:rPr>
                <w:rFonts w:ascii="Century Gothic" w:hAnsi="Century Gothic"/>
                <w:sz w:val="22"/>
                <w:szCs w:val="22"/>
              </w:rPr>
            </w:pPr>
          </w:p>
          <w:p w14:paraId="70F4D313" w14:textId="77777777" w:rsidR="00920CC9" w:rsidRPr="00920CC9" w:rsidRDefault="00920CC9" w:rsidP="00920CC9">
            <w:pPr>
              <w:spacing w:line="360" w:lineRule="auto"/>
              <w:jc w:val="both"/>
              <w:rPr>
                <w:rFonts w:ascii="Century Gothic" w:hAnsi="Century Gothic"/>
                <w:sz w:val="22"/>
                <w:szCs w:val="22"/>
              </w:rPr>
            </w:pPr>
            <w:r w:rsidRPr="00920CC9">
              <w:rPr>
                <w:rFonts w:ascii="Century Gothic" w:hAnsi="Century Gothic"/>
                <w:sz w:val="22"/>
                <w:szCs w:val="22"/>
              </w:rPr>
              <w:lastRenderedPageBreak/>
              <w:t xml:space="preserve">Por otro lado, frente a la responsabilidad del asegurado, debe señalarse que, si bien dentro del Informe Policial del Accidente de Tránsito se atribuye responsabilidad al vehículo asegurado bajo la hipótesis No. 157 y la consigna "no tener precaución con ciclistas en la vía", debe señalarse </w:t>
            </w:r>
            <w:proofErr w:type="gramStart"/>
            <w:r w:rsidRPr="00920CC9">
              <w:rPr>
                <w:rFonts w:ascii="Century Gothic" w:hAnsi="Century Gothic"/>
                <w:sz w:val="22"/>
                <w:szCs w:val="22"/>
              </w:rPr>
              <w:t>que</w:t>
            </w:r>
            <w:proofErr w:type="gramEnd"/>
            <w:r w:rsidRPr="00920CC9">
              <w:rPr>
                <w:rFonts w:ascii="Century Gothic" w:hAnsi="Century Gothic"/>
                <w:sz w:val="22"/>
                <w:szCs w:val="22"/>
              </w:rPr>
              <w:t xml:space="preserve"> dentro del Informe, se atribuyó en igual medida al señor Justo Pastor Echeverría la hipótesis No. 409 (Cruzar sin observar) como causa probable del accidente. Ésta última fue confirmada en el Informe de Reconstrucción de Accidente de Tránsito (RAT) elaborado por CESVI Colombia, en el cual se pudo concluir que la causa determinante del accidente fue el cruce desprevenido del señor Echeverría (Q.E.P.D.), sin tomar las medidas de precaución necesarias. En consecuencia, dependerá del debate probatorio, especialmente de la contradicción del RAT para acreditar que la causa del accidente es atribuible a la víctima, el señor Justo Pastor Echeverría. Razón por la que, en esta etapa procesal, es pertinente la calificación como REMOTA.</w:t>
            </w:r>
          </w:p>
          <w:p w14:paraId="7B527829" w14:textId="77777777" w:rsidR="00920CC9" w:rsidRPr="00920CC9" w:rsidRDefault="00920CC9" w:rsidP="00920CC9">
            <w:pPr>
              <w:spacing w:line="360" w:lineRule="auto"/>
              <w:jc w:val="both"/>
              <w:rPr>
                <w:rFonts w:ascii="Century Gothic" w:hAnsi="Century Gothic"/>
                <w:sz w:val="22"/>
                <w:szCs w:val="22"/>
              </w:rPr>
            </w:pPr>
          </w:p>
          <w:p w14:paraId="58FF1192" w14:textId="25D8AB44" w:rsidR="00BA1E5F" w:rsidRPr="00BA1E5F" w:rsidRDefault="00920CC9" w:rsidP="00920CC9">
            <w:pPr>
              <w:spacing w:line="360" w:lineRule="auto"/>
              <w:jc w:val="both"/>
              <w:rPr>
                <w:rFonts w:ascii="Century Gothic" w:hAnsi="Century Gothic"/>
                <w:sz w:val="22"/>
                <w:szCs w:val="22"/>
              </w:rPr>
            </w:pPr>
            <w:r w:rsidRPr="00920CC9">
              <w:rPr>
                <w:rFonts w:ascii="Century Gothic" w:hAnsi="Century Gothic"/>
                <w:sz w:val="22"/>
                <w:szCs w:val="22"/>
              </w:rPr>
              <w:t>Lo anterior sin perjuicio del carácter contingente del proceso."</w:t>
            </w:r>
            <w:r w:rsidRPr="00920CC9">
              <w:rPr>
                <w:rFonts w:ascii="Century Gothic" w:hAnsi="Century Gothic"/>
                <w:sz w:val="22"/>
                <w:szCs w:val="22"/>
              </w:rPr>
              <w:tab/>
            </w:r>
          </w:p>
        </w:tc>
      </w:tr>
      <w:tr w:rsidR="00BA1E5F" w:rsidRPr="00BA1E5F" w14:paraId="6A3F4D91" w14:textId="77777777" w:rsidTr="008B59F4">
        <w:trPr>
          <w:trHeight w:val="1361"/>
        </w:trPr>
        <w:tc>
          <w:tcPr>
            <w:tcW w:w="10207" w:type="dxa"/>
            <w:gridSpan w:val="2"/>
            <w:vAlign w:val="center"/>
          </w:tcPr>
          <w:p w14:paraId="41561C34"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3807FC">
              <w:rPr>
                <w:rFonts w:ascii="Century Gothic" w:hAnsi="Century Gothic"/>
                <w:b/>
                <w:bCs/>
                <w:sz w:val="22"/>
                <w:szCs w:val="22"/>
              </w:rPr>
              <w:t xml:space="preserve">: GAFC </w:t>
            </w:r>
          </w:p>
          <w:p w14:paraId="3A806213" w14:textId="4CEB3E71" w:rsidR="003807FC" w:rsidRPr="00BA1E5F" w:rsidRDefault="003807FC" w:rsidP="00BA1E5F">
            <w:pPr>
              <w:spacing w:line="360" w:lineRule="auto"/>
              <w:jc w:val="center"/>
              <w:rPr>
                <w:rFonts w:ascii="Century Gothic" w:hAnsi="Century Gothic"/>
                <w:b/>
                <w:bCs/>
                <w:sz w:val="22"/>
                <w:szCs w:val="22"/>
              </w:rPr>
            </w:pPr>
            <w:proofErr w:type="spellStart"/>
            <w:r>
              <w:rPr>
                <w:rFonts w:ascii="Century Gothic" w:hAnsi="Century Gothic"/>
                <w:b/>
                <w:bCs/>
                <w:sz w:val="22"/>
                <w:szCs w:val="22"/>
              </w:rPr>
              <w:t>GHerrera</w:t>
            </w:r>
            <w:proofErr w:type="spellEnd"/>
            <w:r>
              <w:rPr>
                <w:rFonts w:ascii="Century Gothic" w:hAnsi="Century Gothic"/>
                <w:b/>
                <w:bCs/>
                <w:sz w:val="22"/>
                <w:szCs w:val="22"/>
              </w:rPr>
              <w:t xml:space="preserve"> &amp; Asociados Abogados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0D15" w14:textId="77777777" w:rsidR="00B40119" w:rsidRDefault="00B40119" w:rsidP="00E7033F">
      <w:r>
        <w:separator/>
      </w:r>
    </w:p>
  </w:endnote>
  <w:endnote w:type="continuationSeparator" w:id="0">
    <w:p w14:paraId="58C0BDFB" w14:textId="77777777" w:rsidR="00B40119" w:rsidRDefault="00B4011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B4FC" w14:textId="77777777" w:rsidR="00B40119" w:rsidRDefault="00B40119" w:rsidP="00E7033F">
      <w:r>
        <w:separator/>
      </w:r>
    </w:p>
  </w:footnote>
  <w:footnote w:type="continuationSeparator" w:id="0">
    <w:p w14:paraId="195D08CE" w14:textId="77777777" w:rsidR="00B40119" w:rsidRDefault="00B4011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A7C"/>
    <w:multiLevelType w:val="multilevel"/>
    <w:tmpl w:val="95E26D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E196A"/>
    <w:multiLevelType w:val="multilevel"/>
    <w:tmpl w:val="562A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4CED"/>
    <w:multiLevelType w:val="multilevel"/>
    <w:tmpl w:val="D86A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74FEB"/>
    <w:multiLevelType w:val="multilevel"/>
    <w:tmpl w:val="7AD6C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20134"/>
    <w:multiLevelType w:val="multilevel"/>
    <w:tmpl w:val="CB6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C625F"/>
    <w:multiLevelType w:val="multilevel"/>
    <w:tmpl w:val="3D86A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017EB"/>
    <w:multiLevelType w:val="multilevel"/>
    <w:tmpl w:val="8CD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B1DFC"/>
    <w:multiLevelType w:val="hybridMultilevel"/>
    <w:tmpl w:val="ED1CEE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3F2B94"/>
    <w:multiLevelType w:val="multilevel"/>
    <w:tmpl w:val="EFEE21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81D1A"/>
    <w:multiLevelType w:val="multilevel"/>
    <w:tmpl w:val="5DF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C0F46"/>
    <w:multiLevelType w:val="hybridMultilevel"/>
    <w:tmpl w:val="5D7001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F8052E"/>
    <w:multiLevelType w:val="multilevel"/>
    <w:tmpl w:val="CB6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052D3"/>
    <w:multiLevelType w:val="multilevel"/>
    <w:tmpl w:val="85C666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3629A"/>
    <w:multiLevelType w:val="multilevel"/>
    <w:tmpl w:val="17046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92918"/>
    <w:multiLevelType w:val="multilevel"/>
    <w:tmpl w:val="4AC87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B11E1"/>
    <w:multiLevelType w:val="multilevel"/>
    <w:tmpl w:val="2DDE2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A2A49"/>
    <w:multiLevelType w:val="multilevel"/>
    <w:tmpl w:val="D2AA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81FA0"/>
    <w:multiLevelType w:val="multilevel"/>
    <w:tmpl w:val="D56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6118C"/>
    <w:multiLevelType w:val="hybridMultilevel"/>
    <w:tmpl w:val="77128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921514"/>
    <w:multiLevelType w:val="multilevel"/>
    <w:tmpl w:val="95D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B1DC7"/>
    <w:multiLevelType w:val="multilevel"/>
    <w:tmpl w:val="360CD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8025B6"/>
    <w:multiLevelType w:val="multilevel"/>
    <w:tmpl w:val="C22219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57A70"/>
    <w:multiLevelType w:val="multilevel"/>
    <w:tmpl w:val="CB040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812D5"/>
    <w:multiLevelType w:val="multilevel"/>
    <w:tmpl w:val="6C161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D408E"/>
    <w:multiLevelType w:val="multilevel"/>
    <w:tmpl w:val="903A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136918">
    <w:abstractNumId w:val="2"/>
  </w:num>
  <w:num w:numId="2" w16cid:durableId="787435979">
    <w:abstractNumId w:val="13"/>
  </w:num>
  <w:num w:numId="3" w16cid:durableId="1971664996">
    <w:abstractNumId w:val="23"/>
  </w:num>
  <w:num w:numId="4" w16cid:durableId="424423629">
    <w:abstractNumId w:val="21"/>
  </w:num>
  <w:num w:numId="5" w16cid:durableId="1759673178">
    <w:abstractNumId w:val="8"/>
  </w:num>
  <w:num w:numId="6" w16cid:durableId="1993168740">
    <w:abstractNumId w:val="0"/>
  </w:num>
  <w:num w:numId="7" w16cid:durableId="67846803">
    <w:abstractNumId w:val="4"/>
  </w:num>
  <w:num w:numId="8" w16cid:durableId="1136021401">
    <w:abstractNumId w:val="22"/>
  </w:num>
  <w:num w:numId="9" w16cid:durableId="2077822498">
    <w:abstractNumId w:val="20"/>
  </w:num>
  <w:num w:numId="10" w16cid:durableId="410084991">
    <w:abstractNumId w:val="15"/>
  </w:num>
  <w:num w:numId="11" w16cid:durableId="1576936515">
    <w:abstractNumId w:val="3"/>
  </w:num>
  <w:num w:numId="12" w16cid:durableId="1073160947">
    <w:abstractNumId w:val="12"/>
  </w:num>
  <w:num w:numId="13" w16cid:durableId="1585260483">
    <w:abstractNumId w:val="17"/>
  </w:num>
  <w:num w:numId="14" w16cid:durableId="665280714">
    <w:abstractNumId w:val="6"/>
  </w:num>
  <w:num w:numId="15" w16cid:durableId="847404625">
    <w:abstractNumId w:val="19"/>
  </w:num>
  <w:num w:numId="16" w16cid:durableId="110051783">
    <w:abstractNumId w:val="5"/>
  </w:num>
  <w:num w:numId="17" w16cid:durableId="106657246">
    <w:abstractNumId w:val="14"/>
  </w:num>
  <w:num w:numId="18" w16cid:durableId="179857211">
    <w:abstractNumId w:val="9"/>
  </w:num>
  <w:num w:numId="19" w16cid:durableId="1344405531">
    <w:abstractNumId w:val="1"/>
  </w:num>
  <w:num w:numId="20" w16cid:durableId="1514101522">
    <w:abstractNumId w:val="24"/>
  </w:num>
  <w:num w:numId="21" w16cid:durableId="171069239">
    <w:abstractNumId w:val="16"/>
  </w:num>
  <w:num w:numId="22" w16cid:durableId="1748459067">
    <w:abstractNumId w:val="18"/>
  </w:num>
  <w:num w:numId="23" w16cid:durableId="1982885323">
    <w:abstractNumId w:val="11"/>
  </w:num>
  <w:num w:numId="24" w16cid:durableId="1180464800">
    <w:abstractNumId w:val="7"/>
  </w:num>
  <w:num w:numId="25" w16cid:durableId="1017385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69DF"/>
    <w:rsid w:val="000554F9"/>
    <w:rsid w:val="00060489"/>
    <w:rsid w:val="00072BFC"/>
    <w:rsid w:val="00087837"/>
    <w:rsid w:val="000D23FC"/>
    <w:rsid w:val="001129B6"/>
    <w:rsid w:val="00130E32"/>
    <w:rsid w:val="001376E4"/>
    <w:rsid w:val="00155C1F"/>
    <w:rsid w:val="00181E11"/>
    <w:rsid w:val="001C44B4"/>
    <w:rsid w:val="001E096B"/>
    <w:rsid w:val="001E1616"/>
    <w:rsid w:val="001E5C79"/>
    <w:rsid w:val="00263011"/>
    <w:rsid w:val="002633C0"/>
    <w:rsid w:val="002A0E98"/>
    <w:rsid w:val="00311097"/>
    <w:rsid w:val="00314CAF"/>
    <w:rsid w:val="00324E27"/>
    <w:rsid w:val="003314A2"/>
    <w:rsid w:val="00366EF0"/>
    <w:rsid w:val="003807FC"/>
    <w:rsid w:val="003827E1"/>
    <w:rsid w:val="003B44CB"/>
    <w:rsid w:val="003B7F1A"/>
    <w:rsid w:val="003D30B3"/>
    <w:rsid w:val="00403BFC"/>
    <w:rsid w:val="00437455"/>
    <w:rsid w:val="0044192D"/>
    <w:rsid w:val="00493936"/>
    <w:rsid w:val="004C7D4E"/>
    <w:rsid w:val="00504D59"/>
    <w:rsid w:val="00504FFB"/>
    <w:rsid w:val="00527420"/>
    <w:rsid w:val="005565C1"/>
    <w:rsid w:val="005F61D3"/>
    <w:rsid w:val="006056E7"/>
    <w:rsid w:val="006364E1"/>
    <w:rsid w:val="006769E3"/>
    <w:rsid w:val="00694306"/>
    <w:rsid w:val="006A1563"/>
    <w:rsid w:val="006A45A3"/>
    <w:rsid w:val="006F0CAA"/>
    <w:rsid w:val="0074223A"/>
    <w:rsid w:val="00761B63"/>
    <w:rsid w:val="00762BCF"/>
    <w:rsid w:val="007C37D7"/>
    <w:rsid w:val="007E41EF"/>
    <w:rsid w:val="008B59F4"/>
    <w:rsid w:val="008B61E5"/>
    <w:rsid w:val="008B685D"/>
    <w:rsid w:val="008E249B"/>
    <w:rsid w:val="008F6B57"/>
    <w:rsid w:val="00903226"/>
    <w:rsid w:val="00920CC9"/>
    <w:rsid w:val="00923689"/>
    <w:rsid w:val="0095378E"/>
    <w:rsid w:val="009820E4"/>
    <w:rsid w:val="00987619"/>
    <w:rsid w:val="00992368"/>
    <w:rsid w:val="00996B7A"/>
    <w:rsid w:val="009A03F0"/>
    <w:rsid w:val="009A06ED"/>
    <w:rsid w:val="00A708BA"/>
    <w:rsid w:val="00B053EB"/>
    <w:rsid w:val="00B2787D"/>
    <w:rsid w:val="00B40119"/>
    <w:rsid w:val="00B90E05"/>
    <w:rsid w:val="00BA0472"/>
    <w:rsid w:val="00BA1249"/>
    <w:rsid w:val="00BA1E5F"/>
    <w:rsid w:val="00BC0356"/>
    <w:rsid w:val="00C356C2"/>
    <w:rsid w:val="00C942DC"/>
    <w:rsid w:val="00D33414"/>
    <w:rsid w:val="00D35F0D"/>
    <w:rsid w:val="00D928A1"/>
    <w:rsid w:val="00DA21F8"/>
    <w:rsid w:val="00DD6A64"/>
    <w:rsid w:val="00DE5BEB"/>
    <w:rsid w:val="00E7033F"/>
    <w:rsid w:val="00E802BC"/>
    <w:rsid w:val="00E952BF"/>
    <w:rsid w:val="00E968CB"/>
    <w:rsid w:val="00EB5FFB"/>
    <w:rsid w:val="00EE687D"/>
    <w:rsid w:val="00F256CF"/>
    <w:rsid w:val="00F4208A"/>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56CF"/>
    <w:pPr>
      <w:ind w:left="720"/>
      <w:contextualSpacing/>
    </w:pPr>
  </w:style>
  <w:style w:type="character" w:styleId="Refdecomentario">
    <w:name w:val="annotation reference"/>
    <w:basedOn w:val="Fuentedeprrafopredeter"/>
    <w:uiPriority w:val="99"/>
    <w:semiHidden/>
    <w:unhideWhenUsed/>
    <w:rsid w:val="00C356C2"/>
    <w:rPr>
      <w:sz w:val="16"/>
      <w:szCs w:val="16"/>
    </w:rPr>
  </w:style>
  <w:style w:type="paragraph" w:styleId="Textocomentario">
    <w:name w:val="annotation text"/>
    <w:basedOn w:val="Normal"/>
    <w:link w:val="TextocomentarioCar"/>
    <w:uiPriority w:val="99"/>
    <w:unhideWhenUsed/>
    <w:rsid w:val="00C356C2"/>
    <w:rPr>
      <w:sz w:val="20"/>
      <w:szCs w:val="20"/>
    </w:rPr>
  </w:style>
  <w:style w:type="character" w:customStyle="1" w:styleId="TextocomentarioCar">
    <w:name w:val="Texto comentario Car"/>
    <w:basedOn w:val="Fuentedeprrafopredeter"/>
    <w:link w:val="Textocomentario"/>
    <w:uiPriority w:val="99"/>
    <w:rsid w:val="00C356C2"/>
    <w:rPr>
      <w:sz w:val="20"/>
      <w:szCs w:val="20"/>
    </w:rPr>
  </w:style>
  <w:style w:type="paragraph" w:styleId="Asuntodelcomentario">
    <w:name w:val="annotation subject"/>
    <w:basedOn w:val="Textocomentario"/>
    <w:next w:val="Textocomentario"/>
    <w:link w:val="AsuntodelcomentarioCar"/>
    <w:uiPriority w:val="99"/>
    <w:semiHidden/>
    <w:unhideWhenUsed/>
    <w:rsid w:val="00C356C2"/>
    <w:rPr>
      <w:b/>
      <w:bCs/>
    </w:rPr>
  </w:style>
  <w:style w:type="character" w:customStyle="1" w:styleId="AsuntodelcomentarioCar">
    <w:name w:val="Asunto del comentario Car"/>
    <w:basedOn w:val="TextocomentarioCar"/>
    <w:link w:val="Asuntodelcomentario"/>
    <w:uiPriority w:val="99"/>
    <w:semiHidden/>
    <w:rsid w:val="00C356C2"/>
    <w:rPr>
      <w:b/>
      <w:bCs/>
      <w:sz w:val="20"/>
      <w:szCs w:val="20"/>
    </w:rPr>
  </w:style>
  <w:style w:type="paragraph" w:styleId="NormalWeb">
    <w:name w:val="Normal (Web)"/>
    <w:basedOn w:val="Normal"/>
    <w:uiPriority w:val="99"/>
    <w:semiHidden/>
    <w:unhideWhenUsed/>
    <w:rsid w:val="009A03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0542">
      <w:bodyDiv w:val="1"/>
      <w:marLeft w:val="0"/>
      <w:marRight w:val="0"/>
      <w:marTop w:val="0"/>
      <w:marBottom w:val="0"/>
      <w:divBdr>
        <w:top w:val="none" w:sz="0" w:space="0" w:color="auto"/>
        <w:left w:val="none" w:sz="0" w:space="0" w:color="auto"/>
        <w:bottom w:val="none" w:sz="0" w:space="0" w:color="auto"/>
        <w:right w:val="none" w:sz="0" w:space="0" w:color="auto"/>
      </w:divBdr>
    </w:div>
    <w:div w:id="674380512">
      <w:bodyDiv w:val="1"/>
      <w:marLeft w:val="0"/>
      <w:marRight w:val="0"/>
      <w:marTop w:val="0"/>
      <w:marBottom w:val="0"/>
      <w:divBdr>
        <w:top w:val="none" w:sz="0" w:space="0" w:color="auto"/>
        <w:left w:val="none" w:sz="0" w:space="0" w:color="auto"/>
        <w:bottom w:val="none" w:sz="0" w:space="0" w:color="auto"/>
        <w:right w:val="none" w:sz="0" w:space="0" w:color="auto"/>
      </w:divBdr>
      <w:divsChild>
        <w:div w:id="567574254">
          <w:marLeft w:val="0"/>
          <w:marRight w:val="0"/>
          <w:marTop w:val="240"/>
          <w:marBottom w:val="240"/>
          <w:divBdr>
            <w:top w:val="none" w:sz="0" w:space="0" w:color="auto"/>
            <w:left w:val="none" w:sz="0" w:space="0" w:color="auto"/>
            <w:bottom w:val="none" w:sz="0" w:space="0" w:color="auto"/>
            <w:right w:val="none" w:sz="0" w:space="0" w:color="auto"/>
          </w:divBdr>
        </w:div>
        <w:div w:id="1691684027">
          <w:marLeft w:val="0"/>
          <w:marRight w:val="0"/>
          <w:marTop w:val="240"/>
          <w:marBottom w:val="240"/>
          <w:divBdr>
            <w:top w:val="none" w:sz="0" w:space="0" w:color="auto"/>
            <w:left w:val="none" w:sz="0" w:space="0" w:color="auto"/>
            <w:bottom w:val="none" w:sz="0" w:space="0" w:color="auto"/>
            <w:right w:val="none" w:sz="0" w:space="0" w:color="auto"/>
          </w:divBdr>
        </w:div>
        <w:div w:id="200365723">
          <w:marLeft w:val="0"/>
          <w:marRight w:val="0"/>
          <w:marTop w:val="240"/>
          <w:marBottom w:val="240"/>
          <w:divBdr>
            <w:top w:val="none" w:sz="0" w:space="0" w:color="auto"/>
            <w:left w:val="none" w:sz="0" w:space="0" w:color="auto"/>
            <w:bottom w:val="none" w:sz="0" w:space="0" w:color="auto"/>
            <w:right w:val="none" w:sz="0" w:space="0" w:color="auto"/>
          </w:divBdr>
        </w:div>
        <w:div w:id="739254603">
          <w:marLeft w:val="0"/>
          <w:marRight w:val="0"/>
          <w:marTop w:val="240"/>
          <w:marBottom w:val="240"/>
          <w:divBdr>
            <w:top w:val="none" w:sz="0" w:space="0" w:color="auto"/>
            <w:left w:val="none" w:sz="0" w:space="0" w:color="auto"/>
            <w:bottom w:val="none" w:sz="0" w:space="0" w:color="auto"/>
            <w:right w:val="none" w:sz="0" w:space="0" w:color="auto"/>
          </w:divBdr>
        </w:div>
        <w:div w:id="461995392">
          <w:marLeft w:val="0"/>
          <w:marRight w:val="0"/>
          <w:marTop w:val="240"/>
          <w:marBottom w:val="240"/>
          <w:divBdr>
            <w:top w:val="none" w:sz="0" w:space="0" w:color="auto"/>
            <w:left w:val="none" w:sz="0" w:space="0" w:color="auto"/>
            <w:bottom w:val="none" w:sz="0" w:space="0" w:color="auto"/>
            <w:right w:val="none" w:sz="0" w:space="0" w:color="auto"/>
          </w:divBdr>
        </w:div>
        <w:div w:id="2126730286">
          <w:marLeft w:val="0"/>
          <w:marRight w:val="0"/>
          <w:marTop w:val="240"/>
          <w:marBottom w:val="240"/>
          <w:divBdr>
            <w:top w:val="none" w:sz="0" w:space="0" w:color="auto"/>
            <w:left w:val="none" w:sz="0" w:space="0" w:color="auto"/>
            <w:bottom w:val="none" w:sz="0" w:space="0" w:color="auto"/>
            <w:right w:val="none" w:sz="0" w:space="0" w:color="auto"/>
          </w:divBdr>
        </w:div>
        <w:div w:id="654064527">
          <w:marLeft w:val="0"/>
          <w:marRight w:val="0"/>
          <w:marTop w:val="240"/>
          <w:marBottom w:val="240"/>
          <w:divBdr>
            <w:top w:val="none" w:sz="0" w:space="0" w:color="auto"/>
            <w:left w:val="none" w:sz="0" w:space="0" w:color="auto"/>
            <w:bottom w:val="none" w:sz="0" w:space="0" w:color="auto"/>
            <w:right w:val="none" w:sz="0" w:space="0" w:color="auto"/>
          </w:divBdr>
        </w:div>
        <w:div w:id="128592985">
          <w:marLeft w:val="0"/>
          <w:marRight w:val="0"/>
          <w:marTop w:val="240"/>
          <w:marBottom w:val="240"/>
          <w:divBdr>
            <w:top w:val="none" w:sz="0" w:space="0" w:color="auto"/>
            <w:left w:val="none" w:sz="0" w:space="0" w:color="auto"/>
            <w:bottom w:val="none" w:sz="0" w:space="0" w:color="auto"/>
            <w:right w:val="none" w:sz="0" w:space="0" w:color="auto"/>
          </w:divBdr>
        </w:div>
        <w:div w:id="602686857">
          <w:marLeft w:val="0"/>
          <w:marRight w:val="0"/>
          <w:marTop w:val="240"/>
          <w:marBottom w:val="240"/>
          <w:divBdr>
            <w:top w:val="none" w:sz="0" w:space="0" w:color="auto"/>
            <w:left w:val="none" w:sz="0" w:space="0" w:color="auto"/>
            <w:bottom w:val="none" w:sz="0" w:space="0" w:color="auto"/>
            <w:right w:val="none" w:sz="0" w:space="0" w:color="auto"/>
          </w:divBdr>
        </w:div>
      </w:divsChild>
    </w:div>
    <w:div w:id="822508045">
      <w:bodyDiv w:val="1"/>
      <w:marLeft w:val="0"/>
      <w:marRight w:val="0"/>
      <w:marTop w:val="0"/>
      <w:marBottom w:val="0"/>
      <w:divBdr>
        <w:top w:val="none" w:sz="0" w:space="0" w:color="auto"/>
        <w:left w:val="none" w:sz="0" w:space="0" w:color="auto"/>
        <w:bottom w:val="none" w:sz="0" w:space="0" w:color="auto"/>
        <w:right w:val="none" w:sz="0" w:space="0" w:color="auto"/>
      </w:divBdr>
      <w:divsChild>
        <w:div w:id="254748869">
          <w:marLeft w:val="0"/>
          <w:marRight w:val="0"/>
          <w:marTop w:val="240"/>
          <w:marBottom w:val="240"/>
          <w:divBdr>
            <w:top w:val="none" w:sz="0" w:space="0" w:color="auto"/>
            <w:left w:val="none" w:sz="0" w:space="0" w:color="auto"/>
            <w:bottom w:val="none" w:sz="0" w:space="0" w:color="auto"/>
            <w:right w:val="none" w:sz="0" w:space="0" w:color="auto"/>
          </w:divBdr>
        </w:div>
        <w:div w:id="1867981348">
          <w:marLeft w:val="0"/>
          <w:marRight w:val="0"/>
          <w:marTop w:val="240"/>
          <w:marBottom w:val="240"/>
          <w:divBdr>
            <w:top w:val="none" w:sz="0" w:space="0" w:color="auto"/>
            <w:left w:val="none" w:sz="0" w:space="0" w:color="auto"/>
            <w:bottom w:val="none" w:sz="0" w:space="0" w:color="auto"/>
            <w:right w:val="none" w:sz="0" w:space="0" w:color="auto"/>
          </w:divBdr>
        </w:div>
        <w:div w:id="1092892094">
          <w:marLeft w:val="0"/>
          <w:marRight w:val="0"/>
          <w:marTop w:val="240"/>
          <w:marBottom w:val="240"/>
          <w:divBdr>
            <w:top w:val="none" w:sz="0" w:space="0" w:color="auto"/>
            <w:left w:val="none" w:sz="0" w:space="0" w:color="auto"/>
            <w:bottom w:val="none" w:sz="0" w:space="0" w:color="auto"/>
            <w:right w:val="none" w:sz="0" w:space="0" w:color="auto"/>
          </w:divBdr>
        </w:div>
        <w:div w:id="843939343">
          <w:marLeft w:val="0"/>
          <w:marRight w:val="0"/>
          <w:marTop w:val="240"/>
          <w:marBottom w:val="240"/>
          <w:divBdr>
            <w:top w:val="none" w:sz="0" w:space="0" w:color="auto"/>
            <w:left w:val="none" w:sz="0" w:space="0" w:color="auto"/>
            <w:bottom w:val="none" w:sz="0" w:space="0" w:color="auto"/>
            <w:right w:val="none" w:sz="0" w:space="0" w:color="auto"/>
          </w:divBdr>
        </w:div>
        <w:div w:id="2085908303">
          <w:marLeft w:val="0"/>
          <w:marRight w:val="0"/>
          <w:marTop w:val="240"/>
          <w:marBottom w:val="240"/>
          <w:divBdr>
            <w:top w:val="none" w:sz="0" w:space="0" w:color="auto"/>
            <w:left w:val="none" w:sz="0" w:space="0" w:color="auto"/>
            <w:bottom w:val="none" w:sz="0" w:space="0" w:color="auto"/>
            <w:right w:val="none" w:sz="0" w:space="0" w:color="auto"/>
          </w:divBdr>
        </w:div>
        <w:div w:id="1664046579">
          <w:marLeft w:val="0"/>
          <w:marRight w:val="0"/>
          <w:marTop w:val="240"/>
          <w:marBottom w:val="240"/>
          <w:divBdr>
            <w:top w:val="none" w:sz="0" w:space="0" w:color="auto"/>
            <w:left w:val="none" w:sz="0" w:space="0" w:color="auto"/>
            <w:bottom w:val="none" w:sz="0" w:space="0" w:color="auto"/>
            <w:right w:val="none" w:sz="0" w:space="0" w:color="auto"/>
          </w:divBdr>
        </w:div>
        <w:div w:id="221673313">
          <w:marLeft w:val="0"/>
          <w:marRight w:val="0"/>
          <w:marTop w:val="240"/>
          <w:marBottom w:val="240"/>
          <w:divBdr>
            <w:top w:val="none" w:sz="0" w:space="0" w:color="auto"/>
            <w:left w:val="none" w:sz="0" w:space="0" w:color="auto"/>
            <w:bottom w:val="none" w:sz="0" w:space="0" w:color="auto"/>
            <w:right w:val="none" w:sz="0" w:space="0" w:color="auto"/>
          </w:divBdr>
        </w:div>
        <w:div w:id="1357391810">
          <w:marLeft w:val="0"/>
          <w:marRight w:val="0"/>
          <w:marTop w:val="240"/>
          <w:marBottom w:val="240"/>
          <w:divBdr>
            <w:top w:val="none" w:sz="0" w:space="0" w:color="auto"/>
            <w:left w:val="none" w:sz="0" w:space="0" w:color="auto"/>
            <w:bottom w:val="none" w:sz="0" w:space="0" w:color="auto"/>
            <w:right w:val="none" w:sz="0" w:space="0" w:color="auto"/>
          </w:divBdr>
        </w:div>
        <w:div w:id="966161214">
          <w:marLeft w:val="0"/>
          <w:marRight w:val="0"/>
          <w:marTop w:val="240"/>
          <w:marBottom w:val="240"/>
          <w:divBdr>
            <w:top w:val="none" w:sz="0" w:space="0" w:color="auto"/>
            <w:left w:val="none" w:sz="0" w:space="0" w:color="auto"/>
            <w:bottom w:val="none" w:sz="0" w:space="0" w:color="auto"/>
            <w:right w:val="none" w:sz="0" w:space="0" w:color="auto"/>
          </w:divBdr>
        </w:div>
      </w:divsChild>
    </w:div>
    <w:div w:id="1290551604">
      <w:bodyDiv w:val="1"/>
      <w:marLeft w:val="0"/>
      <w:marRight w:val="0"/>
      <w:marTop w:val="0"/>
      <w:marBottom w:val="0"/>
      <w:divBdr>
        <w:top w:val="none" w:sz="0" w:space="0" w:color="auto"/>
        <w:left w:val="none" w:sz="0" w:space="0" w:color="auto"/>
        <w:bottom w:val="none" w:sz="0" w:space="0" w:color="auto"/>
        <w:right w:val="none" w:sz="0" w:space="0" w:color="auto"/>
      </w:divBdr>
    </w:div>
    <w:div w:id="1430734885">
      <w:bodyDiv w:val="1"/>
      <w:marLeft w:val="0"/>
      <w:marRight w:val="0"/>
      <w:marTop w:val="0"/>
      <w:marBottom w:val="0"/>
      <w:divBdr>
        <w:top w:val="none" w:sz="0" w:space="0" w:color="auto"/>
        <w:left w:val="none" w:sz="0" w:space="0" w:color="auto"/>
        <w:bottom w:val="none" w:sz="0" w:space="0" w:color="auto"/>
        <w:right w:val="none" w:sz="0" w:space="0" w:color="auto"/>
      </w:divBdr>
      <w:divsChild>
        <w:div w:id="1450975224">
          <w:marLeft w:val="0"/>
          <w:marRight w:val="0"/>
          <w:marTop w:val="240"/>
          <w:marBottom w:val="240"/>
          <w:divBdr>
            <w:top w:val="none" w:sz="0" w:space="0" w:color="auto"/>
            <w:left w:val="none" w:sz="0" w:space="0" w:color="auto"/>
            <w:bottom w:val="none" w:sz="0" w:space="0" w:color="auto"/>
            <w:right w:val="none" w:sz="0" w:space="0" w:color="auto"/>
          </w:divBdr>
        </w:div>
        <w:div w:id="1759907000">
          <w:marLeft w:val="0"/>
          <w:marRight w:val="0"/>
          <w:marTop w:val="240"/>
          <w:marBottom w:val="240"/>
          <w:divBdr>
            <w:top w:val="none" w:sz="0" w:space="0" w:color="auto"/>
            <w:left w:val="none" w:sz="0" w:space="0" w:color="auto"/>
            <w:bottom w:val="none" w:sz="0" w:space="0" w:color="auto"/>
            <w:right w:val="none" w:sz="0" w:space="0" w:color="auto"/>
          </w:divBdr>
        </w:div>
        <w:div w:id="1916738237">
          <w:marLeft w:val="0"/>
          <w:marRight w:val="0"/>
          <w:marTop w:val="240"/>
          <w:marBottom w:val="240"/>
          <w:divBdr>
            <w:top w:val="none" w:sz="0" w:space="0" w:color="auto"/>
            <w:left w:val="none" w:sz="0" w:space="0" w:color="auto"/>
            <w:bottom w:val="none" w:sz="0" w:space="0" w:color="auto"/>
            <w:right w:val="none" w:sz="0" w:space="0" w:color="auto"/>
          </w:divBdr>
        </w:div>
        <w:div w:id="1733195718">
          <w:marLeft w:val="0"/>
          <w:marRight w:val="0"/>
          <w:marTop w:val="240"/>
          <w:marBottom w:val="240"/>
          <w:divBdr>
            <w:top w:val="none" w:sz="0" w:space="0" w:color="auto"/>
            <w:left w:val="none" w:sz="0" w:space="0" w:color="auto"/>
            <w:bottom w:val="none" w:sz="0" w:space="0" w:color="auto"/>
            <w:right w:val="none" w:sz="0" w:space="0" w:color="auto"/>
          </w:divBdr>
        </w:div>
        <w:div w:id="1377050935">
          <w:marLeft w:val="0"/>
          <w:marRight w:val="0"/>
          <w:marTop w:val="240"/>
          <w:marBottom w:val="240"/>
          <w:divBdr>
            <w:top w:val="none" w:sz="0" w:space="0" w:color="auto"/>
            <w:left w:val="none" w:sz="0" w:space="0" w:color="auto"/>
            <w:bottom w:val="none" w:sz="0" w:space="0" w:color="auto"/>
            <w:right w:val="none" w:sz="0" w:space="0" w:color="auto"/>
          </w:divBdr>
        </w:div>
        <w:div w:id="1862469318">
          <w:marLeft w:val="0"/>
          <w:marRight w:val="0"/>
          <w:marTop w:val="240"/>
          <w:marBottom w:val="240"/>
          <w:divBdr>
            <w:top w:val="none" w:sz="0" w:space="0" w:color="auto"/>
            <w:left w:val="none" w:sz="0" w:space="0" w:color="auto"/>
            <w:bottom w:val="none" w:sz="0" w:space="0" w:color="auto"/>
            <w:right w:val="none" w:sz="0" w:space="0" w:color="auto"/>
          </w:divBdr>
        </w:div>
      </w:divsChild>
    </w:div>
    <w:div w:id="1532454267">
      <w:bodyDiv w:val="1"/>
      <w:marLeft w:val="0"/>
      <w:marRight w:val="0"/>
      <w:marTop w:val="0"/>
      <w:marBottom w:val="0"/>
      <w:divBdr>
        <w:top w:val="none" w:sz="0" w:space="0" w:color="auto"/>
        <w:left w:val="none" w:sz="0" w:space="0" w:color="auto"/>
        <w:bottom w:val="none" w:sz="0" w:space="0" w:color="auto"/>
        <w:right w:val="none" w:sz="0" w:space="0" w:color="auto"/>
      </w:divBdr>
      <w:divsChild>
        <w:div w:id="549271791">
          <w:marLeft w:val="0"/>
          <w:marRight w:val="0"/>
          <w:marTop w:val="240"/>
          <w:marBottom w:val="240"/>
          <w:divBdr>
            <w:top w:val="none" w:sz="0" w:space="0" w:color="auto"/>
            <w:left w:val="none" w:sz="0" w:space="0" w:color="auto"/>
            <w:bottom w:val="none" w:sz="0" w:space="0" w:color="auto"/>
            <w:right w:val="none" w:sz="0" w:space="0" w:color="auto"/>
          </w:divBdr>
        </w:div>
        <w:div w:id="497961035">
          <w:marLeft w:val="0"/>
          <w:marRight w:val="0"/>
          <w:marTop w:val="240"/>
          <w:marBottom w:val="240"/>
          <w:divBdr>
            <w:top w:val="none" w:sz="0" w:space="0" w:color="auto"/>
            <w:left w:val="none" w:sz="0" w:space="0" w:color="auto"/>
            <w:bottom w:val="none" w:sz="0" w:space="0" w:color="auto"/>
            <w:right w:val="none" w:sz="0" w:space="0" w:color="auto"/>
          </w:divBdr>
        </w:div>
        <w:div w:id="45573537">
          <w:marLeft w:val="0"/>
          <w:marRight w:val="0"/>
          <w:marTop w:val="240"/>
          <w:marBottom w:val="240"/>
          <w:divBdr>
            <w:top w:val="none" w:sz="0" w:space="0" w:color="auto"/>
            <w:left w:val="none" w:sz="0" w:space="0" w:color="auto"/>
            <w:bottom w:val="none" w:sz="0" w:space="0" w:color="auto"/>
            <w:right w:val="none" w:sz="0" w:space="0" w:color="auto"/>
          </w:divBdr>
        </w:div>
        <w:div w:id="1885753171">
          <w:marLeft w:val="0"/>
          <w:marRight w:val="0"/>
          <w:marTop w:val="240"/>
          <w:marBottom w:val="240"/>
          <w:divBdr>
            <w:top w:val="none" w:sz="0" w:space="0" w:color="auto"/>
            <w:left w:val="none" w:sz="0" w:space="0" w:color="auto"/>
            <w:bottom w:val="none" w:sz="0" w:space="0" w:color="auto"/>
            <w:right w:val="none" w:sz="0" w:space="0" w:color="auto"/>
          </w:divBdr>
        </w:div>
        <w:div w:id="2019694687">
          <w:marLeft w:val="0"/>
          <w:marRight w:val="0"/>
          <w:marTop w:val="240"/>
          <w:marBottom w:val="240"/>
          <w:divBdr>
            <w:top w:val="none" w:sz="0" w:space="0" w:color="auto"/>
            <w:left w:val="none" w:sz="0" w:space="0" w:color="auto"/>
            <w:bottom w:val="none" w:sz="0" w:space="0" w:color="auto"/>
            <w:right w:val="none" w:sz="0" w:space="0" w:color="auto"/>
          </w:divBdr>
        </w:div>
        <w:div w:id="1393697620">
          <w:marLeft w:val="0"/>
          <w:marRight w:val="0"/>
          <w:marTop w:val="240"/>
          <w:marBottom w:val="240"/>
          <w:divBdr>
            <w:top w:val="none" w:sz="0" w:space="0" w:color="auto"/>
            <w:left w:val="none" w:sz="0" w:space="0" w:color="auto"/>
            <w:bottom w:val="none" w:sz="0" w:space="0" w:color="auto"/>
            <w:right w:val="none" w:sz="0" w:space="0" w:color="auto"/>
          </w:divBdr>
        </w:div>
      </w:divsChild>
    </w:div>
    <w:div w:id="1682196458">
      <w:bodyDiv w:val="1"/>
      <w:marLeft w:val="0"/>
      <w:marRight w:val="0"/>
      <w:marTop w:val="0"/>
      <w:marBottom w:val="0"/>
      <w:divBdr>
        <w:top w:val="none" w:sz="0" w:space="0" w:color="auto"/>
        <w:left w:val="none" w:sz="0" w:space="0" w:color="auto"/>
        <w:bottom w:val="none" w:sz="0" w:space="0" w:color="auto"/>
        <w:right w:val="none" w:sz="0" w:space="0" w:color="auto"/>
      </w:divBdr>
    </w:div>
    <w:div w:id="1893812331">
      <w:bodyDiv w:val="1"/>
      <w:marLeft w:val="0"/>
      <w:marRight w:val="0"/>
      <w:marTop w:val="0"/>
      <w:marBottom w:val="0"/>
      <w:divBdr>
        <w:top w:val="none" w:sz="0" w:space="0" w:color="auto"/>
        <w:left w:val="none" w:sz="0" w:space="0" w:color="auto"/>
        <w:bottom w:val="none" w:sz="0" w:space="0" w:color="auto"/>
        <w:right w:val="none" w:sz="0" w:space="0" w:color="auto"/>
      </w:divBdr>
    </w:div>
    <w:div w:id="1912883324">
      <w:bodyDiv w:val="1"/>
      <w:marLeft w:val="0"/>
      <w:marRight w:val="0"/>
      <w:marTop w:val="0"/>
      <w:marBottom w:val="0"/>
      <w:divBdr>
        <w:top w:val="none" w:sz="0" w:space="0" w:color="auto"/>
        <w:left w:val="none" w:sz="0" w:space="0" w:color="auto"/>
        <w:bottom w:val="none" w:sz="0" w:space="0" w:color="auto"/>
        <w:right w:val="none" w:sz="0" w:space="0" w:color="auto"/>
      </w:divBdr>
    </w:div>
    <w:div w:id="213883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8920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2025-06-20T13:09:00Z</dcterms:created>
  <dcterms:modified xsi:type="dcterms:W3CDTF">2025-06-20T13:09:00Z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2025-06-20T13:09:18Z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db5c0f1c-d50a-4d41-8902-fc4f7dd30c49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