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73243624" w:rsidR="00F67EF8" w:rsidRPr="00BA1E5F" w:rsidRDefault="004B0C08" w:rsidP="00F67EF8">
            <w:pPr>
              <w:spacing w:line="276" w:lineRule="auto"/>
              <w:jc w:val="both"/>
              <w:rPr>
                <w:rFonts w:ascii="Century Gothic" w:hAnsi="Century Gothic"/>
                <w:sz w:val="22"/>
                <w:szCs w:val="22"/>
              </w:rPr>
            </w:pPr>
            <w:r>
              <w:rPr>
                <w:rFonts w:ascii="Century Gothic" w:hAnsi="Century Gothic"/>
                <w:sz w:val="22"/>
                <w:szCs w:val="22"/>
              </w:rPr>
              <w:t xml:space="preserve">25 </w:t>
            </w:r>
            <w:r w:rsidR="00485837">
              <w:rPr>
                <w:rFonts w:ascii="Century Gothic" w:hAnsi="Century Gothic"/>
                <w:sz w:val="22"/>
                <w:szCs w:val="22"/>
              </w:rPr>
              <w:t xml:space="preserve">de </w:t>
            </w:r>
            <w:r w:rsidR="0075715F">
              <w:rPr>
                <w:rFonts w:ascii="Century Gothic" w:hAnsi="Century Gothic"/>
                <w:sz w:val="22"/>
                <w:szCs w:val="22"/>
              </w:rPr>
              <w:t>ju</w:t>
            </w:r>
            <w:r w:rsidR="001A4D6C">
              <w:rPr>
                <w:rFonts w:ascii="Century Gothic" w:hAnsi="Century Gothic"/>
                <w:sz w:val="22"/>
                <w:szCs w:val="22"/>
              </w:rPr>
              <w:t>l</w:t>
            </w:r>
            <w:r w:rsidR="0075715F">
              <w:rPr>
                <w:rFonts w:ascii="Century Gothic" w:hAnsi="Century Gothic"/>
                <w:sz w:val="22"/>
                <w:szCs w:val="22"/>
              </w:rPr>
              <w:t>io</w:t>
            </w:r>
            <w:r w:rsidR="00485837">
              <w:rPr>
                <w:rFonts w:ascii="Century Gothic" w:hAnsi="Century Gothic"/>
                <w:sz w:val="22"/>
                <w:szCs w:val="22"/>
              </w:rPr>
              <w:t xml:space="preserve">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0BF1A4A" w:rsidR="00F67EF8" w:rsidRPr="00BA1E5F" w:rsidRDefault="009A6A9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537A8D6E" w:rsidR="00F67EF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 xml:space="preserve">LA EQUIDAD SEGUROS </w:t>
            </w:r>
            <w:r w:rsidR="00027E82">
              <w:rPr>
                <w:rFonts w:ascii="Century Gothic" w:hAnsi="Century Gothic"/>
                <w:sz w:val="22"/>
                <w:szCs w:val="22"/>
              </w:rPr>
              <w:t>GENERALES</w:t>
            </w:r>
            <w:r w:rsidRPr="009A6A9B">
              <w:rPr>
                <w:rFonts w:ascii="Century Gothic" w:hAnsi="Century Gothic"/>
                <w:sz w:val="22"/>
                <w:szCs w:val="22"/>
              </w:rPr>
              <w:t xml:space="preserve"> </w:t>
            </w:r>
            <w:r>
              <w:rPr>
                <w:rFonts w:ascii="Century Gothic" w:hAnsi="Century Gothic"/>
                <w:sz w:val="22"/>
                <w:szCs w:val="22"/>
              </w:rPr>
              <w:t>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49E0A0E9" w:rsidR="00F67EF8" w:rsidRPr="00BA1E5F" w:rsidRDefault="001A4D6C" w:rsidP="00F67EF8">
            <w:pPr>
              <w:spacing w:line="276" w:lineRule="auto"/>
              <w:jc w:val="both"/>
              <w:rPr>
                <w:rFonts w:ascii="Century Gothic" w:hAnsi="Century Gothic"/>
                <w:sz w:val="22"/>
                <w:szCs w:val="22"/>
              </w:rPr>
            </w:pPr>
            <w:r>
              <w:rPr>
                <w:rFonts w:ascii="Century Gothic" w:hAnsi="Century Gothic"/>
                <w:sz w:val="22"/>
                <w:szCs w:val="22"/>
              </w:rPr>
              <w:t>11090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0953EA9C" w:rsidR="00F67EF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 xml:space="preserve">Juzgado </w:t>
            </w:r>
            <w:r w:rsidR="001A4D6C">
              <w:rPr>
                <w:rFonts w:ascii="Century Gothic" w:hAnsi="Century Gothic"/>
                <w:sz w:val="22"/>
                <w:szCs w:val="22"/>
              </w:rPr>
              <w:t>22</w:t>
            </w:r>
            <w:r w:rsidR="00027E82">
              <w:rPr>
                <w:rFonts w:ascii="Century Gothic" w:hAnsi="Century Gothic"/>
                <w:sz w:val="22"/>
                <w:szCs w:val="22"/>
              </w:rPr>
              <w:t xml:space="preserve"> Civil del Circuito</w:t>
            </w:r>
            <w:r w:rsidR="001A4D6C">
              <w:rPr>
                <w:rFonts w:ascii="Century Gothic" w:hAnsi="Century Gothic"/>
                <w:sz w:val="22"/>
                <w:szCs w:val="22"/>
              </w:rPr>
              <w:t xml:space="preserve"> de Oralidad</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D3C9D34" w:rsidR="00F67EF8" w:rsidRPr="00BA1E5F" w:rsidRDefault="00027E82" w:rsidP="00F67EF8">
            <w:pPr>
              <w:spacing w:line="276" w:lineRule="auto"/>
              <w:jc w:val="both"/>
              <w:rPr>
                <w:rFonts w:ascii="Century Gothic" w:hAnsi="Century Gothic"/>
                <w:sz w:val="22"/>
                <w:szCs w:val="22"/>
              </w:rPr>
            </w:pPr>
            <w:r>
              <w:rPr>
                <w:rFonts w:ascii="Century Gothic" w:hAnsi="Century Gothic"/>
                <w:sz w:val="22"/>
                <w:szCs w:val="22"/>
              </w:rPr>
              <w:t>Medellín</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0A594293" w:rsidR="00992368" w:rsidRPr="00485837" w:rsidRDefault="004B0C08" w:rsidP="00F67EF8">
            <w:pPr>
              <w:spacing w:line="276" w:lineRule="auto"/>
              <w:jc w:val="both"/>
              <w:rPr>
                <w:rFonts w:ascii="Century Gothic" w:hAnsi="Century Gothic"/>
                <w:sz w:val="22"/>
                <w:szCs w:val="22"/>
              </w:rPr>
            </w:pPr>
            <w:r w:rsidRPr="004B0C08">
              <w:rPr>
                <w:rFonts w:ascii="Century Gothic" w:hAnsi="Century Gothic" w:hint="cs"/>
                <w:sz w:val="22"/>
                <w:szCs w:val="22"/>
              </w:rPr>
              <w:t>05001310302220250007100</w:t>
            </w:r>
            <w:r>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B3DA88C" w:rsidR="00992368" w:rsidRPr="00BA1E5F" w:rsidRDefault="00A63D76" w:rsidP="00F67EF8">
            <w:pPr>
              <w:spacing w:line="276" w:lineRule="auto"/>
              <w:jc w:val="both"/>
              <w:rPr>
                <w:rFonts w:ascii="Century Gothic" w:hAnsi="Century Gothic"/>
                <w:sz w:val="22"/>
                <w:szCs w:val="22"/>
              </w:rPr>
            </w:pPr>
            <w:r>
              <w:rPr>
                <w:rFonts w:ascii="Century Gothic" w:hAnsi="Century Gothic"/>
                <w:sz w:val="22"/>
                <w:szCs w:val="22"/>
              </w:rPr>
              <w:t>1</w:t>
            </w:r>
            <w:r w:rsidR="009B5B9F">
              <w:rPr>
                <w:rFonts w:ascii="Century Gothic" w:hAnsi="Century Gothic"/>
                <w:sz w:val="22"/>
                <w:szCs w:val="22"/>
              </w:rPr>
              <w:t>5</w:t>
            </w:r>
            <w:r w:rsidR="00027E82">
              <w:rPr>
                <w:rFonts w:ascii="Century Gothic" w:hAnsi="Century Gothic"/>
                <w:sz w:val="22"/>
                <w:szCs w:val="22"/>
              </w:rPr>
              <w:t xml:space="preserve"> de </w:t>
            </w:r>
            <w:r w:rsidR="009B5B9F">
              <w:rPr>
                <w:rFonts w:ascii="Century Gothic" w:hAnsi="Century Gothic"/>
                <w:sz w:val="22"/>
                <w:szCs w:val="22"/>
              </w:rPr>
              <w:t>mayo de 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BA9BAB9" w:rsidR="00992368" w:rsidRPr="00BA1E5F" w:rsidRDefault="00A63D76" w:rsidP="009A6A9B">
            <w:pPr>
              <w:tabs>
                <w:tab w:val="left" w:pos="900"/>
              </w:tabs>
              <w:spacing w:line="276" w:lineRule="auto"/>
              <w:jc w:val="both"/>
              <w:rPr>
                <w:rFonts w:ascii="Century Gothic" w:hAnsi="Century Gothic"/>
                <w:sz w:val="22"/>
                <w:szCs w:val="22"/>
              </w:rPr>
            </w:pPr>
            <w:r>
              <w:rPr>
                <w:rFonts w:ascii="Century Gothic" w:hAnsi="Century Gothic"/>
                <w:sz w:val="22"/>
                <w:szCs w:val="22"/>
              </w:rPr>
              <w:t xml:space="preserve">13 de </w:t>
            </w:r>
            <w:r w:rsidR="009B5B9F">
              <w:rPr>
                <w:rFonts w:ascii="Century Gothic" w:hAnsi="Century Gothic"/>
                <w:sz w:val="22"/>
                <w:szCs w:val="22"/>
              </w:rPr>
              <w:t>junio de 20205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4B0C08" w:rsidRDefault="00B2787D" w:rsidP="007C37D7">
            <w:pPr>
              <w:spacing w:line="276" w:lineRule="auto"/>
              <w:jc w:val="center"/>
              <w:rPr>
                <w:rFonts w:ascii="Century Gothic" w:hAnsi="Century Gothic"/>
                <w:sz w:val="22"/>
                <w:szCs w:val="22"/>
              </w:rPr>
            </w:pPr>
          </w:p>
          <w:p w14:paraId="57E863D9" w14:textId="77777777" w:rsidR="009B5B9F" w:rsidRPr="004B0C08" w:rsidRDefault="009B5B9F" w:rsidP="009B5B9F">
            <w:pPr>
              <w:shd w:val="clear" w:color="auto" w:fill="FFFFFF"/>
              <w:spacing w:line="360" w:lineRule="auto"/>
              <w:jc w:val="both"/>
              <w:rPr>
                <w:rFonts w:ascii="Century Gothic" w:eastAsia="Times New Roman" w:hAnsi="Century Gothic" w:cs="Arial"/>
                <w:color w:val="000000"/>
                <w:sz w:val="22"/>
                <w:szCs w:val="22"/>
                <w:bdr w:val="none" w:sz="0" w:space="0" w:color="auto" w:frame="1"/>
                <w:shd w:val="clear" w:color="auto" w:fill="FFFFFF"/>
                <w:lang w:eastAsia="es-CO"/>
              </w:rPr>
            </w:pPr>
            <w:r w:rsidRPr="004B0C08">
              <w:rPr>
                <w:rFonts w:ascii="Century Gothic" w:eastAsia="Times New Roman" w:hAnsi="Century Gothic" w:cs="Arial"/>
                <w:color w:val="000000"/>
                <w:sz w:val="22"/>
                <w:szCs w:val="22"/>
                <w:bdr w:val="none" w:sz="0" w:space="0" w:color="auto" w:frame="1"/>
                <w:shd w:val="clear" w:color="auto" w:fill="FFFFFF"/>
                <w:lang w:eastAsia="es-CO"/>
              </w:rPr>
              <w:t>El día 24 de septiembre de 2023 el señor Gustavo Valencia sufrió un accidente de tránsito en el cual sufrió un corte profundo en la muñeca de su mano derecha, por lo que tuvo que ser trasladado al Hospital de Caldas, de donde fue remitido al Hospital General de Medellín donde acudió por cuenta propia. Cuando llega a la mencionada institución de salud es diagnosticado con traumatismo de la arteria cubital por lo que se procede a efectuar cirugía donde se repara la lesión en un 70%.</w:t>
            </w:r>
          </w:p>
          <w:p w14:paraId="094B6B41" w14:textId="77777777" w:rsidR="009B5B9F" w:rsidRPr="004B0C08" w:rsidRDefault="009B5B9F" w:rsidP="009B5B9F">
            <w:pPr>
              <w:shd w:val="clear" w:color="auto" w:fill="FFFFFF"/>
              <w:spacing w:line="360" w:lineRule="auto"/>
              <w:jc w:val="both"/>
              <w:rPr>
                <w:rFonts w:ascii="Century Gothic" w:eastAsia="Times New Roman" w:hAnsi="Century Gothic" w:cs="Arial"/>
                <w:color w:val="000000"/>
                <w:sz w:val="22"/>
                <w:szCs w:val="22"/>
                <w:bdr w:val="none" w:sz="0" w:space="0" w:color="auto" w:frame="1"/>
                <w:shd w:val="clear" w:color="auto" w:fill="FFFFFF"/>
                <w:lang w:eastAsia="es-CO"/>
              </w:rPr>
            </w:pPr>
          </w:p>
          <w:p w14:paraId="2D5E53E9" w14:textId="77777777" w:rsidR="009B5B9F" w:rsidRPr="004B0C08" w:rsidRDefault="009B5B9F" w:rsidP="009B5B9F">
            <w:pPr>
              <w:shd w:val="clear" w:color="auto" w:fill="FFFFFF"/>
              <w:spacing w:line="360" w:lineRule="auto"/>
              <w:jc w:val="both"/>
              <w:rPr>
                <w:rFonts w:ascii="Century Gothic" w:eastAsia="Times New Roman" w:hAnsi="Century Gothic" w:cs="Arial"/>
                <w:color w:val="000000"/>
                <w:sz w:val="22"/>
                <w:szCs w:val="22"/>
                <w:bdr w:val="none" w:sz="0" w:space="0" w:color="auto" w:frame="1"/>
                <w:shd w:val="clear" w:color="auto" w:fill="FFFFFF"/>
                <w:lang w:eastAsia="es-CO"/>
              </w:rPr>
            </w:pPr>
            <w:r w:rsidRPr="004B0C08">
              <w:rPr>
                <w:rFonts w:ascii="Century Gothic" w:eastAsia="Times New Roman" w:hAnsi="Century Gothic" w:cs="Arial"/>
                <w:color w:val="000000"/>
                <w:sz w:val="22"/>
                <w:szCs w:val="22"/>
                <w:bdr w:val="none" w:sz="0" w:space="0" w:color="auto" w:frame="1"/>
                <w:shd w:val="clear" w:color="auto" w:fill="FFFFFF"/>
                <w:lang w:eastAsia="es-CO"/>
              </w:rPr>
              <w:t xml:space="preserve">Tras el control médico posoperatorio, el médico tratante ordenó la práctica de </w:t>
            </w:r>
            <w:proofErr w:type="spellStart"/>
            <w:r w:rsidRPr="004B0C08">
              <w:rPr>
                <w:rFonts w:ascii="Century Gothic" w:eastAsia="Times New Roman" w:hAnsi="Century Gothic" w:cs="Arial"/>
                <w:color w:val="000000"/>
                <w:sz w:val="22"/>
                <w:szCs w:val="22"/>
                <w:bdr w:val="none" w:sz="0" w:space="0" w:color="auto" w:frame="1"/>
                <w:shd w:val="clear" w:color="auto" w:fill="FFFFFF"/>
                <w:lang w:eastAsia="es-CO"/>
              </w:rPr>
              <w:t>neurorrafia</w:t>
            </w:r>
            <w:proofErr w:type="spellEnd"/>
            <w:r w:rsidRPr="004B0C08">
              <w:rPr>
                <w:rFonts w:ascii="Century Gothic" w:eastAsia="Times New Roman" w:hAnsi="Century Gothic" w:cs="Arial"/>
                <w:color w:val="000000"/>
                <w:sz w:val="22"/>
                <w:szCs w:val="22"/>
                <w:bdr w:val="none" w:sz="0" w:space="0" w:color="auto" w:frame="1"/>
                <w:shd w:val="clear" w:color="auto" w:fill="FFFFFF"/>
                <w:lang w:eastAsia="es-CO"/>
              </w:rPr>
              <w:t xml:space="preserve"> de nervio en mano de carácter prioritario, sin embargo, este no es autorizado por EPS Suramericana S.A. y tampoco es realizado por el Hospital General de Medellín. Lo anterior llevó al paciente a interponer acción de tutela logrando que el procedimiento se programara parra el día 2022 de abril de 2024.</w:t>
            </w:r>
          </w:p>
          <w:p w14:paraId="16C5ED6F" w14:textId="77777777" w:rsidR="009B5B9F" w:rsidRPr="004B0C08" w:rsidRDefault="009B5B9F" w:rsidP="009B5B9F">
            <w:pPr>
              <w:shd w:val="clear" w:color="auto" w:fill="FFFFFF"/>
              <w:spacing w:line="360" w:lineRule="auto"/>
              <w:jc w:val="both"/>
              <w:rPr>
                <w:rFonts w:ascii="Century Gothic" w:eastAsia="Times New Roman" w:hAnsi="Century Gothic" w:cs="Arial"/>
                <w:color w:val="000000"/>
                <w:sz w:val="22"/>
                <w:szCs w:val="22"/>
                <w:bdr w:val="none" w:sz="0" w:space="0" w:color="auto" w:frame="1"/>
                <w:shd w:val="clear" w:color="auto" w:fill="FFFFFF"/>
                <w:lang w:eastAsia="es-CO"/>
              </w:rPr>
            </w:pPr>
          </w:p>
          <w:p w14:paraId="4FA5CB23" w14:textId="3E4C22AD" w:rsidR="00FD53B3" w:rsidRPr="004B0C08" w:rsidRDefault="009B5B9F" w:rsidP="004B0C08">
            <w:pPr>
              <w:spacing w:line="360" w:lineRule="auto"/>
              <w:jc w:val="both"/>
              <w:rPr>
                <w:rFonts w:ascii="Century Gothic" w:hAnsi="Century Gothic"/>
                <w:bCs/>
                <w:sz w:val="22"/>
                <w:szCs w:val="22"/>
              </w:rPr>
            </w:pPr>
            <w:r w:rsidRPr="004B0C08">
              <w:rPr>
                <w:rFonts w:ascii="Century Gothic" w:eastAsia="Times New Roman" w:hAnsi="Century Gothic" w:cs="Arial"/>
                <w:color w:val="000000"/>
                <w:sz w:val="22"/>
                <w:szCs w:val="22"/>
                <w:bdr w:val="none" w:sz="0" w:space="0" w:color="auto" w:frame="1"/>
                <w:shd w:val="clear" w:color="auto" w:fill="FFFFFF"/>
                <w:lang w:eastAsia="es-CO"/>
              </w:rPr>
              <w:t xml:space="preserve">En revisión posterior, del 27 de mayo de 2024 se hace la siguiente anotación en historia clínica: “se identifica sección completa del nervio mediano, se realiza </w:t>
            </w:r>
            <w:proofErr w:type="spellStart"/>
            <w:r w:rsidRPr="004B0C08">
              <w:rPr>
                <w:rFonts w:ascii="Century Gothic" w:eastAsia="Times New Roman" w:hAnsi="Century Gothic" w:cs="Arial"/>
                <w:color w:val="000000"/>
                <w:sz w:val="22"/>
                <w:szCs w:val="22"/>
                <w:bdr w:val="none" w:sz="0" w:space="0" w:color="auto" w:frame="1"/>
                <w:shd w:val="clear" w:color="auto" w:fill="FFFFFF"/>
                <w:lang w:eastAsia="es-CO"/>
              </w:rPr>
              <w:t>neurorrafia</w:t>
            </w:r>
            <w:proofErr w:type="spellEnd"/>
            <w:r w:rsidRPr="004B0C08">
              <w:rPr>
                <w:rFonts w:ascii="Century Gothic" w:eastAsia="Times New Roman" w:hAnsi="Century Gothic" w:cs="Arial"/>
                <w:color w:val="000000"/>
                <w:sz w:val="22"/>
                <w:szCs w:val="22"/>
                <w:bdr w:val="none" w:sz="0" w:space="0" w:color="auto" w:frame="1"/>
                <w:shd w:val="clear" w:color="auto" w:fill="FFFFFF"/>
                <w:lang w:eastAsia="es-CO"/>
              </w:rPr>
              <w:t xml:space="preserve">, paciente con evolución lenta, poca recuperación y mal pronóstico por el tipo de lesión y el tiempo desde </w:t>
            </w:r>
            <w:r w:rsidRPr="004B0C08">
              <w:rPr>
                <w:rFonts w:ascii="Century Gothic" w:eastAsia="Times New Roman" w:hAnsi="Century Gothic" w:cs="Arial"/>
                <w:color w:val="000000"/>
                <w:sz w:val="22"/>
                <w:szCs w:val="22"/>
                <w:bdr w:val="none" w:sz="0" w:space="0" w:color="auto" w:frame="1"/>
                <w:shd w:val="clear" w:color="auto" w:fill="FFFFFF"/>
                <w:lang w:eastAsia="es-CO"/>
              </w:rPr>
              <w:lastRenderedPageBreak/>
              <w:t>la lesión hasta la cirugía”. De esta forma, el paciente tiene una mano inmóvil y sin posibilidades de recuperación impidiéndole hacer actividades laborales que acostumbraba como lo es la conducción, situación que ha repercutido en su familia</w:t>
            </w:r>
          </w:p>
          <w:p w14:paraId="285181BA" w14:textId="77777777" w:rsidR="00B2787D" w:rsidRPr="004B0C08"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4B0C08" w:rsidRDefault="007C37D7" w:rsidP="007C37D7">
            <w:pPr>
              <w:spacing w:line="276" w:lineRule="auto"/>
              <w:jc w:val="center"/>
              <w:rPr>
                <w:rFonts w:ascii="Century Gothic" w:hAnsi="Century Gothic"/>
                <w:sz w:val="22"/>
                <w:szCs w:val="22"/>
              </w:rPr>
            </w:pPr>
          </w:p>
          <w:p w14:paraId="4A39919E" w14:textId="77777777" w:rsidR="006F6812" w:rsidRPr="004B0C08" w:rsidRDefault="006F6812" w:rsidP="006F6812">
            <w:pPr>
              <w:shd w:val="clear" w:color="auto" w:fill="FFFFFF"/>
              <w:spacing w:line="360" w:lineRule="auto"/>
              <w:rPr>
                <w:rFonts w:ascii="Century Gothic" w:eastAsia="Times New Roman" w:hAnsi="Century Gothic" w:cs="Arial"/>
                <w:color w:val="000000"/>
                <w:sz w:val="22"/>
                <w:szCs w:val="22"/>
                <w:bdr w:val="none" w:sz="0" w:space="0" w:color="auto" w:frame="1"/>
                <w:shd w:val="clear" w:color="auto" w:fill="FFFFFF"/>
                <w:lang w:eastAsia="es-CO"/>
              </w:rPr>
            </w:pPr>
            <w:r w:rsidRPr="004B0C08">
              <w:rPr>
                <w:rFonts w:ascii="Century Gothic" w:eastAsia="Times New Roman" w:hAnsi="Century Gothic" w:cs="Arial"/>
                <w:color w:val="000000"/>
                <w:sz w:val="22"/>
                <w:szCs w:val="22"/>
                <w:bdr w:val="none" w:sz="0" w:space="0" w:color="auto" w:frame="1"/>
                <w:shd w:val="clear" w:color="auto" w:fill="FFFFFF"/>
                <w:lang w:eastAsia="es-CO"/>
              </w:rPr>
              <w:t>Por concepto de perjuicios morales:                   220 SMLMV o $ 313.170.000</w:t>
            </w:r>
          </w:p>
          <w:p w14:paraId="1D94400B" w14:textId="77777777" w:rsidR="006F6812" w:rsidRPr="004B0C08" w:rsidRDefault="006F6812" w:rsidP="006F6812">
            <w:pPr>
              <w:shd w:val="clear" w:color="auto" w:fill="FFFFFF"/>
              <w:spacing w:line="360" w:lineRule="auto"/>
              <w:rPr>
                <w:rFonts w:ascii="Century Gothic" w:eastAsia="Times New Roman" w:hAnsi="Century Gothic" w:cs="Arial"/>
                <w:color w:val="000000"/>
                <w:sz w:val="22"/>
                <w:szCs w:val="22"/>
                <w:bdr w:val="none" w:sz="0" w:space="0" w:color="auto" w:frame="1"/>
                <w:shd w:val="clear" w:color="auto" w:fill="FFFFFF"/>
                <w:lang w:eastAsia="es-CO"/>
              </w:rPr>
            </w:pPr>
            <w:r w:rsidRPr="004B0C08">
              <w:rPr>
                <w:rFonts w:ascii="Century Gothic" w:eastAsia="Times New Roman" w:hAnsi="Century Gothic" w:cs="Arial"/>
                <w:color w:val="000000"/>
                <w:sz w:val="22"/>
                <w:szCs w:val="22"/>
                <w:bdr w:val="none" w:sz="0" w:space="0" w:color="auto" w:frame="1"/>
                <w:shd w:val="clear" w:color="auto" w:fill="FFFFFF"/>
                <w:lang w:eastAsia="es-CO"/>
              </w:rPr>
              <w:t>Por concepto de daño a la pérdida de</w:t>
            </w:r>
          </w:p>
          <w:p w14:paraId="5B699580" w14:textId="77777777" w:rsidR="006F6812" w:rsidRPr="004B0C08" w:rsidRDefault="006F6812" w:rsidP="006F6812">
            <w:pPr>
              <w:shd w:val="clear" w:color="auto" w:fill="FFFFFF"/>
              <w:spacing w:line="360" w:lineRule="auto"/>
              <w:rPr>
                <w:rFonts w:ascii="Century Gothic" w:eastAsia="Times New Roman" w:hAnsi="Century Gothic" w:cs="Arial"/>
                <w:color w:val="000000"/>
                <w:sz w:val="22"/>
                <w:szCs w:val="22"/>
                <w:bdr w:val="none" w:sz="0" w:space="0" w:color="auto" w:frame="1"/>
                <w:shd w:val="clear" w:color="auto" w:fill="FFFFFF"/>
                <w:lang w:eastAsia="es-CO"/>
              </w:rPr>
            </w:pPr>
            <w:r w:rsidRPr="004B0C08">
              <w:rPr>
                <w:rFonts w:ascii="Century Gothic" w:eastAsia="Times New Roman" w:hAnsi="Century Gothic" w:cs="Arial"/>
                <w:color w:val="000000"/>
                <w:sz w:val="22"/>
                <w:szCs w:val="22"/>
                <w:bdr w:val="none" w:sz="0" w:space="0" w:color="auto" w:frame="1"/>
                <w:shd w:val="clear" w:color="auto" w:fill="FFFFFF"/>
                <w:lang w:eastAsia="es-CO"/>
              </w:rPr>
              <w:t>Oportunidad:                                                        225 SMLMV o $ 320.287.500</w:t>
            </w:r>
          </w:p>
          <w:p w14:paraId="7C992F7B" w14:textId="77777777" w:rsidR="006F6812" w:rsidRPr="004B0C08" w:rsidRDefault="006F6812" w:rsidP="006F6812">
            <w:pPr>
              <w:shd w:val="clear" w:color="auto" w:fill="FFFFFF"/>
              <w:spacing w:line="360" w:lineRule="auto"/>
              <w:rPr>
                <w:rFonts w:ascii="Century Gothic" w:eastAsia="Times New Roman" w:hAnsi="Century Gothic" w:cs="Arial"/>
                <w:color w:val="000000"/>
                <w:sz w:val="22"/>
                <w:szCs w:val="22"/>
                <w:bdr w:val="none" w:sz="0" w:space="0" w:color="auto" w:frame="1"/>
                <w:shd w:val="clear" w:color="auto" w:fill="FFFFFF"/>
                <w:lang w:eastAsia="es-CO"/>
              </w:rPr>
            </w:pPr>
            <w:r w:rsidRPr="004B0C08">
              <w:rPr>
                <w:rFonts w:ascii="Century Gothic" w:eastAsia="Times New Roman" w:hAnsi="Century Gothic" w:cs="Arial"/>
                <w:color w:val="000000"/>
                <w:sz w:val="22"/>
                <w:szCs w:val="22"/>
                <w:bdr w:val="none" w:sz="0" w:space="0" w:color="auto" w:frame="1"/>
                <w:shd w:val="clear" w:color="auto" w:fill="FFFFFF"/>
                <w:lang w:eastAsia="es-CO"/>
              </w:rPr>
              <w:t>Por concepto de daño a la vida de relación:          40 SMLMV o $ 56.940.000</w:t>
            </w:r>
          </w:p>
          <w:p w14:paraId="77C06868" w14:textId="08F1521B" w:rsidR="000C7EB8" w:rsidRPr="004B0C08" w:rsidRDefault="006F6812" w:rsidP="006F6812">
            <w:pPr>
              <w:shd w:val="clear" w:color="auto" w:fill="FFFFFF"/>
              <w:spacing w:line="360" w:lineRule="auto"/>
              <w:rPr>
                <w:rFonts w:ascii="Century Gothic" w:eastAsia="Times New Roman" w:hAnsi="Century Gothic" w:cs="Segoe UI"/>
                <w:color w:val="242424"/>
                <w:sz w:val="22"/>
                <w:szCs w:val="22"/>
                <w:lang w:eastAsia="es-CO"/>
              </w:rPr>
            </w:pPr>
            <w:r w:rsidRPr="004B0C08">
              <w:rPr>
                <w:rFonts w:ascii="Century Gothic" w:eastAsia="Times New Roman" w:hAnsi="Century Gothic" w:cs="Arial"/>
                <w:b/>
                <w:bCs/>
                <w:color w:val="000000"/>
                <w:sz w:val="22"/>
                <w:szCs w:val="22"/>
                <w:bdr w:val="none" w:sz="0" w:space="0" w:color="auto" w:frame="1"/>
                <w:shd w:val="clear" w:color="auto" w:fill="FFFFFF"/>
                <w:lang w:eastAsia="es-CO"/>
              </w:rPr>
              <w:t> </w:t>
            </w: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6C4E0A62" w:rsidR="00992368" w:rsidRPr="00BA1E5F" w:rsidRDefault="009A6A9B" w:rsidP="003827E1">
            <w:pPr>
              <w:spacing w:line="276" w:lineRule="auto"/>
              <w:rPr>
                <w:rFonts w:ascii="Century Gothic" w:hAnsi="Century Gothic"/>
                <w:sz w:val="22"/>
                <w:szCs w:val="22"/>
              </w:rPr>
            </w:pPr>
            <w:r w:rsidRPr="002B0CA1">
              <w:rPr>
                <w:rFonts w:ascii="Century Gothic" w:hAnsi="Century Gothic"/>
                <w:sz w:val="22"/>
                <w:szCs w:val="22"/>
              </w:rPr>
              <w:t>$</w:t>
            </w:r>
            <w:r w:rsidR="006F6812">
              <w:rPr>
                <w:rFonts w:ascii="Century Gothic" w:hAnsi="Century Gothic"/>
                <w:sz w:val="22"/>
                <w:szCs w:val="22"/>
              </w:rPr>
              <w:t>690.397.500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30F02A0A" w:rsidR="00992368" w:rsidRPr="00BA1E5F" w:rsidRDefault="00FD53B3" w:rsidP="003827E1">
            <w:pPr>
              <w:spacing w:line="276" w:lineRule="auto"/>
              <w:rPr>
                <w:rFonts w:ascii="Century Gothic" w:hAnsi="Century Gothic"/>
                <w:sz w:val="22"/>
                <w:szCs w:val="22"/>
              </w:rPr>
            </w:pPr>
            <w:r w:rsidRPr="000A1774">
              <w:rPr>
                <w:rFonts w:ascii="Century Gothic" w:hAnsi="Century Gothic"/>
                <w:sz w:val="22"/>
                <w:szCs w:val="22"/>
              </w:rPr>
              <w:t>$</w:t>
            </w:r>
            <w:r w:rsidR="00A335FC">
              <w:rPr>
                <w:rFonts w:ascii="Century Gothic" w:hAnsi="Century Gothic"/>
                <w:sz w:val="22"/>
                <w:szCs w:val="22"/>
              </w:rPr>
              <w:t>149.290.000</w:t>
            </w:r>
          </w:p>
        </w:tc>
      </w:tr>
    </w:tbl>
    <w:p w14:paraId="146E9C6D" w14:textId="77777777" w:rsidR="0095378E" w:rsidRDefault="0095378E"/>
    <w:p w14:paraId="2AC18DAC" w14:textId="77777777" w:rsidR="004B0C08" w:rsidRDefault="004B0C08"/>
    <w:p w14:paraId="5BE6EE5C" w14:textId="77777777" w:rsidR="004B0C08" w:rsidRDefault="004B0C08"/>
    <w:p w14:paraId="23164D52" w14:textId="77777777" w:rsidR="004B0C08" w:rsidRDefault="004B0C08"/>
    <w:p w14:paraId="210889E0" w14:textId="77777777" w:rsidR="004B0C08" w:rsidRDefault="004B0C08"/>
    <w:p w14:paraId="4EA1AE36" w14:textId="77777777" w:rsidR="004B0C08" w:rsidRDefault="004B0C08"/>
    <w:p w14:paraId="77F35BAD" w14:textId="77777777" w:rsidR="004B0C08" w:rsidRDefault="004B0C08"/>
    <w:p w14:paraId="7ACAE5AD" w14:textId="77777777" w:rsidR="004B0C08" w:rsidRDefault="004B0C08"/>
    <w:p w14:paraId="4D8658A4" w14:textId="77777777" w:rsidR="004B0C08" w:rsidRDefault="004B0C08"/>
    <w:p w14:paraId="3BAFA789" w14:textId="77777777" w:rsidR="004B0C08" w:rsidRDefault="004B0C08"/>
    <w:p w14:paraId="0CE884FB" w14:textId="77777777" w:rsidR="004B0C08" w:rsidRDefault="004B0C08"/>
    <w:p w14:paraId="3B17872A" w14:textId="77777777" w:rsidR="004B0C08" w:rsidRDefault="004B0C08"/>
    <w:p w14:paraId="43E974CD" w14:textId="77777777" w:rsidR="004B0C08" w:rsidRDefault="004B0C08"/>
    <w:p w14:paraId="287524A9" w14:textId="77777777" w:rsidR="004B0C08" w:rsidRDefault="004B0C08"/>
    <w:p w14:paraId="3D663586" w14:textId="77777777" w:rsidR="004B0C08" w:rsidRDefault="004B0C08"/>
    <w:p w14:paraId="0BF77395" w14:textId="77777777" w:rsidR="004B0C08" w:rsidRDefault="004B0C08"/>
    <w:p w14:paraId="0C6E1E1B" w14:textId="77777777" w:rsidR="004B0C08" w:rsidRDefault="004B0C08"/>
    <w:p w14:paraId="5BC9C2B6" w14:textId="77777777" w:rsidR="004B0C08" w:rsidRDefault="004B0C08"/>
    <w:p w14:paraId="3055A570" w14:textId="77777777" w:rsidR="004B0C08" w:rsidRDefault="004B0C08"/>
    <w:p w14:paraId="20BED939" w14:textId="77777777" w:rsidR="004B0C08" w:rsidRDefault="004B0C08"/>
    <w:p w14:paraId="1CDBBA70" w14:textId="77777777" w:rsidR="004B0C08" w:rsidRDefault="004B0C08"/>
    <w:p w14:paraId="7D7DE21D" w14:textId="77777777" w:rsidR="004B0C08" w:rsidRDefault="004B0C08"/>
    <w:p w14:paraId="19590CDC" w14:textId="77777777" w:rsidR="004B0C08" w:rsidRDefault="004B0C08"/>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lastRenderedPageBreak/>
              <w:t>Liquidación de las pretensiones objetivadas</w:t>
            </w:r>
          </w:p>
        </w:tc>
      </w:tr>
      <w:tr w:rsidR="00E802BC" w:rsidRPr="00BA1E5F" w14:paraId="33786C43" w14:textId="77777777" w:rsidTr="0095378E">
        <w:trPr>
          <w:trHeight w:val="6406"/>
        </w:trPr>
        <w:tc>
          <w:tcPr>
            <w:tcW w:w="10191" w:type="dxa"/>
            <w:vAlign w:val="center"/>
          </w:tcPr>
          <w:p w14:paraId="14A1CEE7" w14:textId="79F86B1D" w:rsidR="009A6A9B" w:rsidRPr="009A6A9B" w:rsidRDefault="009A6A9B" w:rsidP="009A6A9B">
            <w:pPr>
              <w:spacing w:line="276" w:lineRule="auto"/>
              <w:jc w:val="both"/>
              <w:rPr>
                <w:rFonts w:ascii="Century Gothic" w:hAnsi="Century Gothic"/>
                <w:sz w:val="22"/>
                <w:szCs w:val="22"/>
              </w:rPr>
            </w:pPr>
            <w:r>
              <w:rPr>
                <w:rFonts w:ascii="Century Gothic" w:hAnsi="Century Gothic"/>
                <w:sz w:val="22"/>
                <w:szCs w:val="22"/>
              </w:rPr>
              <w:t>La</w:t>
            </w:r>
            <w:r w:rsidRPr="009A6A9B">
              <w:rPr>
                <w:rFonts w:ascii="Century Gothic" w:hAnsi="Century Gothic"/>
                <w:sz w:val="22"/>
                <w:szCs w:val="22"/>
              </w:rPr>
              <w:t xml:space="preserve"> liquidación objetiva de las pretensiones asciende al valor </w:t>
            </w:r>
            <w:r w:rsidRPr="000A1774">
              <w:rPr>
                <w:rFonts w:ascii="Century Gothic" w:hAnsi="Century Gothic"/>
                <w:sz w:val="22"/>
                <w:szCs w:val="22"/>
              </w:rPr>
              <w:t>de $</w:t>
            </w:r>
            <w:r w:rsidR="00A335FC">
              <w:rPr>
                <w:rFonts w:ascii="Century Gothic" w:hAnsi="Century Gothic"/>
                <w:sz w:val="22"/>
                <w:szCs w:val="22"/>
              </w:rPr>
              <w:t>149.290.000</w:t>
            </w:r>
            <w:r w:rsidRPr="009A6A9B">
              <w:rPr>
                <w:rFonts w:ascii="Century Gothic" w:hAnsi="Century Gothic"/>
                <w:sz w:val="22"/>
                <w:szCs w:val="22"/>
              </w:rPr>
              <w:t xml:space="preserve"> al cual se llegó de la siguiente manera</w:t>
            </w:r>
          </w:p>
          <w:p w14:paraId="1E8B3628" w14:textId="77777777" w:rsidR="009A6A9B" w:rsidRPr="009A6A9B" w:rsidRDefault="009A6A9B" w:rsidP="009A6A9B">
            <w:pPr>
              <w:spacing w:line="276" w:lineRule="auto"/>
              <w:jc w:val="both"/>
              <w:rPr>
                <w:rFonts w:ascii="Century Gothic" w:hAnsi="Century Gothic"/>
                <w:sz w:val="22"/>
                <w:szCs w:val="22"/>
              </w:rPr>
            </w:pPr>
          </w:p>
          <w:p w14:paraId="3863FF36" w14:textId="7D9820FF" w:rsidR="00974CD2" w:rsidRPr="00F847C0" w:rsidRDefault="009A6A9B" w:rsidP="007523AA">
            <w:pPr>
              <w:spacing w:line="276" w:lineRule="auto"/>
              <w:jc w:val="both"/>
              <w:rPr>
                <w:rFonts w:ascii="Century Gothic" w:hAnsi="Century Gothic"/>
                <w:sz w:val="22"/>
                <w:szCs w:val="22"/>
              </w:rPr>
            </w:pPr>
            <w:r w:rsidRPr="009A6A9B">
              <w:rPr>
                <w:rFonts w:ascii="Century Gothic" w:hAnsi="Century Gothic"/>
                <w:sz w:val="22"/>
                <w:szCs w:val="22"/>
              </w:rPr>
              <w:t>•</w:t>
            </w:r>
            <w:r w:rsidRPr="009A6A9B">
              <w:rPr>
                <w:rFonts w:ascii="Century Gothic" w:hAnsi="Century Gothic"/>
                <w:sz w:val="22"/>
                <w:szCs w:val="22"/>
              </w:rPr>
              <w:tab/>
            </w:r>
            <w:r w:rsidR="007523AA" w:rsidRPr="007523AA">
              <w:rPr>
                <w:rFonts w:ascii="Century Gothic" w:hAnsi="Century Gothic"/>
                <w:b/>
                <w:bCs/>
                <w:sz w:val="22"/>
                <w:szCs w:val="22"/>
              </w:rPr>
              <w:t>Daño moral:</w:t>
            </w:r>
            <w:r w:rsidR="00F847C0">
              <w:rPr>
                <w:rFonts w:ascii="Century Gothic" w:hAnsi="Century Gothic"/>
                <w:b/>
                <w:bCs/>
                <w:sz w:val="22"/>
                <w:szCs w:val="22"/>
              </w:rPr>
              <w:t xml:space="preserve"> </w:t>
            </w:r>
            <w:r w:rsidR="00F847C0">
              <w:rPr>
                <w:rFonts w:ascii="Century Gothic" w:hAnsi="Century Gothic"/>
                <w:sz w:val="22"/>
                <w:szCs w:val="22"/>
              </w:rPr>
              <w:t>$</w:t>
            </w:r>
            <w:r w:rsidR="006C79F8">
              <w:rPr>
                <w:rFonts w:ascii="Century Gothic" w:hAnsi="Century Gothic"/>
                <w:sz w:val="22"/>
                <w:szCs w:val="22"/>
              </w:rPr>
              <w:t>142.350.000</w:t>
            </w:r>
          </w:p>
          <w:p w14:paraId="759E5F1C" w14:textId="77777777" w:rsidR="007523AA" w:rsidRDefault="007523AA" w:rsidP="007523AA">
            <w:pPr>
              <w:spacing w:line="276" w:lineRule="auto"/>
              <w:jc w:val="both"/>
              <w:rPr>
                <w:rFonts w:ascii="Century Gothic" w:hAnsi="Century Gothic"/>
                <w:b/>
                <w:bCs/>
                <w:sz w:val="22"/>
                <w:szCs w:val="22"/>
              </w:rPr>
            </w:pPr>
          </w:p>
          <w:p w14:paraId="238FBDA4" w14:textId="4726D1E8" w:rsidR="007523AA" w:rsidRPr="007523AA" w:rsidRDefault="007523AA" w:rsidP="007523AA">
            <w:pPr>
              <w:spacing w:line="276" w:lineRule="auto"/>
              <w:jc w:val="both"/>
              <w:rPr>
                <w:rFonts w:ascii="Century Gothic" w:hAnsi="Century Gothic"/>
                <w:sz w:val="22"/>
                <w:szCs w:val="22"/>
              </w:rPr>
            </w:pPr>
            <w:r w:rsidRPr="007523AA">
              <w:rPr>
                <w:rFonts w:ascii="Century Gothic" w:hAnsi="Century Gothic"/>
                <w:sz w:val="22"/>
                <w:szCs w:val="22"/>
              </w:rPr>
              <w:t>A favor de</w:t>
            </w:r>
            <w:r>
              <w:rPr>
                <w:rFonts w:ascii="Century Gothic" w:hAnsi="Century Gothic"/>
                <w:sz w:val="22"/>
                <w:szCs w:val="22"/>
              </w:rPr>
              <w:t xml:space="preserve">l señor </w:t>
            </w:r>
            <w:r w:rsidR="00CF580E">
              <w:rPr>
                <w:rFonts w:ascii="Century Gothic" w:hAnsi="Century Gothic"/>
                <w:sz w:val="22"/>
                <w:szCs w:val="22"/>
              </w:rPr>
              <w:t>Gustavo de Jesús Valencia Cuervo</w:t>
            </w:r>
            <w:r>
              <w:rPr>
                <w:rFonts w:ascii="Century Gothic" w:hAnsi="Century Gothic"/>
                <w:sz w:val="22"/>
                <w:szCs w:val="22"/>
              </w:rPr>
              <w:t xml:space="preserve"> en su calidad de víctima</w:t>
            </w:r>
            <w:r w:rsidR="00CF580E">
              <w:rPr>
                <w:rFonts w:ascii="Century Gothic" w:hAnsi="Century Gothic"/>
                <w:sz w:val="22"/>
                <w:szCs w:val="22"/>
              </w:rPr>
              <w:t xml:space="preserve"> directa</w:t>
            </w:r>
            <w:r>
              <w:rPr>
                <w:rFonts w:ascii="Century Gothic" w:hAnsi="Century Gothic"/>
                <w:sz w:val="22"/>
                <w:szCs w:val="22"/>
              </w:rPr>
              <w:t xml:space="preserve">, la suma de </w:t>
            </w:r>
            <w:r w:rsidR="00A070EE">
              <w:rPr>
                <w:rFonts w:ascii="Century Gothic" w:hAnsi="Century Gothic"/>
                <w:sz w:val="22"/>
                <w:szCs w:val="22"/>
              </w:rPr>
              <w:t>40</w:t>
            </w:r>
            <w:r>
              <w:rPr>
                <w:rFonts w:ascii="Century Gothic" w:hAnsi="Century Gothic"/>
                <w:sz w:val="22"/>
                <w:szCs w:val="22"/>
              </w:rPr>
              <w:t xml:space="preserve"> SMLMV que al momento de esta liquidación equivalen a $</w:t>
            </w:r>
            <w:r w:rsidR="00A070EE">
              <w:rPr>
                <w:rFonts w:ascii="Century Gothic" w:hAnsi="Century Gothic"/>
                <w:sz w:val="22"/>
                <w:szCs w:val="22"/>
              </w:rPr>
              <w:t>56.940.000</w:t>
            </w:r>
            <w:r>
              <w:rPr>
                <w:rFonts w:ascii="Century Gothic" w:hAnsi="Century Gothic"/>
                <w:sz w:val="22"/>
                <w:szCs w:val="22"/>
              </w:rPr>
              <w:t xml:space="preserve">. </w:t>
            </w:r>
          </w:p>
          <w:p w14:paraId="7A4964FA" w14:textId="77777777" w:rsidR="009A6A9B" w:rsidRDefault="009A6A9B" w:rsidP="009A6A9B">
            <w:pPr>
              <w:spacing w:line="276" w:lineRule="auto"/>
              <w:jc w:val="both"/>
              <w:rPr>
                <w:rFonts w:ascii="Century Gothic" w:hAnsi="Century Gothic"/>
                <w:sz w:val="22"/>
                <w:szCs w:val="22"/>
              </w:rPr>
            </w:pPr>
          </w:p>
          <w:p w14:paraId="0464B5BC" w14:textId="19068141" w:rsidR="00A070EE" w:rsidRPr="007523AA" w:rsidRDefault="00A070EE" w:rsidP="00A070EE">
            <w:pPr>
              <w:spacing w:line="276" w:lineRule="auto"/>
              <w:jc w:val="both"/>
              <w:rPr>
                <w:rFonts w:ascii="Century Gothic" w:hAnsi="Century Gothic"/>
                <w:sz w:val="22"/>
                <w:szCs w:val="22"/>
              </w:rPr>
            </w:pPr>
            <w:r w:rsidRPr="007523AA">
              <w:rPr>
                <w:rFonts w:ascii="Century Gothic" w:hAnsi="Century Gothic"/>
                <w:sz w:val="22"/>
                <w:szCs w:val="22"/>
              </w:rPr>
              <w:t>A favor de</w:t>
            </w:r>
            <w:r>
              <w:rPr>
                <w:rFonts w:ascii="Century Gothic" w:hAnsi="Century Gothic"/>
                <w:sz w:val="22"/>
                <w:szCs w:val="22"/>
              </w:rPr>
              <w:t xml:space="preserve">l menor Sebastián Valencia Buitrago en su calidad de hijo de la víctima, la suma de 20 SMLMV que al momento de esta liquidación equivalen a $28.470.000. </w:t>
            </w:r>
          </w:p>
          <w:p w14:paraId="6CB3B404" w14:textId="5A1AE93D" w:rsidR="000A1774" w:rsidRDefault="000A1774" w:rsidP="000A1774">
            <w:pPr>
              <w:spacing w:line="276" w:lineRule="auto"/>
              <w:jc w:val="both"/>
              <w:rPr>
                <w:rFonts w:ascii="Century Gothic" w:hAnsi="Century Gothic"/>
                <w:sz w:val="22"/>
                <w:szCs w:val="22"/>
              </w:rPr>
            </w:pPr>
          </w:p>
          <w:p w14:paraId="076F7773" w14:textId="33E0CE66" w:rsidR="00FC2DAA" w:rsidRPr="009A6A9B" w:rsidRDefault="00FC2DAA" w:rsidP="00FC2DAA">
            <w:pPr>
              <w:spacing w:line="276" w:lineRule="auto"/>
              <w:jc w:val="both"/>
              <w:rPr>
                <w:rFonts w:ascii="Century Gothic" w:hAnsi="Century Gothic"/>
                <w:sz w:val="22"/>
                <w:szCs w:val="22"/>
              </w:rPr>
            </w:pPr>
            <w:r w:rsidRPr="007523AA">
              <w:rPr>
                <w:rFonts w:ascii="Century Gothic" w:hAnsi="Century Gothic"/>
                <w:sz w:val="22"/>
                <w:szCs w:val="22"/>
              </w:rPr>
              <w:t xml:space="preserve">A favor </w:t>
            </w:r>
            <w:r>
              <w:rPr>
                <w:rFonts w:ascii="Century Gothic" w:hAnsi="Century Gothic"/>
                <w:sz w:val="22"/>
                <w:szCs w:val="22"/>
              </w:rPr>
              <w:t xml:space="preserve">de la señora </w:t>
            </w:r>
            <w:r w:rsidR="00A0568F">
              <w:rPr>
                <w:rFonts w:ascii="Century Gothic" w:hAnsi="Century Gothic"/>
                <w:sz w:val="22"/>
                <w:szCs w:val="22"/>
              </w:rPr>
              <w:t>Luz Marina Buitrago Rendón</w:t>
            </w:r>
            <w:r>
              <w:rPr>
                <w:rFonts w:ascii="Century Gothic" w:hAnsi="Century Gothic"/>
                <w:sz w:val="22"/>
                <w:szCs w:val="22"/>
              </w:rPr>
              <w:t xml:space="preserve"> en su calidad de </w:t>
            </w:r>
            <w:r w:rsidR="00A0568F">
              <w:rPr>
                <w:rFonts w:ascii="Century Gothic" w:hAnsi="Century Gothic"/>
                <w:sz w:val="22"/>
                <w:szCs w:val="22"/>
              </w:rPr>
              <w:t>compañera permanente</w:t>
            </w:r>
            <w:r>
              <w:rPr>
                <w:rFonts w:ascii="Century Gothic" w:hAnsi="Century Gothic"/>
                <w:sz w:val="22"/>
                <w:szCs w:val="22"/>
              </w:rPr>
              <w:t xml:space="preserve"> de la víctima, la suma de </w:t>
            </w:r>
            <w:r w:rsidR="00A0568F">
              <w:rPr>
                <w:rFonts w:ascii="Century Gothic" w:hAnsi="Century Gothic"/>
                <w:sz w:val="22"/>
                <w:szCs w:val="22"/>
              </w:rPr>
              <w:t>2</w:t>
            </w:r>
            <w:r>
              <w:rPr>
                <w:rFonts w:ascii="Century Gothic" w:hAnsi="Century Gothic"/>
                <w:sz w:val="22"/>
                <w:szCs w:val="22"/>
              </w:rPr>
              <w:t>0 SMLMV que al momento de esta liquidación equivalen a $</w:t>
            </w:r>
            <w:r w:rsidR="00A0568F">
              <w:rPr>
                <w:rFonts w:ascii="Century Gothic" w:hAnsi="Century Gothic"/>
                <w:sz w:val="22"/>
                <w:szCs w:val="22"/>
              </w:rPr>
              <w:t>28.470.000</w:t>
            </w:r>
            <w:r w:rsidR="00C34357">
              <w:rPr>
                <w:rFonts w:ascii="Century Gothic" w:hAnsi="Century Gothic"/>
                <w:sz w:val="22"/>
                <w:szCs w:val="22"/>
              </w:rPr>
              <w:t>.</w:t>
            </w:r>
          </w:p>
          <w:p w14:paraId="6619D0E3" w14:textId="77777777" w:rsidR="00FC2DAA" w:rsidRPr="00BA1E5F" w:rsidRDefault="00FC2DAA" w:rsidP="000A1774">
            <w:pPr>
              <w:spacing w:line="276" w:lineRule="auto"/>
              <w:jc w:val="both"/>
              <w:rPr>
                <w:rFonts w:ascii="Century Gothic" w:hAnsi="Century Gothic"/>
                <w:sz w:val="22"/>
                <w:szCs w:val="22"/>
              </w:rPr>
            </w:pPr>
          </w:p>
          <w:p w14:paraId="4BE3D594" w14:textId="05EB3003" w:rsidR="00B82E60" w:rsidRPr="009A6A9B" w:rsidRDefault="00B82E60" w:rsidP="00B82E60">
            <w:pPr>
              <w:spacing w:line="276" w:lineRule="auto"/>
              <w:jc w:val="both"/>
              <w:rPr>
                <w:rFonts w:ascii="Century Gothic" w:hAnsi="Century Gothic"/>
                <w:sz w:val="22"/>
                <w:szCs w:val="22"/>
              </w:rPr>
            </w:pPr>
            <w:r w:rsidRPr="007523AA">
              <w:rPr>
                <w:rFonts w:ascii="Century Gothic" w:hAnsi="Century Gothic"/>
                <w:sz w:val="22"/>
                <w:szCs w:val="22"/>
              </w:rPr>
              <w:t xml:space="preserve">A favor </w:t>
            </w:r>
            <w:r>
              <w:rPr>
                <w:rFonts w:ascii="Century Gothic" w:hAnsi="Century Gothic"/>
                <w:sz w:val="22"/>
                <w:szCs w:val="22"/>
              </w:rPr>
              <w:t xml:space="preserve">de Lorena Valencia </w:t>
            </w:r>
            <w:proofErr w:type="spellStart"/>
            <w:r>
              <w:rPr>
                <w:rFonts w:ascii="Century Gothic" w:hAnsi="Century Gothic"/>
                <w:sz w:val="22"/>
                <w:szCs w:val="22"/>
              </w:rPr>
              <w:t>Buitrgo</w:t>
            </w:r>
            <w:proofErr w:type="spellEnd"/>
            <w:r>
              <w:rPr>
                <w:rFonts w:ascii="Century Gothic" w:hAnsi="Century Gothic"/>
                <w:sz w:val="22"/>
                <w:szCs w:val="22"/>
              </w:rPr>
              <w:t xml:space="preserve"> en su calidad de hija de la víctima, la suma de 20 SMLMV que al momento de esta liquidación equivalen a $28.470.000.</w:t>
            </w:r>
          </w:p>
          <w:p w14:paraId="04780B39" w14:textId="77777777" w:rsidR="002838D9" w:rsidRDefault="002838D9" w:rsidP="00C34357">
            <w:pPr>
              <w:spacing w:line="276" w:lineRule="auto"/>
              <w:jc w:val="both"/>
              <w:rPr>
                <w:rFonts w:ascii="Century Gothic" w:hAnsi="Century Gothic"/>
                <w:sz w:val="22"/>
                <w:szCs w:val="22"/>
              </w:rPr>
            </w:pPr>
          </w:p>
          <w:p w14:paraId="707BC473" w14:textId="1E477B83" w:rsidR="002838D9" w:rsidRDefault="002838D9" w:rsidP="00C34357">
            <w:pPr>
              <w:spacing w:line="276" w:lineRule="auto"/>
              <w:jc w:val="both"/>
              <w:rPr>
                <w:rFonts w:ascii="Century Gothic" w:hAnsi="Century Gothic"/>
                <w:sz w:val="22"/>
                <w:szCs w:val="22"/>
              </w:rPr>
            </w:pPr>
            <w:r>
              <w:rPr>
                <w:rFonts w:ascii="Century Gothic" w:hAnsi="Century Gothic"/>
                <w:sz w:val="22"/>
                <w:szCs w:val="22"/>
              </w:rPr>
              <w:t xml:space="preserve">La presente liquidación se efectúa conforme a lo previsto en la sentencia SC-072 de 2025 de la Corte Suprema de Justicia en la cual el límite indemnizatorio para los perjuicios morales fue actualizado a 100 SMLMV, estableciendo que dicho límite se reconoce en los eventos más graves como lo es el fallecimiento de la víctima. Ahora bien, </w:t>
            </w:r>
            <w:r w:rsidR="00B82E60">
              <w:rPr>
                <w:rFonts w:ascii="Century Gothic" w:hAnsi="Century Gothic"/>
                <w:sz w:val="22"/>
                <w:szCs w:val="22"/>
              </w:rPr>
              <w:t>teniendo en cuenta que la parte demandante aportó dictamen de PCL con un resultado del 36,6% se considera pertinente modular el perjuicio a reconocer. De esta manera, al tener una PCL que no alcanza a equiparar el 50%, se considera que la cantidad de salarios reconocida también debe ser menor al 50% del límite indemnizatorio tasado por la jurisprudencia. Posteriormente, la cifra reconocida se reduce a la mitad para los demás demandantes que probaron tener una filiación de primer grado de consanguinidad con la víctima.</w:t>
            </w:r>
          </w:p>
          <w:p w14:paraId="639D5F43" w14:textId="77777777" w:rsidR="006C79F8" w:rsidRDefault="006C79F8" w:rsidP="00C34357">
            <w:pPr>
              <w:spacing w:line="276" w:lineRule="auto"/>
              <w:jc w:val="both"/>
              <w:rPr>
                <w:rFonts w:ascii="Century Gothic" w:hAnsi="Century Gothic"/>
                <w:sz w:val="22"/>
                <w:szCs w:val="22"/>
              </w:rPr>
            </w:pPr>
          </w:p>
          <w:p w14:paraId="1FD2372B" w14:textId="1DE50A9B" w:rsidR="006C79F8" w:rsidRDefault="006C79F8" w:rsidP="006C79F8">
            <w:pPr>
              <w:pStyle w:val="Prrafodelista"/>
              <w:numPr>
                <w:ilvl w:val="0"/>
                <w:numId w:val="6"/>
              </w:numPr>
              <w:spacing w:line="276" w:lineRule="auto"/>
              <w:jc w:val="both"/>
              <w:rPr>
                <w:rFonts w:ascii="Century Gothic" w:hAnsi="Century Gothic"/>
                <w:sz w:val="22"/>
                <w:szCs w:val="22"/>
              </w:rPr>
            </w:pPr>
            <w:r>
              <w:rPr>
                <w:rFonts w:ascii="Century Gothic" w:hAnsi="Century Gothic"/>
                <w:b/>
                <w:bCs/>
                <w:sz w:val="22"/>
                <w:szCs w:val="22"/>
              </w:rPr>
              <w:t xml:space="preserve">Daño a la vida de relación: </w:t>
            </w:r>
            <w:r>
              <w:rPr>
                <w:rFonts w:ascii="Century Gothic" w:hAnsi="Century Gothic"/>
                <w:sz w:val="22"/>
                <w:szCs w:val="22"/>
              </w:rPr>
              <w:t>$</w:t>
            </w:r>
            <w:r w:rsidR="00354F6D">
              <w:rPr>
                <w:rFonts w:ascii="Century Gothic" w:hAnsi="Century Gothic"/>
                <w:sz w:val="22"/>
                <w:szCs w:val="22"/>
              </w:rPr>
              <w:t>56.940.000</w:t>
            </w:r>
          </w:p>
          <w:p w14:paraId="3E567BE2" w14:textId="77777777" w:rsidR="006C79F8" w:rsidRDefault="006C79F8" w:rsidP="006C79F8">
            <w:pPr>
              <w:spacing w:line="276" w:lineRule="auto"/>
              <w:jc w:val="both"/>
              <w:rPr>
                <w:rFonts w:ascii="Century Gothic" w:hAnsi="Century Gothic"/>
                <w:sz w:val="22"/>
                <w:szCs w:val="22"/>
              </w:rPr>
            </w:pPr>
          </w:p>
          <w:p w14:paraId="39DFA166" w14:textId="77777777" w:rsidR="002928DF" w:rsidRPr="007523AA" w:rsidRDefault="002928DF" w:rsidP="002928DF">
            <w:pPr>
              <w:spacing w:line="276" w:lineRule="auto"/>
              <w:jc w:val="both"/>
              <w:rPr>
                <w:rFonts w:ascii="Century Gothic" w:hAnsi="Century Gothic"/>
                <w:sz w:val="22"/>
                <w:szCs w:val="22"/>
              </w:rPr>
            </w:pPr>
            <w:r w:rsidRPr="007523AA">
              <w:rPr>
                <w:rFonts w:ascii="Century Gothic" w:hAnsi="Century Gothic"/>
                <w:sz w:val="22"/>
                <w:szCs w:val="22"/>
              </w:rPr>
              <w:t>A favor de</w:t>
            </w:r>
            <w:r>
              <w:rPr>
                <w:rFonts w:ascii="Century Gothic" w:hAnsi="Century Gothic"/>
                <w:sz w:val="22"/>
                <w:szCs w:val="22"/>
              </w:rPr>
              <w:t xml:space="preserve">l señor Gustavo de Jesús Valencia Cuervo en su calidad de víctima directa, la suma de 40 SMLMV que al momento de esta liquidación equivalen a $56.940.000. </w:t>
            </w:r>
          </w:p>
          <w:p w14:paraId="45AC7EA2" w14:textId="77777777" w:rsidR="006C79F8" w:rsidRDefault="006C79F8" w:rsidP="006C79F8">
            <w:pPr>
              <w:spacing w:line="276" w:lineRule="auto"/>
              <w:jc w:val="both"/>
              <w:rPr>
                <w:rFonts w:ascii="Century Gothic" w:hAnsi="Century Gothic"/>
                <w:sz w:val="22"/>
                <w:szCs w:val="22"/>
              </w:rPr>
            </w:pPr>
          </w:p>
          <w:p w14:paraId="27C3CF11" w14:textId="4A22D62E" w:rsidR="002928DF" w:rsidRDefault="002928DF" w:rsidP="006C79F8">
            <w:pPr>
              <w:spacing w:line="276" w:lineRule="auto"/>
              <w:jc w:val="both"/>
              <w:rPr>
                <w:rFonts w:ascii="Century Gothic" w:hAnsi="Century Gothic"/>
                <w:sz w:val="22"/>
                <w:szCs w:val="22"/>
              </w:rPr>
            </w:pPr>
            <w:r>
              <w:rPr>
                <w:rFonts w:ascii="Century Gothic" w:hAnsi="Century Gothic"/>
                <w:sz w:val="22"/>
                <w:szCs w:val="22"/>
              </w:rPr>
              <w:t xml:space="preserve">La presente liquidación se efectúa conforme a lo previsto en la sentencia SC-072 de 2025 de la Corte Suprema de Justicia en la cual el límite indemnizatorio para el daño a la vida de relación fue actualizado a 200 SMLMV, estableciendo que dicho límite se reconoce en los eventos más graves. Ahora bien, teniendo en cuenta que la parte demandante aportó dictamen de PCL con un resultado del 36,6% se considera pertinente modular el perjuicio a reconocer. De esta manera, al tener una PCL que no alcanza a equiparar el 50%, se considera </w:t>
            </w:r>
            <w:r>
              <w:rPr>
                <w:rFonts w:ascii="Century Gothic" w:hAnsi="Century Gothic"/>
                <w:sz w:val="22"/>
                <w:szCs w:val="22"/>
              </w:rPr>
              <w:lastRenderedPageBreak/>
              <w:t>que la cantidad de salarios reconocida también debe ser menor al 50% del límite indemnizatorio tasado por la jurisprudencia. Adicionalmente, debe tenerse en cuenta que este perjuicio no se solicitó a favor de los dem</w:t>
            </w:r>
            <w:r w:rsidR="007D7F9C">
              <w:rPr>
                <w:rFonts w:ascii="Century Gothic" w:hAnsi="Century Gothic"/>
                <w:sz w:val="22"/>
                <w:szCs w:val="22"/>
              </w:rPr>
              <w:t>á</w:t>
            </w:r>
            <w:r>
              <w:rPr>
                <w:rFonts w:ascii="Century Gothic" w:hAnsi="Century Gothic"/>
                <w:sz w:val="22"/>
                <w:szCs w:val="22"/>
              </w:rPr>
              <w:t>s demandantes.</w:t>
            </w:r>
          </w:p>
          <w:p w14:paraId="5311A84A" w14:textId="77777777" w:rsidR="00C35B6A" w:rsidRDefault="00C35B6A" w:rsidP="006C79F8">
            <w:pPr>
              <w:spacing w:line="276" w:lineRule="auto"/>
              <w:jc w:val="both"/>
              <w:rPr>
                <w:rFonts w:ascii="Century Gothic" w:hAnsi="Century Gothic"/>
                <w:sz w:val="22"/>
                <w:szCs w:val="22"/>
              </w:rPr>
            </w:pPr>
          </w:p>
          <w:p w14:paraId="19F267CC" w14:textId="19DDC5E3" w:rsidR="00C35B6A" w:rsidRDefault="00C35B6A" w:rsidP="00C35B6A">
            <w:pPr>
              <w:pStyle w:val="Prrafodelista"/>
              <w:numPr>
                <w:ilvl w:val="0"/>
                <w:numId w:val="6"/>
              </w:numPr>
              <w:spacing w:line="276" w:lineRule="auto"/>
              <w:jc w:val="both"/>
              <w:rPr>
                <w:rFonts w:ascii="Century Gothic" w:hAnsi="Century Gothic"/>
                <w:sz w:val="22"/>
                <w:szCs w:val="22"/>
              </w:rPr>
            </w:pPr>
            <w:r>
              <w:rPr>
                <w:rFonts w:ascii="Century Gothic" w:hAnsi="Century Gothic"/>
                <w:b/>
                <w:bCs/>
                <w:sz w:val="22"/>
                <w:szCs w:val="22"/>
              </w:rPr>
              <w:t xml:space="preserve">Pérdida de </w:t>
            </w:r>
            <w:r w:rsidR="00644069">
              <w:rPr>
                <w:rFonts w:ascii="Century Gothic" w:hAnsi="Century Gothic"/>
                <w:b/>
                <w:bCs/>
                <w:sz w:val="22"/>
                <w:szCs w:val="22"/>
              </w:rPr>
              <w:t>oportunidad:</w:t>
            </w:r>
            <w:r w:rsidR="00644069">
              <w:rPr>
                <w:rFonts w:ascii="Century Gothic" w:hAnsi="Century Gothic"/>
                <w:sz w:val="22"/>
                <w:szCs w:val="22"/>
              </w:rPr>
              <w:t xml:space="preserve"> $</w:t>
            </w:r>
            <w:r w:rsidR="009D4D60">
              <w:rPr>
                <w:rFonts w:ascii="Century Gothic" w:hAnsi="Century Gothic"/>
                <w:sz w:val="22"/>
                <w:szCs w:val="22"/>
              </w:rPr>
              <w:t>0</w:t>
            </w:r>
          </w:p>
          <w:p w14:paraId="423D2C12" w14:textId="77777777" w:rsidR="009D4D60" w:rsidRDefault="009D4D60" w:rsidP="009D4D60">
            <w:pPr>
              <w:spacing w:line="276" w:lineRule="auto"/>
              <w:jc w:val="both"/>
              <w:rPr>
                <w:rFonts w:ascii="Century Gothic" w:hAnsi="Century Gothic"/>
                <w:sz w:val="22"/>
                <w:szCs w:val="22"/>
              </w:rPr>
            </w:pPr>
          </w:p>
          <w:p w14:paraId="50562700" w14:textId="1940D48D" w:rsidR="009D4D60" w:rsidRPr="009D4D60" w:rsidRDefault="009D4D60" w:rsidP="009D4D60">
            <w:pPr>
              <w:spacing w:line="276" w:lineRule="auto"/>
              <w:jc w:val="both"/>
              <w:rPr>
                <w:rFonts w:ascii="Century Gothic" w:hAnsi="Century Gothic"/>
                <w:sz w:val="22"/>
                <w:szCs w:val="22"/>
              </w:rPr>
            </w:pPr>
            <w:r>
              <w:rPr>
                <w:rFonts w:ascii="Century Gothic" w:hAnsi="Century Gothic"/>
                <w:sz w:val="22"/>
                <w:szCs w:val="22"/>
              </w:rPr>
              <w:t xml:space="preserve">No se reconoce suma alguna por este concepto teniendo en cuenta que su reconocimiento es solicitado con fundamento en una anotación de la historia clínica del 27 de mayo de 2024 según la cual existía poca probabilidad de recuperación por el daño ocasionado y el tiempo desde la lesión hasta la cirugía. No obstante, en nota del 15 de julio de 2024, la historia clínica refiere que al paciente se le había informado desde el momento de la cirugía que </w:t>
            </w:r>
            <w:r w:rsidR="00713F21">
              <w:rPr>
                <w:rFonts w:ascii="Century Gothic" w:hAnsi="Century Gothic"/>
                <w:sz w:val="22"/>
                <w:szCs w:val="22"/>
              </w:rPr>
              <w:t>existían pocas probabilidades de recuperación. En este sentido, no se encuentra prueba que acredite de manera fehaciente la probabilidad de recuperación y, en consecuencia, este perjuicio no se encuentra acreditado.</w:t>
            </w:r>
          </w:p>
          <w:p w14:paraId="79A66327" w14:textId="77777777" w:rsidR="00F847C0" w:rsidRDefault="00F847C0" w:rsidP="00C34357">
            <w:pPr>
              <w:spacing w:line="276" w:lineRule="auto"/>
              <w:jc w:val="both"/>
              <w:rPr>
                <w:rFonts w:ascii="Century Gothic" w:hAnsi="Century Gothic"/>
                <w:sz w:val="22"/>
                <w:szCs w:val="22"/>
              </w:rPr>
            </w:pPr>
          </w:p>
          <w:p w14:paraId="75E933CE" w14:textId="7CEFC1E6" w:rsidR="00F847C0" w:rsidRDefault="00A335FC" w:rsidP="00F847C0">
            <w:pPr>
              <w:pStyle w:val="Prrafodelista"/>
              <w:numPr>
                <w:ilvl w:val="0"/>
                <w:numId w:val="5"/>
              </w:numPr>
              <w:spacing w:line="276" w:lineRule="auto"/>
              <w:jc w:val="both"/>
              <w:rPr>
                <w:rFonts w:ascii="Century Gothic" w:hAnsi="Century Gothic"/>
                <w:sz w:val="22"/>
                <w:szCs w:val="22"/>
              </w:rPr>
            </w:pPr>
            <w:r>
              <w:rPr>
                <w:rFonts w:ascii="Century Gothic" w:hAnsi="Century Gothic"/>
                <w:b/>
                <w:bCs/>
                <w:sz w:val="22"/>
                <w:szCs w:val="22"/>
              </w:rPr>
              <w:t xml:space="preserve">Deducible </w:t>
            </w:r>
            <w:r w:rsidR="00354F6D">
              <w:rPr>
                <w:rFonts w:ascii="Century Gothic" w:hAnsi="Century Gothic"/>
                <w:b/>
                <w:bCs/>
                <w:sz w:val="22"/>
                <w:szCs w:val="22"/>
              </w:rPr>
              <w:t>estipulado</w:t>
            </w:r>
            <w:r w:rsidR="00F847C0">
              <w:rPr>
                <w:rFonts w:ascii="Century Gothic" w:hAnsi="Century Gothic"/>
                <w:b/>
                <w:bCs/>
                <w:sz w:val="22"/>
                <w:szCs w:val="22"/>
              </w:rPr>
              <w:t xml:space="preserve"> en la póliza: </w:t>
            </w:r>
            <w:r w:rsidR="00F847C0">
              <w:rPr>
                <w:rFonts w:ascii="Century Gothic" w:hAnsi="Century Gothic"/>
                <w:sz w:val="22"/>
                <w:szCs w:val="22"/>
              </w:rPr>
              <w:t>$</w:t>
            </w:r>
            <w:r>
              <w:rPr>
                <w:rFonts w:ascii="Century Gothic" w:hAnsi="Century Gothic"/>
                <w:sz w:val="22"/>
                <w:szCs w:val="22"/>
              </w:rPr>
              <w:t>50.000.000</w:t>
            </w:r>
          </w:p>
          <w:p w14:paraId="1CBAF6CE" w14:textId="77777777" w:rsidR="00F847C0" w:rsidRDefault="00F847C0" w:rsidP="00F847C0">
            <w:pPr>
              <w:spacing w:line="276" w:lineRule="auto"/>
              <w:jc w:val="both"/>
              <w:rPr>
                <w:rFonts w:ascii="Century Gothic" w:hAnsi="Century Gothic"/>
                <w:sz w:val="22"/>
                <w:szCs w:val="22"/>
              </w:rPr>
            </w:pPr>
          </w:p>
          <w:p w14:paraId="223A86B1" w14:textId="1778BDCB" w:rsidR="00F847C0" w:rsidRPr="00F847C0" w:rsidRDefault="00F847C0" w:rsidP="00F847C0">
            <w:pPr>
              <w:spacing w:line="276" w:lineRule="auto"/>
              <w:jc w:val="both"/>
              <w:rPr>
                <w:rFonts w:ascii="Century Gothic" w:hAnsi="Century Gothic"/>
                <w:sz w:val="22"/>
                <w:szCs w:val="22"/>
              </w:rPr>
            </w:pPr>
            <w:r>
              <w:rPr>
                <w:rFonts w:ascii="Century Gothic" w:hAnsi="Century Gothic"/>
                <w:sz w:val="22"/>
                <w:szCs w:val="22"/>
              </w:rPr>
              <w:t xml:space="preserve">La póliza de responsabilidad civil </w:t>
            </w:r>
            <w:r w:rsidR="00A335FC">
              <w:rPr>
                <w:rFonts w:ascii="Century Gothic" w:hAnsi="Century Gothic"/>
                <w:sz w:val="22"/>
                <w:szCs w:val="22"/>
              </w:rPr>
              <w:t>profesional clínicas</w:t>
            </w:r>
            <w:r>
              <w:rPr>
                <w:rFonts w:ascii="Century Gothic" w:hAnsi="Century Gothic"/>
                <w:sz w:val="22"/>
                <w:szCs w:val="22"/>
              </w:rPr>
              <w:t xml:space="preserve"> No. AA0</w:t>
            </w:r>
            <w:r w:rsidR="00A335FC">
              <w:rPr>
                <w:rFonts w:ascii="Century Gothic" w:hAnsi="Century Gothic"/>
                <w:sz w:val="22"/>
                <w:szCs w:val="22"/>
              </w:rPr>
              <w:t>84516</w:t>
            </w:r>
            <w:r>
              <w:rPr>
                <w:rFonts w:ascii="Century Gothic" w:hAnsi="Century Gothic"/>
                <w:sz w:val="22"/>
                <w:szCs w:val="22"/>
              </w:rPr>
              <w:t xml:space="preserve"> contempla un </w:t>
            </w:r>
            <w:r w:rsidR="00A335FC">
              <w:rPr>
                <w:rFonts w:ascii="Century Gothic" w:hAnsi="Century Gothic"/>
                <w:sz w:val="22"/>
                <w:szCs w:val="22"/>
              </w:rPr>
              <w:t>deducible del 20% de la pérdida y mínimo $50.000.000. Teniendo en cuenta que previo a aplicar el deducible la liquidación asciende a $199.290.000, a este valor deberá restarse la suma de $50.000.000.</w:t>
            </w:r>
          </w:p>
          <w:p w14:paraId="31FF8AB1" w14:textId="0B193FB5" w:rsidR="00C34357" w:rsidRPr="00BA1E5F" w:rsidRDefault="00C34357" w:rsidP="009A6A9B">
            <w:pPr>
              <w:spacing w:line="276" w:lineRule="auto"/>
              <w:jc w:val="both"/>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0AA5AD99" w14:textId="0935EE1C" w:rsidR="00637DB1" w:rsidRDefault="003A0BB9" w:rsidP="003A0BB9">
            <w:pPr>
              <w:pStyle w:val="Prrafodelista"/>
              <w:numPr>
                <w:ilvl w:val="0"/>
                <w:numId w:val="7"/>
              </w:numPr>
              <w:spacing w:after="200"/>
              <w:ind w:right="-376"/>
              <w:jc w:val="both"/>
              <w:rPr>
                <w:rFonts w:ascii="Century Gothic" w:hAnsi="Century Gothic"/>
                <w:sz w:val="22"/>
                <w:szCs w:val="22"/>
              </w:rPr>
            </w:pPr>
            <w:r w:rsidRPr="003A0BB9">
              <w:rPr>
                <w:rFonts w:ascii="Century Gothic" w:hAnsi="Century Gothic"/>
                <w:sz w:val="22"/>
                <w:szCs w:val="22"/>
              </w:rPr>
              <w:t>JURIDICAMENTE NO ES POSIBLE ANALIZAR SI EL HOSPITAL GENERAL DE MEDELLÍN ES RESPONSABLE TODA VEZ QUE NO SE ENCUENTRA DEMANDADO, EN CONSECUENCIA, TAMPOCO ES FACTIBLE DECLARA LA REALIZACIÓN DEL RIESGO</w:t>
            </w:r>
            <w:r>
              <w:rPr>
                <w:rFonts w:ascii="Century Gothic" w:hAnsi="Century Gothic"/>
                <w:sz w:val="22"/>
                <w:szCs w:val="22"/>
              </w:rPr>
              <w:t>.</w:t>
            </w:r>
          </w:p>
          <w:p w14:paraId="1345DF19" w14:textId="77777777" w:rsidR="003A0BB9" w:rsidRDefault="003A0BB9" w:rsidP="003A0BB9">
            <w:pPr>
              <w:pStyle w:val="Prrafodelista"/>
              <w:spacing w:after="200"/>
              <w:ind w:right="-376"/>
              <w:jc w:val="both"/>
              <w:rPr>
                <w:rFonts w:ascii="Century Gothic" w:hAnsi="Century Gothic"/>
                <w:sz w:val="22"/>
                <w:szCs w:val="22"/>
              </w:rPr>
            </w:pPr>
          </w:p>
          <w:p w14:paraId="4B97560C" w14:textId="77777777" w:rsidR="003A0BB9" w:rsidRDefault="003A0BB9" w:rsidP="003A0BB9">
            <w:pPr>
              <w:pStyle w:val="Prrafodelista"/>
              <w:numPr>
                <w:ilvl w:val="0"/>
                <w:numId w:val="7"/>
              </w:numPr>
              <w:spacing w:after="200"/>
              <w:ind w:right="-376"/>
              <w:jc w:val="both"/>
              <w:rPr>
                <w:rFonts w:ascii="Century Gothic" w:hAnsi="Century Gothic"/>
                <w:sz w:val="22"/>
                <w:szCs w:val="22"/>
              </w:rPr>
            </w:pPr>
            <w:r w:rsidRPr="003A0BB9">
              <w:rPr>
                <w:rFonts w:ascii="Century Gothic" w:hAnsi="Century Gothic"/>
                <w:sz w:val="22"/>
                <w:szCs w:val="22"/>
              </w:rPr>
              <w:t>FALTA DE COBERTURA MATERIAL, TODA VEZ QUE LA POLIZA NO. AA084516 NO CUBRE LA RESPONSABILLIDAD CIVIL PROFESIONAL MÉDICA DE LA EPS SURAMERICANA O TERCEROS</w:t>
            </w:r>
            <w:r>
              <w:rPr>
                <w:rFonts w:ascii="Century Gothic" w:hAnsi="Century Gothic"/>
                <w:sz w:val="22"/>
                <w:szCs w:val="22"/>
              </w:rPr>
              <w:t>.</w:t>
            </w:r>
          </w:p>
          <w:p w14:paraId="07CCEEFE" w14:textId="77777777" w:rsidR="003A0BB9" w:rsidRPr="003A0BB9" w:rsidRDefault="003A0BB9" w:rsidP="003A0BB9">
            <w:pPr>
              <w:pStyle w:val="Prrafodelista"/>
              <w:rPr>
                <w:rFonts w:ascii="Century Gothic" w:hAnsi="Century Gothic"/>
                <w:sz w:val="22"/>
                <w:szCs w:val="22"/>
              </w:rPr>
            </w:pPr>
          </w:p>
          <w:p w14:paraId="1403D17E" w14:textId="34553CB6" w:rsidR="003A0BB9" w:rsidRDefault="003A0BB9" w:rsidP="003A0BB9">
            <w:pPr>
              <w:pStyle w:val="Prrafodelista"/>
              <w:numPr>
                <w:ilvl w:val="0"/>
                <w:numId w:val="7"/>
              </w:numPr>
              <w:spacing w:after="200"/>
              <w:ind w:right="-376"/>
              <w:jc w:val="both"/>
              <w:rPr>
                <w:rFonts w:ascii="Century Gothic" w:hAnsi="Century Gothic"/>
                <w:sz w:val="22"/>
                <w:szCs w:val="22"/>
              </w:rPr>
            </w:pPr>
            <w:r w:rsidRPr="003A0BB9">
              <w:rPr>
                <w:rFonts w:ascii="Century Gothic" w:hAnsi="Century Gothic"/>
                <w:sz w:val="22"/>
                <w:szCs w:val="22"/>
              </w:rPr>
              <w:t xml:space="preserve">INEXISTENCIA DE LA OBLIGACIÓN DE INDEMNIZAR A CARGO DE LA EQUIDAD SEGUROS OC POR EL INCUMPLIMIENTO DE LAS CARGAS DEL ARTÍCULO 1077 DEL CÓDIGO DE </w:t>
            </w:r>
            <w:r>
              <w:rPr>
                <w:rFonts w:ascii="Century Gothic" w:hAnsi="Century Gothic"/>
                <w:sz w:val="22"/>
                <w:szCs w:val="22"/>
              </w:rPr>
              <w:t>COMERCIO</w:t>
            </w:r>
            <w:r w:rsidRPr="003A0BB9">
              <w:rPr>
                <w:rFonts w:ascii="Century Gothic" w:hAnsi="Century Gothic"/>
                <w:sz w:val="22"/>
                <w:szCs w:val="22"/>
              </w:rPr>
              <w:t>.</w:t>
            </w:r>
          </w:p>
          <w:p w14:paraId="71889C19" w14:textId="77777777" w:rsidR="003A0BB9" w:rsidRPr="003A0BB9" w:rsidRDefault="003A0BB9" w:rsidP="003A0BB9">
            <w:pPr>
              <w:pStyle w:val="Prrafodelista"/>
              <w:rPr>
                <w:rFonts w:ascii="Century Gothic" w:hAnsi="Century Gothic"/>
                <w:sz w:val="22"/>
                <w:szCs w:val="22"/>
              </w:rPr>
            </w:pPr>
          </w:p>
          <w:p w14:paraId="5511DFD2" w14:textId="77777777" w:rsidR="003A0BB9" w:rsidRDefault="003A0BB9" w:rsidP="003A0BB9">
            <w:pPr>
              <w:pStyle w:val="Prrafodelista"/>
              <w:numPr>
                <w:ilvl w:val="0"/>
                <w:numId w:val="7"/>
              </w:numPr>
              <w:spacing w:after="200"/>
              <w:ind w:right="-376"/>
              <w:jc w:val="both"/>
              <w:rPr>
                <w:rFonts w:ascii="Century Gothic" w:hAnsi="Century Gothic"/>
                <w:sz w:val="22"/>
                <w:szCs w:val="22"/>
              </w:rPr>
            </w:pPr>
            <w:r w:rsidRPr="003A0BB9">
              <w:rPr>
                <w:rFonts w:ascii="Century Gothic" w:hAnsi="Century Gothic"/>
                <w:sz w:val="22"/>
                <w:szCs w:val="22"/>
              </w:rPr>
              <w:t>IMPROCEDENCIA DEL DAÑO MORAL RECLAMADO</w:t>
            </w:r>
            <w:r>
              <w:rPr>
                <w:rFonts w:ascii="Century Gothic" w:hAnsi="Century Gothic"/>
                <w:sz w:val="22"/>
                <w:szCs w:val="22"/>
              </w:rPr>
              <w:t>.</w:t>
            </w:r>
          </w:p>
          <w:p w14:paraId="29C46B4F" w14:textId="77777777" w:rsidR="003A0BB9" w:rsidRPr="003A0BB9" w:rsidRDefault="003A0BB9" w:rsidP="003A0BB9">
            <w:pPr>
              <w:pStyle w:val="Prrafodelista"/>
              <w:rPr>
                <w:rFonts w:ascii="Century Gothic" w:hAnsi="Century Gothic"/>
                <w:sz w:val="22"/>
                <w:szCs w:val="22"/>
              </w:rPr>
            </w:pPr>
          </w:p>
          <w:p w14:paraId="51C6CC04" w14:textId="77777777" w:rsidR="003A0BB9"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IMPROCEDENCIA DEL RECONOCIMIENTO DEL PERJUICIO DENOMINADO DAÑO A LA VIDA DE RELACIÓN SOLICITADO EN LA DEMAND</w:t>
            </w:r>
            <w:r>
              <w:rPr>
                <w:rFonts w:ascii="Century Gothic" w:hAnsi="Century Gothic"/>
                <w:sz w:val="22"/>
                <w:szCs w:val="22"/>
              </w:rPr>
              <w:t>.</w:t>
            </w:r>
          </w:p>
          <w:p w14:paraId="528D8C25" w14:textId="77777777" w:rsidR="00CA40CB" w:rsidRPr="00CA40CB" w:rsidRDefault="00CA40CB" w:rsidP="00CA40CB">
            <w:pPr>
              <w:pStyle w:val="Prrafodelista"/>
              <w:rPr>
                <w:rFonts w:ascii="Century Gothic" w:hAnsi="Century Gothic"/>
                <w:sz w:val="22"/>
                <w:szCs w:val="22"/>
              </w:rPr>
            </w:pPr>
          </w:p>
          <w:p w14:paraId="414B3C73"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INEXISTENCIA DE LA PÉRDIDA DE OPORTUNIDAD, CONSECUENTEMENTE NO SE PUEDE ORDENAR SU INDEMNIZACIÓN</w:t>
            </w:r>
            <w:r>
              <w:rPr>
                <w:rFonts w:ascii="Century Gothic" w:hAnsi="Century Gothic"/>
                <w:sz w:val="22"/>
                <w:szCs w:val="22"/>
              </w:rPr>
              <w:t>.</w:t>
            </w:r>
          </w:p>
          <w:p w14:paraId="7E5AE044" w14:textId="77777777" w:rsidR="00CA40CB" w:rsidRPr="00CA40CB" w:rsidRDefault="00CA40CB" w:rsidP="00CA40CB">
            <w:pPr>
              <w:pStyle w:val="Prrafodelista"/>
              <w:rPr>
                <w:rFonts w:ascii="Century Gothic" w:hAnsi="Century Gothic"/>
                <w:sz w:val="22"/>
                <w:szCs w:val="22"/>
              </w:rPr>
            </w:pPr>
          </w:p>
          <w:p w14:paraId="6484CC04"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RIESGOS EXPRESAMENTE EXCLUIDOS EN LA PÓLIZA DE SEGURO No. AA084516</w:t>
            </w:r>
            <w:r>
              <w:rPr>
                <w:rFonts w:ascii="Century Gothic" w:hAnsi="Century Gothic"/>
                <w:sz w:val="22"/>
                <w:szCs w:val="22"/>
              </w:rPr>
              <w:t>.</w:t>
            </w:r>
          </w:p>
          <w:p w14:paraId="55939117" w14:textId="77777777" w:rsidR="00CA40CB" w:rsidRPr="00CA40CB" w:rsidRDefault="00CA40CB" w:rsidP="00CA40CB">
            <w:pPr>
              <w:pStyle w:val="Prrafodelista"/>
              <w:rPr>
                <w:rFonts w:ascii="Century Gothic" w:hAnsi="Century Gothic"/>
                <w:sz w:val="22"/>
                <w:szCs w:val="22"/>
              </w:rPr>
            </w:pPr>
          </w:p>
          <w:p w14:paraId="43D1C744"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lastRenderedPageBreak/>
              <w:t>EL SEGURO CONTENIDO EN LA PÓLIZA RESPONSABILIDAD PROFESIONAL CLÍNICAS Y HOSPITALES ES DE CARÁCTER MERAMENTE INDEMNIZATORIO</w:t>
            </w:r>
            <w:r>
              <w:rPr>
                <w:rFonts w:ascii="Century Gothic" w:hAnsi="Century Gothic"/>
                <w:sz w:val="22"/>
                <w:szCs w:val="22"/>
              </w:rPr>
              <w:t>.</w:t>
            </w:r>
          </w:p>
          <w:p w14:paraId="61D6644D" w14:textId="77777777" w:rsidR="00CA40CB" w:rsidRPr="00CA40CB" w:rsidRDefault="00CA40CB" w:rsidP="00CA40CB">
            <w:pPr>
              <w:pStyle w:val="Prrafodelista"/>
              <w:rPr>
                <w:rFonts w:ascii="Century Gothic" w:hAnsi="Century Gothic"/>
                <w:sz w:val="22"/>
                <w:szCs w:val="22"/>
              </w:rPr>
            </w:pPr>
          </w:p>
          <w:p w14:paraId="68950BC3"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SUJECIÓN A LAS CONDICIONES PARTICULARES Y GENERALES DEL CONTRATO DE SEGURO</w:t>
            </w:r>
            <w:r>
              <w:rPr>
                <w:rFonts w:ascii="Century Gothic" w:hAnsi="Century Gothic"/>
                <w:sz w:val="22"/>
                <w:szCs w:val="22"/>
              </w:rPr>
              <w:t>.</w:t>
            </w:r>
          </w:p>
          <w:p w14:paraId="38F121B7" w14:textId="77777777" w:rsidR="00CA40CB" w:rsidRPr="00CA40CB" w:rsidRDefault="00CA40CB" w:rsidP="00CA40CB">
            <w:pPr>
              <w:pStyle w:val="Prrafodelista"/>
              <w:rPr>
                <w:rFonts w:ascii="Century Gothic" w:hAnsi="Century Gothic"/>
                <w:sz w:val="22"/>
                <w:szCs w:val="22"/>
              </w:rPr>
            </w:pPr>
          </w:p>
          <w:p w14:paraId="2392701F"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EN CUALQUIER CASO, DE NINGUNA FORMA SE PODRÁ EXCEDER EL LÍMITE DEL VALOR ASEGURADO</w:t>
            </w:r>
            <w:r>
              <w:rPr>
                <w:rFonts w:ascii="Century Gothic" w:hAnsi="Century Gothic"/>
                <w:sz w:val="22"/>
                <w:szCs w:val="22"/>
              </w:rPr>
              <w:t>.</w:t>
            </w:r>
          </w:p>
          <w:p w14:paraId="43E4201D" w14:textId="77777777" w:rsidR="00CA40CB" w:rsidRPr="00CA40CB" w:rsidRDefault="00CA40CB" w:rsidP="00CA40CB">
            <w:pPr>
              <w:pStyle w:val="Prrafodelista"/>
              <w:rPr>
                <w:rFonts w:ascii="Century Gothic" w:hAnsi="Century Gothic"/>
                <w:sz w:val="22"/>
                <w:szCs w:val="22"/>
              </w:rPr>
            </w:pPr>
          </w:p>
          <w:p w14:paraId="78087A26"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EN CUALQUIER CASO, SE DEBERÁ TENER EN CUENTA EL DEDUCIBLE PACTADO</w:t>
            </w:r>
            <w:r>
              <w:rPr>
                <w:rFonts w:ascii="Century Gothic" w:hAnsi="Century Gothic"/>
                <w:sz w:val="22"/>
                <w:szCs w:val="22"/>
              </w:rPr>
              <w:t>.</w:t>
            </w:r>
          </w:p>
          <w:p w14:paraId="7842EF53" w14:textId="77777777" w:rsidR="00CA40CB" w:rsidRPr="00CA40CB" w:rsidRDefault="00CA40CB" w:rsidP="00CA40CB">
            <w:pPr>
              <w:pStyle w:val="Prrafodelista"/>
              <w:rPr>
                <w:rFonts w:ascii="Century Gothic" w:hAnsi="Century Gothic"/>
                <w:sz w:val="22"/>
                <w:szCs w:val="22"/>
              </w:rPr>
            </w:pPr>
          </w:p>
          <w:p w14:paraId="7DBE5EF7"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DISPONIBILIDAD DE LA SUMA ASEGURADA</w:t>
            </w:r>
            <w:r>
              <w:rPr>
                <w:rFonts w:ascii="Century Gothic" w:hAnsi="Century Gothic"/>
                <w:sz w:val="22"/>
                <w:szCs w:val="22"/>
              </w:rPr>
              <w:t>.</w:t>
            </w:r>
          </w:p>
          <w:p w14:paraId="0B4E2524" w14:textId="77777777" w:rsidR="00CA40CB" w:rsidRPr="00CA40CB" w:rsidRDefault="00CA40CB" w:rsidP="00CA40CB">
            <w:pPr>
              <w:pStyle w:val="Prrafodelista"/>
              <w:rPr>
                <w:rFonts w:ascii="Century Gothic" w:hAnsi="Century Gothic"/>
                <w:sz w:val="22"/>
                <w:szCs w:val="22"/>
              </w:rPr>
            </w:pPr>
          </w:p>
          <w:p w14:paraId="66DE64CE"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PRESCRIPCIÓN DE LAS ACCIONES DERIVADAS DEL CONTRATO DE SEGURO</w:t>
            </w:r>
            <w:r>
              <w:rPr>
                <w:rFonts w:ascii="Century Gothic" w:hAnsi="Century Gothic"/>
                <w:sz w:val="22"/>
                <w:szCs w:val="22"/>
              </w:rPr>
              <w:t>.</w:t>
            </w:r>
          </w:p>
          <w:p w14:paraId="7CCE2C4B" w14:textId="77777777" w:rsidR="00CA40CB" w:rsidRPr="00CA40CB" w:rsidRDefault="00CA40CB" w:rsidP="00CA40CB">
            <w:pPr>
              <w:pStyle w:val="Prrafodelista"/>
              <w:rPr>
                <w:rFonts w:ascii="Century Gothic" w:hAnsi="Century Gothic"/>
                <w:sz w:val="22"/>
                <w:szCs w:val="22"/>
              </w:rPr>
            </w:pPr>
          </w:p>
          <w:p w14:paraId="52CE2D52" w14:textId="4186091A" w:rsidR="00CA40CB" w:rsidRPr="003A0BB9"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GENÉRICA, INNOMINADA Y OTRA</w:t>
            </w:r>
            <w:r>
              <w:rPr>
                <w:rFonts w:ascii="Century Gothic" w:hAnsi="Century Gothic"/>
                <w:sz w:val="22"/>
                <w:szCs w:val="22"/>
              </w:rPr>
              <w:t>S.</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4CDC099" w:rsidR="00EE687D" w:rsidRPr="0058192D" w:rsidRDefault="00CA40CB" w:rsidP="00EB6AB4">
            <w:pPr>
              <w:jc w:val="both"/>
              <w:rPr>
                <w:rFonts w:ascii="Century Gothic" w:hAnsi="Century Gothic" w:cs="Segoe UI"/>
                <w:sz w:val="22"/>
                <w:szCs w:val="22"/>
                <w:lang w:eastAsia="es-CO"/>
              </w:rPr>
            </w:pPr>
            <w:r>
              <w:rPr>
                <w:rFonts w:ascii="Century Gothic" w:hAnsi="Century Gothic" w:cs="Segoe UI"/>
                <w:sz w:val="22"/>
                <w:szCs w:val="22"/>
                <w:lang w:eastAsia="es-CO"/>
              </w:rPr>
              <w:t>PDTE</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40A0BE17" w:rsidR="006F0CAA" w:rsidRPr="00CB5101" w:rsidRDefault="00CA40CB"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3C32D0B6" w:rsidR="00EE687D" w:rsidRPr="005F378B" w:rsidRDefault="0058192D" w:rsidP="00EB6AB4">
            <w:pPr>
              <w:jc w:val="both"/>
              <w:rPr>
                <w:rFonts w:ascii="Century Gothic" w:hAnsi="Century Gothic" w:cs="Segoe UI"/>
                <w:sz w:val="22"/>
                <w:szCs w:val="22"/>
                <w:lang w:eastAsia="es-CO"/>
              </w:rPr>
            </w:pPr>
            <w:r>
              <w:rPr>
                <w:rFonts w:ascii="Century Gothic" w:hAnsi="Century Gothic" w:cs="Segoe UI"/>
                <w:sz w:val="22"/>
                <w:szCs w:val="22"/>
                <w:lang w:eastAsia="es-CO"/>
              </w:rPr>
              <w:t>AA0</w:t>
            </w:r>
            <w:r w:rsidR="00CA40CB">
              <w:rPr>
                <w:rFonts w:ascii="Century Gothic" w:hAnsi="Century Gothic" w:cs="Segoe UI"/>
                <w:sz w:val="22"/>
                <w:szCs w:val="22"/>
                <w:lang w:eastAsia="es-CO"/>
              </w:rPr>
              <w:t>84516</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50A6774" w:rsidR="00EE687D" w:rsidRPr="00024FC1" w:rsidRDefault="00CA40CB" w:rsidP="00EB6A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AB050008</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09C410AF" w:rsidR="00EE687D" w:rsidRPr="005F378B" w:rsidRDefault="00CA40C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7F6FE6BB" w:rsidR="00B90E05" w:rsidRPr="00BA1E5F" w:rsidRDefault="008937A9" w:rsidP="00EB6AB4">
            <w:pPr>
              <w:jc w:val="both"/>
              <w:rPr>
                <w:rFonts w:ascii="Century Gothic" w:hAnsi="Century Gothic" w:cs="Segoe UI"/>
                <w:sz w:val="22"/>
                <w:szCs w:val="22"/>
                <w:lang w:eastAsia="es-CO"/>
              </w:rPr>
            </w:pPr>
            <w:r>
              <w:rPr>
                <w:rFonts w:ascii="Century Gothic" w:hAnsi="Century Gothic" w:cs="Segoe UI"/>
                <w:sz w:val="22"/>
                <w:szCs w:val="22"/>
                <w:lang w:eastAsia="es-CO"/>
              </w:rPr>
              <w:t>1000</w:t>
            </w:r>
            <w:r w:rsidR="00CA40CB">
              <w:rPr>
                <w:rFonts w:ascii="Century Gothic" w:hAnsi="Century Gothic" w:cs="Segoe UI"/>
                <w:sz w:val="22"/>
                <w:szCs w:val="22"/>
                <w:lang w:eastAsia="es-CO"/>
              </w:rPr>
              <w:t>5</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1593DE53" w:rsidR="00EE687D" w:rsidRPr="00BA1E5F" w:rsidRDefault="00CA40CB"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D23A1E6" w:rsidR="001C44B4" w:rsidRPr="00BA1E5F" w:rsidRDefault="00CA40CB" w:rsidP="001C44B4">
            <w:pPr>
              <w:jc w:val="both"/>
              <w:rPr>
                <w:rFonts w:ascii="Century Gothic" w:hAnsi="Century Gothic" w:cs="Segoe UI"/>
                <w:sz w:val="22"/>
                <w:szCs w:val="22"/>
                <w:lang w:eastAsia="es-CO"/>
              </w:rPr>
            </w:pPr>
            <w:r>
              <w:rPr>
                <w:rFonts w:ascii="Century Gothic" w:hAnsi="Century Gothic" w:cs="Segoe UI"/>
                <w:sz w:val="22"/>
                <w:szCs w:val="22"/>
                <w:lang w:eastAsia="es-CO"/>
              </w:rPr>
              <w:t>23/09/2023</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B17AF63" w:rsidR="001C44B4" w:rsidRPr="00BA1E5F" w:rsidRDefault="00CA40CB" w:rsidP="001C44B4">
            <w:pPr>
              <w:jc w:val="both"/>
              <w:rPr>
                <w:rFonts w:ascii="Century Gothic" w:hAnsi="Century Gothic" w:cs="Segoe UI"/>
                <w:sz w:val="22"/>
                <w:szCs w:val="22"/>
                <w:lang w:eastAsia="es-CO"/>
              </w:rPr>
            </w:pPr>
            <w:r>
              <w:rPr>
                <w:rFonts w:ascii="Century Gothic" w:hAnsi="Century Gothic" w:cs="Segoe UI"/>
                <w:sz w:val="22"/>
                <w:szCs w:val="22"/>
                <w:lang w:eastAsia="es-CO"/>
              </w:rPr>
              <w:t>15/05/2025</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1540EF2" w:rsidR="001C44B4" w:rsidRPr="00BA1E5F" w:rsidRDefault="00CA40CB" w:rsidP="001C44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FACULTATIVO</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25826D12" w:rsidR="001C44B4" w:rsidRPr="00E1346B" w:rsidRDefault="00CA40CB" w:rsidP="001C44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HOSPITAL GENERAL DE MEDELLIN LUZ CASTRO DE GUTIERREZ E.</w:t>
            </w:r>
            <w:proofErr w:type="gramStart"/>
            <w:r w:rsidRPr="00CA40CB">
              <w:rPr>
                <w:rFonts w:ascii="Century Gothic" w:hAnsi="Century Gothic" w:cs="Segoe UI"/>
                <w:sz w:val="22"/>
                <w:szCs w:val="22"/>
                <w:lang w:eastAsia="es-CO"/>
              </w:rPr>
              <w:t>S.E</w:t>
            </w:r>
            <w:proofErr w:type="gramEnd"/>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C96163E" w:rsidR="001C44B4" w:rsidRPr="00BA1E5F" w:rsidRDefault="00CA40CB" w:rsidP="001C44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HOSPITAL GENERAL DE MEDELLIN LUZ CASTRO DE GUTIERREZ E.</w:t>
            </w:r>
            <w:proofErr w:type="gramStart"/>
            <w:r w:rsidRPr="00CA40CB">
              <w:rPr>
                <w:rFonts w:ascii="Century Gothic" w:hAnsi="Century Gothic" w:cs="Segoe UI"/>
                <w:sz w:val="22"/>
                <w:szCs w:val="22"/>
                <w:lang w:eastAsia="es-CO"/>
              </w:rPr>
              <w:t>S.E</w:t>
            </w:r>
            <w:proofErr w:type="gramEnd"/>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0D0ABD02" w:rsidR="001C44B4" w:rsidRPr="00BA1E5F" w:rsidRDefault="00CA40CB" w:rsidP="001C44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RCE CLINICAS Y HOSPITALES PRIVADAS</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18BE05E6" w:rsidR="001C44B4" w:rsidRPr="00BA1E5F" w:rsidRDefault="00CA40CB" w:rsidP="001C44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R.C. PROFESIONAL MEDICA</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7107C66" w:rsidR="001C44B4" w:rsidRPr="006474CC" w:rsidRDefault="00CA40CB" w:rsidP="006474CC">
            <w:pPr>
              <w:spacing w:line="276" w:lineRule="auto"/>
              <w:jc w:val="both"/>
              <w:rPr>
                <w:rFonts w:ascii="Century Gothic" w:hAnsi="Century Gothic"/>
                <w:sz w:val="22"/>
                <w:szCs w:val="22"/>
              </w:rPr>
            </w:pPr>
            <w:r w:rsidRPr="00CA40CB">
              <w:rPr>
                <w:rFonts w:ascii="Century Gothic" w:hAnsi="Century Gothic"/>
                <w:sz w:val="22"/>
                <w:szCs w:val="22"/>
              </w:rPr>
              <w:t>$2.500.000.000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F170B95" w:rsidR="001129B6" w:rsidRPr="00BA1E5F" w:rsidRDefault="00CA40CB"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88D0C97"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1F69C7">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5CB3159" w:rsidR="002633C0" w:rsidRPr="00BA1E5F" w:rsidRDefault="00CA40CB"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173225CC" w:rsidR="002633C0" w:rsidRPr="00BA1E5F" w:rsidRDefault="008C532D" w:rsidP="003314A2">
            <w:pPr>
              <w:spacing w:line="360" w:lineRule="auto"/>
              <w:rPr>
                <w:rFonts w:ascii="Century Gothic" w:hAnsi="Century Gothic"/>
                <w:sz w:val="22"/>
                <w:szCs w:val="22"/>
              </w:rPr>
            </w:pPr>
            <w:r>
              <w:rPr>
                <w:rFonts w:ascii="Century Gothic" w:hAnsi="Century Gothic"/>
                <w:sz w:val="22"/>
                <w:szCs w:val="22"/>
              </w:rPr>
              <w:t xml:space="preserve">Se sugiere como reserva el </w:t>
            </w:r>
            <w:r w:rsidR="00713ACA">
              <w:rPr>
                <w:rFonts w:ascii="Century Gothic" w:hAnsi="Century Gothic"/>
                <w:sz w:val="22"/>
                <w:szCs w:val="22"/>
              </w:rPr>
              <w:t>5</w:t>
            </w:r>
            <w:r>
              <w:rPr>
                <w:rFonts w:ascii="Century Gothic" w:hAnsi="Century Gothic"/>
                <w:sz w:val="22"/>
                <w:szCs w:val="22"/>
              </w:rPr>
              <w:t>0% de la liquidación objetiva que asciende a $</w:t>
            </w:r>
            <w:r w:rsidR="00713ACA">
              <w:rPr>
                <w:rFonts w:ascii="Century Gothic" w:hAnsi="Century Gothic"/>
                <w:sz w:val="22"/>
                <w:szCs w:val="22"/>
              </w:rPr>
              <w:t>74.645.000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6FE74018" w14:textId="6DECE258" w:rsidR="00C73197" w:rsidRDefault="009A6A9B" w:rsidP="00C73197">
            <w:pPr>
              <w:spacing w:line="300" w:lineRule="auto"/>
              <w:jc w:val="both"/>
              <w:rPr>
                <w:rFonts w:ascii="Arial" w:hAnsi="Arial" w:cs="Arial"/>
              </w:rPr>
            </w:pPr>
            <w:r>
              <w:rPr>
                <w:rFonts w:ascii="Century Gothic" w:eastAsia="Times New Roman" w:hAnsi="Century Gothic" w:cs="Tahoma"/>
                <w:sz w:val="22"/>
                <w:szCs w:val="22"/>
                <w:lang w:val="es-ES" w:eastAsia="es-ES"/>
              </w:rPr>
              <w:t xml:space="preserve">La contingencia se califica como </w:t>
            </w:r>
            <w:r w:rsidR="00713ACA">
              <w:rPr>
                <w:rFonts w:ascii="Century Gothic" w:eastAsia="Times New Roman" w:hAnsi="Century Gothic" w:cs="Tahoma"/>
                <w:b/>
                <w:bCs/>
                <w:sz w:val="22"/>
                <w:szCs w:val="22"/>
                <w:lang w:val="es-ES" w:eastAsia="es-ES"/>
              </w:rPr>
              <w:t>REMOTA</w:t>
            </w:r>
            <w:r>
              <w:rPr>
                <w:rFonts w:ascii="Century Gothic" w:eastAsia="Times New Roman" w:hAnsi="Century Gothic" w:cs="Tahoma"/>
                <w:sz w:val="22"/>
                <w:szCs w:val="22"/>
                <w:lang w:val="es-ES" w:eastAsia="es-ES"/>
              </w:rPr>
              <w:t xml:space="preserve">, ya que </w:t>
            </w:r>
            <w:r w:rsidR="00F308F0">
              <w:rPr>
                <w:rFonts w:ascii="Century Gothic" w:eastAsia="Times New Roman" w:hAnsi="Century Gothic" w:cs="Tahoma"/>
                <w:sz w:val="22"/>
                <w:szCs w:val="22"/>
                <w:lang w:val="es-ES" w:eastAsia="es-ES"/>
              </w:rPr>
              <w:t xml:space="preserve">si bien </w:t>
            </w:r>
            <w:r w:rsidR="00BF6834">
              <w:rPr>
                <w:rFonts w:ascii="Century Gothic" w:eastAsia="Times New Roman" w:hAnsi="Century Gothic" w:cs="Tahoma"/>
                <w:sz w:val="22"/>
                <w:szCs w:val="22"/>
                <w:lang w:val="es-ES" w:eastAsia="es-ES"/>
              </w:rPr>
              <w:t xml:space="preserve">la póliza de responsabilidad civil </w:t>
            </w:r>
            <w:r w:rsidR="00713ACA">
              <w:rPr>
                <w:rFonts w:ascii="Century Gothic" w:eastAsia="Times New Roman" w:hAnsi="Century Gothic" w:cs="Tahoma"/>
                <w:sz w:val="22"/>
                <w:szCs w:val="22"/>
                <w:lang w:val="es-ES" w:eastAsia="es-ES"/>
              </w:rPr>
              <w:t>profesional clínicas</w:t>
            </w:r>
            <w:r w:rsidR="00BF6834">
              <w:rPr>
                <w:rFonts w:ascii="Century Gothic" w:eastAsia="Times New Roman" w:hAnsi="Century Gothic" w:cs="Tahoma"/>
                <w:sz w:val="22"/>
                <w:szCs w:val="22"/>
                <w:lang w:val="es-ES" w:eastAsia="es-ES"/>
              </w:rPr>
              <w:t xml:space="preserve"> No. AA0</w:t>
            </w:r>
            <w:r w:rsidR="00713ACA">
              <w:rPr>
                <w:rFonts w:ascii="Century Gothic" w:eastAsia="Times New Roman" w:hAnsi="Century Gothic" w:cs="Tahoma"/>
                <w:sz w:val="22"/>
                <w:szCs w:val="22"/>
                <w:lang w:val="es-ES" w:eastAsia="es-ES"/>
              </w:rPr>
              <w:t>84516</w:t>
            </w:r>
            <w:r w:rsidR="00BF6834">
              <w:rPr>
                <w:rFonts w:ascii="Century Gothic" w:eastAsia="Times New Roman" w:hAnsi="Century Gothic" w:cs="Tahoma"/>
                <w:sz w:val="22"/>
                <w:szCs w:val="22"/>
                <w:lang w:val="es-ES" w:eastAsia="es-ES"/>
              </w:rPr>
              <w:t xml:space="preserve"> </w:t>
            </w:r>
            <w:r w:rsidR="00713ACA">
              <w:rPr>
                <w:rFonts w:ascii="Century Gothic" w:eastAsia="Times New Roman" w:hAnsi="Century Gothic" w:cs="Tahoma"/>
                <w:sz w:val="22"/>
                <w:szCs w:val="22"/>
                <w:lang w:val="es-ES" w:eastAsia="es-ES"/>
              </w:rPr>
              <w:t>presta cobertura</w:t>
            </w:r>
            <w:r w:rsidR="00BF6834">
              <w:rPr>
                <w:rFonts w:ascii="Century Gothic" w:eastAsia="Times New Roman" w:hAnsi="Century Gothic" w:cs="Tahoma"/>
                <w:sz w:val="22"/>
                <w:szCs w:val="22"/>
                <w:lang w:val="es-ES" w:eastAsia="es-ES"/>
              </w:rPr>
              <w:t xml:space="preserve"> temporal</w:t>
            </w:r>
            <w:r w:rsidR="00F308F0">
              <w:rPr>
                <w:rFonts w:ascii="Century Gothic" w:eastAsia="Times New Roman" w:hAnsi="Century Gothic" w:cs="Tahoma"/>
                <w:sz w:val="22"/>
                <w:szCs w:val="22"/>
                <w:lang w:val="es-ES" w:eastAsia="es-ES"/>
              </w:rPr>
              <w:t xml:space="preserve"> y material, no se encuentra acreditada la responsabilidad del asegurado.</w:t>
            </w:r>
          </w:p>
          <w:p w14:paraId="214415B6" w14:textId="77777777" w:rsidR="004A74D3" w:rsidRDefault="004A74D3" w:rsidP="009A6A9B">
            <w:pPr>
              <w:spacing w:line="360" w:lineRule="auto"/>
              <w:jc w:val="both"/>
              <w:rPr>
                <w:rFonts w:ascii="Century Gothic" w:eastAsia="Times New Roman" w:hAnsi="Century Gothic" w:cs="Tahoma"/>
                <w:sz w:val="22"/>
                <w:szCs w:val="22"/>
                <w:lang w:val="es-ES" w:eastAsia="es-ES"/>
              </w:rPr>
            </w:pPr>
          </w:p>
          <w:p w14:paraId="4B1246B3" w14:textId="27105897" w:rsidR="00644069" w:rsidRDefault="009A6A9B" w:rsidP="00713ACA">
            <w:pPr>
              <w:spacing w:line="360" w:lineRule="auto"/>
              <w:jc w:val="both"/>
              <w:rPr>
                <w:rFonts w:ascii="Century Gothic" w:eastAsia="Times New Roman" w:hAnsi="Century Gothic" w:cs="Tahoma"/>
                <w:sz w:val="22"/>
                <w:szCs w:val="22"/>
                <w:lang w:eastAsia="es-ES"/>
              </w:rPr>
            </w:pPr>
            <w:r>
              <w:rPr>
                <w:rFonts w:ascii="Century Gothic" w:eastAsia="Times New Roman" w:hAnsi="Century Gothic" w:cs="Tahoma"/>
                <w:sz w:val="22"/>
                <w:szCs w:val="22"/>
                <w:lang w:val="es-ES" w:eastAsia="es-ES"/>
              </w:rPr>
              <w:t>La póliza</w:t>
            </w:r>
            <w:r w:rsidR="00BF6834">
              <w:rPr>
                <w:rFonts w:ascii="Century Gothic" w:eastAsia="Times New Roman" w:hAnsi="Century Gothic" w:cs="Tahoma"/>
                <w:sz w:val="22"/>
                <w:szCs w:val="22"/>
                <w:lang w:val="es-ES" w:eastAsia="es-ES"/>
              </w:rPr>
              <w:t xml:space="preserve"> de </w:t>
            </w:r>
            <w:r w:rsidR="00713ACA">
              <w:rPr>
                <w:rFonts w:ascii="Century Gothic" w:eastAsia="Times New Roman" w:hAnsi="Century Gothic" w:cs="Tahoma"/>
                <w:sz w:val="22"/>
                <w:szCs w:val="22"/>
                <w:lang w:val="es-ES" w:eastAsia="es-ES"/>
              </w:rPr>
              <w:t>responsabilidad civil profesional clínicas No. AA084516</w:t>
            </w:r>
            <w:r w:rsidR="00644069">
              <w:rPr>
                <w:rFonts w:ascii="Century Gothic" w:eastAsia="Times New Roman" w:hAnsi="Century Gothic" w:cs="Tahoma"/>
                <w:sz w:val="22"/>
                <w:szCs w:val="22"/>
                <w:lang w:val="es-ES" w:eastAsia="es-ES"/>
              </w:rPr>
              <w:t>, cuyo asegurado es el Hospital General de Medellín E.S.E,</w:t>
            </w:r>
            <w:r w:rsidR="00713ACA">
              <w:rPr>
                <w:rFonts w:ascii="Century Gothic" w:eastAsia="Times New Roman" w:hAnsi="Century Gothic" w:cs="Tahoma"/>
                <w:sz w:val="22"/>
                <w:szCs w:val="22"/>
                <w:lang w:val="es-ES" w:eastAsia="es-ES"/>
              </w:rPr>
              <w:t xml:space="preserve"> presta cobertura temporal ya que la supuesta demora en la atención al paciente habría iniciado el día 7 de diciembre de 2023 y se extendió hasta el 22 de abril de 2024, lapso que se encuentra comprendido dentro del periodo de retroactividad de la póliza que inicia el 19 de octubre de 2007.</w:t>
            </w:r>
            <w:r w:rsidR="00F14DFA">
              <w:rPr>
                <w:rFonts w:ascii="Century Gothic" w:eastAsia="Times New Roman" w:hAnsi="Century Gothic" w:cs="Tahoma"/>
                <w:sz w:val="22"/>
                <w:szCs w:val="22"/>
                <w:lang w:val="es-ES" w:eastAsia="es-ES"/>
              </w:rPr>
              <w:t xml:space="preserve"> Además, la reforma de la demanda que hace las veces de reclamación judicial fue presentada el 19 de marzo de 2025, es decir, dentro de la última renovación de la póliza comprendida entre el 30 de diciembre de 2024 y el 30 de diciembre de 2025. </w:t>
            </w:r>
            <w:r w:rsidR="00644069">
              <w:rPr>
                <w:rFonts w:ascii="Century Gothic" w:eastAsia="Times New Roman" w:hAnsi="Century Gothic" w:cs="Tahoma"/>
                <w:sz w:val="22"/>
                <w:szCs w:val="22"/>
                <w:lang w:val="es-ES" w:eastAsia="es-ES"/>
              </w:rPr>
              <w:t xml:space="preserve">Aunado a ello, la póliza presta </w:t>
            </w:r>
            <w:r w:rsidR="00F14DFA">
              <w:rPr>
                <w:rFonts w:ascii="Century Gothic" w:eastAsia="Times New Roman" w:hAnsi="Century Gothic" w:cs="Tahoma"/>
                <w:sz w:val="22"/>
                <w:szCs w:val="22"/>
                <w:lang w:val="es-ES" w:eastAsia="es-ES"/>
              </w:rPr>
              <w:t>cobertura materia</w:t>
            </w:r>
            <w:r w:rsidR="00644069">
              <w:rPr>
                <w:rFonts w:ascii="Century Gothic" w:eastAsia="Times New Roman" w:hAnsi="Century Gothic" w:cs="Tahoma"/>
                <w:sz w:val="22"/>
                <w:szCs w:val="22"/>
                <w:lang w:val="es-ES" w:eastAsia="es-ES"/>
              </w:rPr>
              <w:t xml:space="preserve">, en tanto </w:t>
            </w:r>
            <w:r w:rsidR="00644069" w:rsidRPr="00644069">
              <w:rPr>
                <w:rFonts w:ascii="Century Gothic" w:eastAsia="Times New Roman" w:hAnsi="Century Gothic" w:cs="Tahoma"/>
                <w:sz w:val="22"/>
                <w:szCs w:val="22"/>
                <w:lang w:eastAsia="es-ES"/>
              </w:rPr>
              <w:t xml:space="preserve">ampara la responsabilidad civil en </w:t>
            </w:r>
            <w:r w:rsidR="00644069">
              <w:rPr>
                <w:rFonts w:ascii="Century Gothic" w:eastAsia="Times New Roman" w:hAnsi="Century Gothic" w:cs="Tahoma"/>
                <w:sz w:val="22"/>
                <w:szCs w:val="22"/>
                <w:lang w:eastAsia="es-ES"/>
              </w:rPr>
              <w:t xml:space="preserve">la </w:t>
            </w:r>
            <w:r w:rsidR="00644069" w:rsidRPr="00644069">
              <w:rPr>
                <w:rFonts w:ascii="Century Gothic" w:eastAsia="Times New Roman" w:hAnsi="Century Gothic" w:cs="Tahoma"/>
                <w:sz w:val="22"/>
                <w:szCs w:val="22"/>
                <w:lang w:eastAsia="es-ES"/>
              </w:rPr>
              <w:t xml:space="preserve">que incurra el asegurado y si bien la pretensión </w:t>
            </w:r>
            <w:r w:rsidR="00644069">
              <w:rPr>
                <w:rFonts w:ascii="Century Gothic" w:eastAsia="Times New Roman" w:hAnsi="Century Gothic" w:cs="Tahoma"/>
                <w:sz w:val="22"/>
                <w:szCs w:val="22"/>
                <w:lang w:eastAsia="es-ES"/>
              </w:rPr>
              <w:t xml:space="preserve">de declaratoria de responsabilidad </w:t>
            </w:r>
            <w:r w:rsidR="00644069" w:rsidRPr="00644069">
              <w:rPr>
                <w:rFonts w:ascii="Century Gothic" w:eastAsia="Times New Roman" w:hAnsi="Century Gothic" w:cs="Tahoma"/>
                <w:sz w:val="22"/>
                <w:szCs w:val="22"/>
                <w:lang w:eastAsia="es-ES"/>
              </w:rPr>
              <w:t xml:space="preserve">no fue formulada </w:t>
            </w:r>
            <w:r w:rsidR="00644069">
              <w:rPr>
                <w:rFonts w:ascii="Century Gothic" w:eastAsia="Times New Roman" w:hAnsi="Century Gothic" w:cs="Tahoma"/>
                <w:sz w:val="22"/>
                <w:szCs w:val="22"/>
                <w:lang w:eastAsia="es-ES"/>
              </w:rPr>
              <w:t>frente al</w:t>
            </w:r>
            <w:r w:rsidR="00644069" w:rsidRPr="00644069">
              <w:rPr>
                <w:rFonts w:ascii="Century Gothic" w:eastAsia="Times New Roman" w:hAnsi="Century Gothic" w:cs="Tahoma"/>
                <w:sz w:val="22"/>
                <w:szCs w:val="22"/>
                <w:lang w:eastAsia="es-ES"/>
              </w:rPr>
              <w:t xml:space="preserve"> </w:t>
            </w:r>
            <w:r w:rsidR="00F308F0">
              <w:rPr>
                <w:rFonts w:ascii="Century Gothic" w:eastAsia="Times New Roman" w:hAnsi="Century Gothic" w:cs="Tahoma"/>
                <w:sz w:val="22"/>
                <w:szCs w:val="22"/>
                <w:lang w:eastAsia="es-ES"/>
              </w:rPr>
              <w:t>hospital,</w:t>
            </w:r>
            <w:r w:rsidR="00644069" w:rsidRPr="00644069">
              <w:rPr>
                <w:rFonts w:ascii="Century Gothic" w:eastAsia="Times New Roman" w:hAnsi="Century Gothic" w:cs="Tahoma"/>
                <w:sz w:val="22"/>
                <w:szCs w:val="22"/>
                <w:lang w:eastAsia="es-ES"/>
              </w:rPr>
              <w:t xml:space="preserve"> </w:t>
            </w:r>
            <w:r w:rsidR="00644069">
              <w:rPr>
                <w:rFonts w:ascii="Century Gothic" w:eastAsia="Times New Roman" w:hAnsi="Century Gothic" w:cs="Tahoma"/>
                <w:sz w:val="22"/>
                <w:szCs w:val="22"/>
                <w:lang w:eastAsia="es-ES"/>
              </w:rPr>
              <w:t xml:space="preserve">en virtud de que </w:t>
            </w:r>
            <w:r w:rsidR="00644069" w:rsidRPr="00644069">
              <w:rPr>
                <w:rFonts w:ascii="Century Gothic" w:eastAsia="Times New Roman" w:hAnsi="Century Gothic" w:cs="Tahoma"/>
                <w:sz w:val="22"/>
                <w:szCs w:val="22"/>
                <w:lang w:eastAsia="es-ES"/>
              </w:rPr>
              <w:t>no se encuentra vinculado al proceso, lo cierto es que el actor ejerció la acción directa solicitando la responsabilidad de la aseguradora por los perjuicios causados por el asegurado</w:t>
            </w:r>
            <w:r w:rsidR="00644069">
              <w:rPr>
                <w:rFonts w:ascii="Century Gothic" w:eastAsia="Times New Roman" w:hAnsi="Century Gothic" w:cs="Tahoma"/>
                <w:sz w:val="22"/>
                <w:szCs w:val="22"/>
                <w:lang w:eastAsia="es-ES"/>
              </w:rPr>
              <w:t>.</w:t>
            </w:r>
          </w:p>
          <w:p w14:paraId="155D92F4" w14:textId="40164828" w:rsidR="00C10BCA" w:rsidRDefault="00C10BCA" w:rsidP="00713ACA">
            <w:pPr>
              <w:spacing w:line="360" w:lineRule="auto"/>
              <w:jc w:val="both"/>
              <w:rPr>
                <w:rFonts w:ascii="Century Gothic" w:eastAsia="Times New Roman" w:hAnsi="Century Gothic" w:cs="Tahoma"/>
                <w:color w:val="000000"/>
                <w:sz w:val="22"/>
                <w:szCs w:val="22"/>
                <w:bdr w:val="none" w:sz="0" w:space="0" w:color="auto" w:frame="1"/>
                <w:shd w:val="clear" w:color="auto" w:fill="FFFFFF"/>
                <w:lang w:val="es-ES" w:eastAsia="es-CO"/>
              </w:rPr>
            </w:pPr>
          </w:p>
          <w:p w14:paraId="6CB64BC3" w14:textId="31DB0C49" w:rsidR="00F308F0" w:rsidRPr="00675761" w:rsidRDefault="00C10BCA" w:rsidP="00713ACA">
            <w:pPr>
              <w:spacing w:line="360" w:lineRule="auto"/>
              <w:jc w:val="both"/>
              <w:rPr>
                <w:rFonts w:ascii="Century Gothic" w:eastAsia="Times New Roman" w:hAnsi="Century Gothic" w:cs="Tahoma"/>
                <w:sz w:val="22"/>
                <w:szCs w:val="22"/>
                <w:lang w:eastAsia="es-ES"/>
              </w:rPr>
            </w:pPr>
            <w:r w:rsidRPr="00675761">
              <w:rPr>
                <w:rFonts w:ascii="Century Gothic" w:eastAsia="Times New Roman" w:hAnsi="Century Gothic" w:cs="Tahoma"/>
                <w:sz w:val="22"/>
                <w:szCs w:val="22"/>
                <w:lang w:eastAsia="es-ES"/>
              </w:rPr>
              <w:t>Por otro lado, frente a la responsabilidad del asegurado, debe decirse hasta este momento, los elementos de prueba obrantes en el expediente reflejan que, si bien</w:t>
            </w:r>
            <w:r w:rsidR="00F308F0">
              <w:rPr>
                <w:rFonts w:ascii="Century Gothic" w:eastAsia="Times New Roman" w:hAnsi="Century Gothic" w:cs="Tahoma"/>
                <w:sz w:val="22"/>
                <w:szCs w:val="22"/>
                <w:lang w:eastAsia="es-ES"/>
              </w:rPr>
              <w:t xml:space="preserve"> hubo una</w:t>
            </w:r>
            <w:r w:rsidRPr="00675761">
              <w:rPr>
                <w:rFonts w:ascii="Century Gothic" w:eastAsia="Times New Roman" w:hAnsi="Century Gothic" w:cs="Tahoma"/>
                <w:sz w:val="22"/>
                <w:szCs w:val="22"/>
                <w:lang w:eastAsia="es-ES"/>
              </w:rPr>
              <w:t xml:space="preserve"> </w:t>
            </w:r>
            <w:r w:rsidRPr="00972AC1">
              <w:rPr>
                <w:rFonts w:ascii="Century Gothic" w:eastAsia="Times New Roman" w:hAnsi="Century Gothic" w:cs="Tahoma"/>
                <w:sz w:val="22"/>
                <w:szCs w:val="22"/>
                <w:lang w:eastAsia="es-ES"/>
              </w:rPr>
              <w:t xml:space="preserve">demora en la práctica de </w:t>
            </w:r>
            <w:proofErr w:type="spellStart"/>
            <w:r w:rsidRPr="00972AC1">
              <w:rPr>
                <w:rFonts w:ascii="Century Gothic" w:eastAsia="Times New Roman" w:hAnsi="Century Gothic" w:cs="Tahoma"/>
                <w:sz w:val="22"/>
                <w:szCs w:val="22"/>
                <w:lang w:eastAsia="es-ES"/>
              </w:rPr>
              <w:t>neurorrafia</w:t>
            </w:r>
            <w:proofErr w:type="spellEnd"/>
            <w:r w:rsidRPr="00972AC1">
              <w:rPr>
                <w:rFonts w:ascii="Century Gothic" w:eastAsia="Times New Roman" w:hAnsi="Century Gothic" w:cs="Tahoma"/>
                <w:sz w:val="22"/>
                <w:szCs w:val="22"/>
                <w:lang w:eastAsia="es-ES"/>
              </w:rPr>
              <w:t xml:space="preserve"> de nervio en mano, lo que generó a juicio del demandante que su mano quedará inmóvil y sin posibilidades de recuperación</w:t>
            </w:r>
            <w:r w:rsidR="009354A2">
              <w:rPr>
                <w:rFonts w:ascii="Century Gothic" w:eastAsia="Times New Roman" w:hAnsi="Century Gothic" w:cs="Tahoma"/>
                <w:sz w:val="22"/>
                <w:szCs w:val="22"/>
                <w:lang w:eastAsia="es-ES"/>
              </w:rPr>
              <w:t>, lo cierto es que esto se debió a la falta de autorización por parte de la EPS y/o ADRES</w:t>
            </w:r>
            <w:r w:rsidR="00F308F0">
              <w:rPr>
                <w:rFonts w:ascii="Century Gothic" w:eastAsia="Times New Roman" w:hAnsi="Century Gothic" w:cs="Tahoma"/>
                <w:sz w:val="22"/>
                <w:szCs w:val="22"/>
                <w:lang w:eastAsia="es-ES"/>
              </w:rPr>
              <w:t>, situación que no es de resorte del Hospital. Sin embargo,</w:t>
            </w:r>
            <w:r w:rsidR="009354A2" w:rsidRPr="00675761">
              <w:rPr>
                <w:rFonts w:ascii="Century Gothic" w:eastAsia="Times New Roman" w:hAnsi="Century Gothic" w:cs="Tahoma"/>
                <w:sz w:val="22"/>
                <w:szCs w:val="22"/>
                <w:lang w:eastAsia="es-ES"/>
              </w:rPr>
              <w:t xml:space="preserve"> es importante indicar que </w:t>
            </w:r>
            <w:r w:rsidR="00F308F0" w:rsidRPr="00675761">
              <w:rPr>
                <w:rFonts w:ascii="Century Gothic" w:eastAsia="Times New Roman" w:hAnsi="Century Gothic" w:cs="Tahoma"/>
                <w:sz w:val="22"/>
                <w:szCs w:val="22"/>
                <w:lang w:eastAsia="es-ES"/>
              </w:rPr>
              <w:t>el asegurado no se encuentra convocado al proceso,</w:t>
            </w:r>
            <w:r w:rsidR="00F308F0">
              <w:rPr>
                <w:rFonts w:ascii="Century Gothic" w:eastAsia="Times New Roman" w:hAnsi="Century Gothic" w:cs="Tahoma"/>
                <w:sz w:val="22"/>
                <w:szCs w:val="22"/>
                <w:lang w:eastAsia="es-ES"/>
              </w:rPr>
              <w:t xml:space="preserve"> no obstante, </w:t>
            </w:r>
            <w:r w:rsidR="00F308F0" w:rsidRPr="00675761">
              <w:rPr>
                <w:rFonts w:ascii="Century Gothic" w:eastAsia="Times New Roman" w:hAnsi="Century Gothic" w:cs="Tahoma"/>
                <w:sz w:val="22"/>
                <w:szCs w:val="22"/>
                <w:lang w:eastAsia="es-ES"/>
              </w:rPr>
              <w:t xml:space="preserve">se encuentra llamado en garantía por la EPS Suramericana S.A., por lo que </w:t>
            </w:r>
            <w:r w:rsidR="00F308F0">
              <w:rPr>
                <w:rFonts w:ascii="Century Gothic" w:eastAsia="Times New Roman" w:hAnsi="Century Gothic" w:cs="Tahoma"/>
                <w:sz w:val="22"/>
                <w:szCs w:val="22"/>
                <w:lang w:eastAsia="es-ES"/>
              </w:rPr>
              <w:t>está</w:t>
            </w:r>
            <w:r w:rsidR="00F308F0" w:rsidRPr="00675761">
              <w:rPr>
                <w:rFonts w:ascii="Century Gothic" w:eastAsia="Times New Roman" w:hAnsi="Century Gothic" w:cs="Tahoma"/>
                <w:sz w:val="22"/>
                <w:szCs w:val="22"/>
                <w:lang w:eastAsia="es-ES"/>
              </w:rPr>
              <w:t xml:space="preserve"> pendiente la vinculación del Hospital General de Medellín E.S.E, quien posiblemente llamará en garantía a La Equidad Seguros Generales OC., oportunidad en la cual la presente contingencia deberá analizarse junto con los argumentos expuestos por el asegurado.</w:t>
            </w:r>
          </w:p>
          <w:p w14:paraId="65248D0E" w14:textId="77777777" w:rsidR="00A66DB5" w:rsidRDefault="00A66DB5" w:rsidP="009A6A9B">
            <w:pPr>
              <w:spacing w:line="360" w:lineRule="auto"/>
              <w:jc w:val="both"/>
              <w:rPr>
                <w:rFonts w:ascii="Century Gothic" w:eastAsia="Times New Roman" w:hAnsi="Century Gothic" w:cs="Tahoma"/>
                <w:sz w:val="22"/>
                <w:szCs w:val="22"/>
                <w:lang w:val="es-ES" w:eastAsia="es-ES"/>
              </w:rPr>
            </w:pPr>
          </w:p>
          <w:p w14:paraId="3E5A194C" w14:textId="26BABE55" w:rsidR="009A6A9B" w:rsidRDefault="00200945" w:rsidP="009A6A9B">
            <w:pPr>
              <w:spacing w:line="360" w:lineRule="auto"/>
              <w:jc w:val="both"/>
              <w:rPr>
                <w:rFonts w:ascii="Century Gothic" w:eastAsia="Times New Roman" w:hAnsi="Century Gothic" w:cs="Tahoma"/>
                <w:sz w:val="22"/>
                <w:szCs w:val="22"/>
                <w:lang w:val="es-ES" w:eastAsia="es-ES"/>
              </w:rPr>
            </w:pPr>
            <w:r>
              <w:rPr>
                <w:rFonts w:ascii="Century Gothic" w:eastAsia="Times New Roman" w:hAnsi="Century Gothic" w:cs="Tahoma"/>
                <w:sz w:val="22"/>
                <w:szCs w:val="22"/>
                <w:lang w:val="es-ES" w:eastAsia="es-ES"/>
              </w:rPr>
              <w:t>Lo anterior sin perjuicio del carácter contingente del proceso.</w:t>
            </w:r>
          </w:p>
          <w:p w14:paraId="58FF1192" w14:textId="77777777" w:rsidR="00BA1E5F" w:rsidRPr="009A6A9B" w:rsidRDefault="00BA1E5F" w:rsidP="004B0C08">
            <w:pPr>
              <w:spacing w:line="360" w:lineRule="auto"/>
              <w:rPr>
                <w:rFonts w:ascii="Century Gothic" w:hAnsi="Century Gothic"/>
                <w:sz w:val="22"/>
                <w:szCs w:val="22"/>
                <w:lang w:val="es-ES"/>
              </w:rPr>
            </w:pPr>
          </w:p>
        </w:tc>
      </w:tr>
      <w:tr w:rsidR="00BA1E5F" w:rsidRPr="00BA1E5F" w14:paraId="6A3F4D91" w14:textId="77777777" w:rsidTr="008B59F4">
        <w:trPr>
          <w:trHeight w:val="1361"/>
        </w:trPr>
        <w:tc>
          <w:tcPr>
            <w:tcW w:w="10207" w:type="dxa"/>
            <w:gridSpan w:val="2"/>
            <w:vAlign w:val="center"/>
          </w:tcPr>
          <w:p w14:paraId="3A806213" w14:textId="70CCC005" w:rsidR="00BA1E5F" w:rsidRPr="00BA1E5F" w:rsidRDefault="00B94F51" w:rsidP="00BA1E5F">
            <w:pPr>
              <w:spacing w:line="360" w:lineRule="auto"/>
              <w:jc w:val="center"/>
              <w:rPr>
                <w:rFonts w:ascii="Century Gothic" w:hAnsi="Century Gothic"/>
                <w:b/>
                <w:bCs/>
                <w:sz w:val="22"/>
                <w:szCs w:val="22"/>
              </w:rPr>
            </w:pPr>
            <w:r>
              <w:rPr>
                <w:rFonts w:ascii="Century Gothic" w:hAnsi="Century Gothic"/>
                <w:b/>
                <w:bCs/>
                <w:sz w:val="22"/>
                <w:szCs w:val="22"/>
              </w:rPr>
              <w:lastRenderedPageBreak/>
              <w:t>Gustavo Alberto Herrera Ávila</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57572" w14:textId="77777777" w:rsidR="003D1F8A" w:rsidRDefault="003D1F8A" w:rsidP="00E7033F">
      <w:r>
        <w:separator/>
      </w:r>
    </w:p>
  </w:endnote>
  <w:endnote w:type="continuationSeparator" w:id="0">
    <w:p w14:paraId="7E9D1AE7" w14:textId="77777777" w:rsidR="003D1F8A" w:rsidRDefault="003D1F8A"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C0FCB" w14:textId="77777777" w:rsidR="003D1F8A" w:rsidRDefault="003D1F8A" w:rsidP="00E7033F">
      <w:r>
        <w:separator/>
      </w:r>
    </w:p>
  </w:footnote>
  <w:footnote w:type="continuationSeparator" w:id="0">
    <w:p w14:paraId="35096DAE" w14:textId="77777777" w:rsidR="003D1F8A" w:rsidRDefault="003D1F8A"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3FD"/>
    <w:multiLevelType w:val="hybridMultilevel"/>
    <w:tmpl w:val="9942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84D66"/>
    <w:multiLevelType w:val="hybridMultilevel"/>
    <w:tmpl w:val="904E8FE0"/>
    <w:lvl w:ilvl="0" w:tplc="FE4EA0DC">
      <w:start w:val="1"/>
      <w:numFmt w:val="decimal"/>
      <w:lvlText w:val="%1."/>
      <w:lvlJc w:val="left"/>
      <w:pPr>
        <w:ind w:left="644" w:hanging="360"/>
      </w:pPr>
      <w:rPr>
        <w:rFonts w:ascii="Helvetica" w:eastAsia="Times New Roman" w:hAnsi="Helvetica" w:cs="Times New Roman"/>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2" w15:restartNumberingAfterBreak="0">
    <w:nsid w:val="40F543B0"/>
    <w:multiLevelType w:val="hybridMultilevel"/>
    <w:tmpl w:val="4A62E0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870422"/>
    <w:multiLevelType w:val="hybridMultilevel"/>
    <w:tmpl w:val="31C48AA6"/>
    <w:lvl w:ilvl="0" w:tplc="FD8814C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DF0B81"/>
    <w:multiLevelType w:val="hybridMultilevel"/>
    <w:tmpl w:val="E2EE738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6C6072"/>
    <w:multiLevelType w:val="hybridMultilevel"/>
    <w:tmpl w:val="647456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965887842">
    <w:abstractNumId w:val="3"/>
  </w:num>
  <w:num w:numId="2" w16cid:durableId="161547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42986">
    <w:abstractNumId w:val="4"/>
  </w:num>
  <w:num w:numId="4" w16cid:durableId="1222062031">
    <w:abstractNumId w:val="1"/>
  </w:num>
  <w:num w:numId="5" w16cid:durableId="214633120">
    <w:abstractNumId w:val="5"/>
  </w:num>
  <w:num w:numId="6" w16cid:durableId="1275134691">
    <w:abstractNumId w:val="0"/>
  </w:num>
  <w:num w:numId="7" w16cid:durableId="17403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4FC1"/>
    <w:rsid w:val="00027E82"/>
    <w:rsid w:val="000554F9"/>
    <w:rsid w:val="00060489"/>
    <w:rsid w:val="00072BFC"/>
    <w:rsid w:val="000823F1"/>
    <w:rsid w:val="00082BB1"/>
    <w:rsid w:val="00083B98"/>
    <w:rsid w:val="00096A62"/>
    <w:rsid w:val="000A1774"/>
    <w:rsid w:val="000A232F"/>
    <w:rsid w:val="000C7A7E"/>
    <w:rsid w:val="000C7EB8"/>
    <w:rsid w:val="000D0CFA"/>
    <w:rsid w:val="000D23FC"/>
    <w:rsid w:val="001129B6"/>
    <w:rsid w:val="001179E0"/>
    <w:rsid w:val="0012124F"/>
    <w:rsid w:val="00142ED0"/>
    <w:rsid w:val="00155B73"/>
    <w:rsid w:val="00163447"/>
    <w:rsid w:val="00167FB1"/>
    <w:rsid w:val="00172F2A"/>
    <w:rsid w:val="00181E11"/>
    <w:rsid w:val="001A4D6C"/>
    <w:rsid w:val="001B54EA"/>
    <w:rsid w:val="001C44B4"/>
    <w:rsid w:val="001D2832"/>
    <w:rsid w:val="001D7728"/>
    <w:rsid w:val="001E096B"/>
    <w:rsid w:val="001E1616"/>
    <w:rsid w:val="001E1B9F"/>
    <w:rsid w:val="001E5C79"/>
    <w:rsid w:val="001F261D"/>
    <w:rsid w:val="001F533F"/>
    <w:rsid w:val="001F69C7"/>
    <w:rsid w:val="00200945"/>
    <w:rsid w:val="00211125"/>
    <w:rsid w:val="00216AC7"/>
    <w:rsid w:val="00263011"/>
    <w:rsid w:val="002633C0"/>
    <w:rsid w:val="00280492"/>
    <w:rsid w:val="002838D9"/>
    <w:rsid w:val="002928DF"/>
    <w:rsid w:val="00293F12"/>
    <w:rsid w:val="002A0E98"/>
    <w:rsid w:val="002B55BC"/>
    <w:rsid w:val="002D2E34"/>
    <w:rsid w:val="002D39ED"/>
    <w:rsid w:val="002E2BBA"/>
    <w:rsid w:val="00302EB5"/>
    <w:rsid w:val="0030526B"/>
    <w:rsid w:val="00311097"/>
    <w:rsid w:val="00314CAF"/>
    <w:rsid w:val="00324E27"/>
    <w:rsid w:val="003314A2"/>
    <w:rsid w:val="00343332"/>
    <w:rsid w:val="00344ADC"/>
    <w:rsid w:val="00353486"/>
    <w:rsid w:val="00354F6D"/>
    <w:rsid w:val="003630B3"/>
    <w:rsid w:val="003827E1"/>
    <w:rsid w:val="003A0BB9"/>
    <w:rsid w:val="003A3B58"/>
    <w:rsid w:val="003A740B"/>
    <w:rsid w:val="003B0B32"/>
    <w:rsid w:val="003B2FDE"/>
    <w:rsid w:val="003B3309"/>
    <w:rsid w:val="003B44CB"/>
    <w:rsid w:val="003B7F1A"/>
    <w:rsid w:val="003D1F8A"/>
    <w:rsid w:val="003D29A6"/>
    <w:rsid w:val="003E097E"/>
    <w:rsid w:val="003E0D60"/>
    <w:rsid w:val="003E1F31"/>
    <w:rsid w:val="00403BFC"/>
    <w:rsid w:val="00412045"/>
    <w:rsid w:val="00427503"/>
    <w:rsid w:val="00437455"/>
    <w:rsid w:val="00451CF2"/>
    <w:rsid w:val="004637F2"/>
    <w:rsid w:val="00467B26"/>
    <w:rsid w:val="00485837"/>
    <w:rsid w:val="00493936"/>
    <w:rsid w:val="004A74D3"/>
    <w:rsid w:val="004B0C08"/>
    <w:rsid w:val="004C6A21"/>
    <w:rsid w:val="004C6CB0"/>
    <w:rsid w:val="004C7D4E"/>
    <w:rsid w:val="004D711F"/>
    <w:rsid w:val="004F628F"/>
    <w:rsid w:val="00504FFB"/>
    <w:rsid w:val="00547AD7"/>
    <w:rsid w:val="005533BC"/>
    <w:rsid w:val="0058192D"/>
    <w:rsid w:val="005E4B28"/>
    <w:rsid w:val="005F378B"/>
    <w:rsid w:val="005F3B37"/>
    <w:rsid w:val="005F61D3"/>
    <w:rsid w:val="005F6D3D"/>
    <w:rsid w:val="006039BA"/>
    <w:rsid w:val="006050C1"/>
    <w:rsid w:val="006056E7"/>
    <w:rsid w:val="00611AF2"/>
    <w:rsid w:val="00616656"/>
    <w:rsid w:val="006371A4"/>
    <w:rsid w:val="00637DB1"/>
    <w:rsid w:val="00644069"/>
    <w:rsid w:val="006441AB"/>
    <w:rsid w:val="0064423C"/>
    <w:rsid w:val="006474CC"/>
    <w:rsid w:val="0067455F"/>
    <w:rsid w:val="00675761"/>
    <w:rsid w:val="00694306"/>
    <w:rsid w:val="00695E05"/>
    <w:rsid w:val="006A1563"/>
    <w:rsid w:val="006C79F8"/>
    <w:rsid w:val="006E06CC"/>
    <w:rsid w:val="006E4DC5"/>
    <w:rsid w:val="006F0CAA"/>
    <w:rsid w:val="006F6812"/>
    <w:rsid w:val="007050A4"/>
    <w:rsid w:val="00713ACA"/>
    <w:rsid w:val="00713BDD"/>
    <w:rsid w:val="00713F21"/>
    <w:rsid w:val="007445DB"/>
    <w:rsid w:val="007523AA"/>
    <w:rsid w:val="0075715F"/>
    <w:rsid w:val="00761B63"/>
    <w:rsid w:val="00770AA7"/>
    <w:rsid w:val="00786A14"/>
    <w:rsid w:val="007903EF"/>
    <w:rsid w:val="00790F2A"/>
    <w:rsid w:val="007B2E17"/>
    <w:rsid w:val="007C37D7"/>
    <w:rsid w:val="007D1BF9"/>
    <w:rsid w:val="007D7139"/>
    <w:rsid w:val="007D7F9C"/>
    <w:rsid w:val="007E6AC2"/>
    <w:rsid w:val="00812E86"/>
    <w:rsid w:val="00816723"/>
    <w:rsid w:val="00825D0E"/>
    <w:rsid w:val="00840B42"/>
    <w:rsid w:val="008937A9"/>
    <w:rsid w:val="00894756"/>
    <w:rsid w:val="008B2463"/>
    <w:rsid w:val="008B59F4"/>
    <w:rsid w:val="008B61E5"/>
    <w:rsid w:val="008B685D"/>
    <w:rsid w:val="008C532D"/>
    <w:rsid w:val="008E249B"/>
    <w:rsid w:val="008F6B57"/>
    <w:rsid w:val="00906BE1"/>
    <w:rsid w:val="00933CEA"/>
    <w:rsid w:val="00934E60"/>
    <w:rsid w:val="009354A2"/>
    <w:rsid w:val="0095378E"/>
    <w:rsid w:val="00957037"/>
    <w:rsid w:val="009577DD"/>
    <w:rsid w:val="00964135"/>
    <w:rsid w:val="00974CD2"/>
    <w:rsid w:val="009820E4"/>
    <w:rsid w:val="00987619"/>
    <w:rsid w:val="00992368"/>
    <w:rsid w:val="00996B7A"/>
    <w:rsid w:val="009A06ED"/>
    <w:rsid w:val="009A3950"/>
    <w:rsid w:val="009A4CCD"/>
    <w:rsid w:val="009A6A9B"/>
    <w:rsid w:val="009B5B9F"/>
    <w:rsid w:val="009C6766"/>
    <w:rsid w:val="009C73BC"/>
    <w:rsid w:val="009D1EC5"/>
    <w:rsid w:val="009D4D60"/>
    <w:rsid w:val="00A0568F"/>
    <w:rsid w:val="00A070EE"/>
    <w:rsid w:val="00A1669F"/>
    <w:rsid w:val="00A2047A"/>
    <w:rsid w:val="00A214C4"/>
    <w:rsid w:val="00A216AF"/>
    <w:rsid w:val="00A335FC"/>
    <w:rsid w:val="00A56BDF"/>
    <w:rsid w:val="00A63D76"/>
    <w:rsid w:val="00A66DB5"/>
    <w:rsid w:val="00A7638F"/>
    <w:rsid w:val="00AC0846"/>
    <w:rsid w:val="00AE28C2"/>
    <w:rsid w:val="00AE4023"/>
    <w:rsid w:val="00B078BC"/>
    <w:rsid w:val="00B2787D"/>
    <w:rsid w:val="00B67433"/>
    <w:rsid w:val="00B8216F"/>
    <w:rsid w:val="00B82E60"/>
    <w:rsid w:val="00B90E05"/>
    <w:rsid w:val="00B94F51"/>
    <w:rsid w:val="00BA0472"/>
    <w:rsid w:val="00BA1E5F"/>
    <w:rsid w:val="00BD07E9"/>
    <w:rsid w:val="00BF6834"/>
    <w:rsid w:val="00C10BCA"/>
    <w:rsid w:val="00C20AF7"/>
    <w:rsid w:val="00C24F23"/>
    <w:rsid w:val="00C33C75"/>
    <w:rsid w:val="00C34357"/>
    <w:rsid w:val="00C35B6A"/>
    <w:rsid w:val="00C4785F"/>
    <w:rsid w:val="00C73197"/>
    <w:rsid w:val="00C931E1"/>
    <w:rsid w:val="00CA40CB"/>
    <w:rsid w:val="00CB00F6"/>
    <w:rsid w:val="00CB5101"/>
    <w:rsid w:val="00CC7E43"/>
    <w:rsid w:val="00CD564D"/>
    <w:rsid w:val="00CE4700"/>
    <w:rsid w:val="00CF05D7"/>
    <w:rsid w:val="00CF580E"/>
    <w:rsid w:val="00D33414"/>
    <w:rsid w:val="00D35F0D"/>
    <w:rsid w:val="00D86C40"/>
    <w:rsid w:val="00D94F12"/>
    <w:rsid w:val="00DA568E"/>
    <w:rsid w:val="00DA65AF"/>
    <w:rsid w:val="00DB702D"/>
    <w:rsid w:val="00DB7F03"/>
    <w:rsid w:val="00DD6A64"/>
    <w:rsid w:val="00DE5BEB"/>
    <w:rsid w:val="00DF24A8"/>
    <w:rsid w:val="00DF6CC5"/>
    <w:rsid w:val="00E01328"/>
    <w:rsid w:val="00E1346B"/>
    <w:rsid w:val="00E65A08"/>
    <w:rsid w:val="00E65F23"/>
    <w:rsid w:val="00E7033F"/>
    <w:rsid w:val="00E802BC"/>
    <w:rsid w:val="00E87DC2"/>
    <w:rsid w:val="00EB5FFB"/>
    <w:rsid w:val="00EE687D"/>
    <w:rsid w:val="00EF3BDC"/>
    <w:rsid w:val="00F14DFA"/>
    <w:rsid w:val="00F308F0"/>
    <w:rsid w:val="00F62D63"/>
    <w:rsid w:val="00F67EF8"/>
    <w:rsid w:val="00F847C0"/>
    <w:rsid w:val="00F856C2"/>
    <w:rsid w:val="00F90650"/>
    <w:rsid w:val="00F95BEC"/>
    <w:rsid w:val="00FC01A7"/>
    <w:rsid w:val="00FC2DAA"/>
    <w:rsid w:val="00FC71AE"/>
    <w:rsid w:val="00FD0FD5"/>
    <w:rsid w:val="00FD53B3"/>
    <w:rsid w:val="00FE01A5"/>
    <w:rsid w:val="00FE767C"/>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6A9B"/>
    <w:rPr>
      <w:sz w:val="16"/>
      <w:szCs w:val="16"/>
    </w:rPr>
  </w:style>
  <w:style w:type="paragraph" w:styleId="Textocomentario">
    <w:name w:val="annotation text"/>
    <w:basedOn w:val="Normal"/>
    <w:link w:val="TextocomentarioCar"/>
    <w:uiPriority w:val="99"/>
    <w:unhideWhenUsed/>
    <w:rsid w:val="009A6A9B"/>
    <w:rPr>
      <w:sz w:val="20"/>
      <w:szCs w:val="20"/>
    </w:rPr>
  </w:style>
  <w:style w:type="character" w:customStyle="1" w:styleId="TextocomentarioCar">
    <w:name w:val="Texto comentario Car"/>
    <w:basedOn w:val="Fuentedeprrafopredeter"/>
    <w:link w:val="Textocomentario"/>
    <w:uiPriority w:val="99"/>
    <w:rsid w:val="009A6A9B"/>
    <w:rPr>
      <w:sz w:val="20"/>
      <w:szCs w:val="20"/>
    </w:rPr>
  </w:style>
  <w:style w:type="paragraph" w:styleId="Asuntodelcomentario">
    <w:name w:val="annotation subject"/>
    <w:basedOn w:val="Textocomentario"/>
    <w:next w:val="Textocomentario"/>
    <w:link w:val="AsuntodelcomentarioCar"/>
    <w:uiPriority w:val="99"/>
    <w:semiHidden/>
    <w:unhideWhenUsed/>
    <w:rsid w:val="009A6A9B"/>
    <w:rPr>
      <w:b/>
      <w:bCs/>
    </w:rPr>
  </w:style>
  <w:style w:type="character" w:customStyle="1" w:styleId="AsuntodelcomentarioCar">
    <w:name w:val="Asunto del comentario Car"/>
    <w:basedOn w:val="TextocomentarioCar"/>
    <w:link w:val="Asuntodelcomentario"/>
    <w:uiPriority w:val="99"/>
    <w:semiHidden/>
    <w:rsid w:val="009A6A9B"/>
    <w:rPr>
      <w:b/>
      <w:bCs/>
      <w:sz w:val="20"/>
      <w:szCs w:val="20"/>
    </w:rPr>
  </w:style>
  <w:style w:type="paragraph" w:styleId="Prrafodelista">
    <w:name w:val="List Paragraph"/>
    <w:basedOn w:val="Normal"/>
    <w:uiPriority w:val="34"/>
    <w:qFormat/>
    <w:rsid w:val="009A6A9B"/>
    <w:pPr>
      <w:ind w:left="720"/>
      <w:contextualSpacing/>
    </w:pPr>
  </w:style>
  <w:style w:type="paragraph" w:styleId="Revisin">
    <w:name w:val="Revision"/>
    <w:hidden/>
    <w:uiPriority w:val="99"/>
    <w:semiHidden/>
    <w:rsid w:val="009C6766"/>
  </w:style>
  <w:style w:type="character" w:styleId="Hipervnculo">
    <w:name w:val="Hyperlink"/>
    <w:basedOn w:val="Fuentedeprrafopredeter"/>
    <w:uiPriority w:val="99"/>
    <w:unhideWhenUsed/>
    <w:rsid w:val="00D94F12"/>
    <w:rPr>
      <w:color w:val="0563C1" w:themeColor="hyperlink"/>
      <w:u w:val="single"/>
    </w:rPr>
  </w:style>
  <w:style w:type="character" w:styleId="Mencinsinresolver">
    <w:name w:val="Unresolved Mention"/>
    <w:basedOn w:val="Fuentedeprrafopredeter"/>
    <w:uiPriority w:val="99"/>
    <w:rsid w:val="00D9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00135">
      <w:bodyDiv w:val="1"/>
      <w:marLeft w:val="0"/>
      <w:marRight w:val="0"/>
      <w:marTop w:val="0"/>
      <w:marBottom w:val="0"/>
      <w:divBdr>
        <w:top w:val="none" w:sz="0" w:space="0" w:color="auto"/>
        <w:left w:val="none" w:sz="0" w:space="0" w:color="auto"/>
        <w:bottom w:val="none" w:sz="0" w:space="0" w:color="auto"/>
        <w:right w:val="none" w:sz="0" w:space="0" w:color="auto"/>
      </w:divBdr>
    </w:div>
    <w:div w:id="1769766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E70839-FDD9-5948-A17C-9360BF004840}">
  <ds:schemaRefs>
    <ds:schemaRef ds:uri="http://schemas.openxmlformats.org/officeDocument/2006/bibliography"/>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4.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1624</Words>
  <Characters>8934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2025-07-25T13:57:00Z</dcterms:created>
  <dcterms:modified xsi:type="dcterms:W3CDTF">2025-07-25T13:57:00Z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2025-07-25T13:57:17Z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f4ceb183-8689-45d2-914a-e631314339a8</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