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Hernando Alberto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Lopez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79136653</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color w:val="auto"/>
        </w:rPr>
      </w:pPr>
      <w:r>
        <w:rPr>
          <w:b/>
          <w:color w:val="auto"/>
          <w:sz w:val="24"/>
          <w:szCs w:val="24"/>
        </w:rPr>
        <w:t>OTROS DEMANDANTES</w:t>
      </w:r>
    </w:p>
    <w:p>
      <w:pPr>
        <w:pStyle w:val="LOnormal"/>
        <w:widowControl/>
        <w:shd w:val="clear" w:fill="auto"/>
        <w:spacing w:lineRule="auto" w:line="240" w:before="0" w:after="0"/>
        <w:ind w:left="0" w:right="0" w:hanging="0"/>
        <w:jc w:val="left"/>
        <w:rPr>
          <w:b/>
          <w:b/>
          <w:sz w:val="24"/>
          <w:szCs w:val="24"/>
        </w:rPr>
      </w:pPr>
      <w:r>
        <w:rPr>
          <w:b/>
          <w:sz w:val="24"/>
          <w:szCs w:val="24"/>
        </w:rPr>
      </w:r>
    </w:p>
    <w:p>
      <w:pPr>
        <w:pStyle w:val="LOnormal"/>
        <w:widowControl/>
        <w:shd w:val="clear" w:fill="auto"/>
        <w:spacing w:lineRule="auto" w:line="240" w:before="0" w:after="0"/>
        <w:ind w:left="0" w:right="0" w:hanging="0"/>
        <w:jc w:val="left"/>
        <w:rPr>
          <w:b w:val="false"/>
          <w:b w:val="false"/>
          <w:bCs w:val="false"/>
          <w:color w:val="auto"/>
        </w:rPr>
      </w:pPr>
      <w:r>
        <w:rPr>
          <w:b w:val="false"/>
          <w:bCs w:val="false"/>
          <w:color w:val="auto"/>
          <w:sz w:val="24"/>
          <w:szCs w:val="24"/>
        </w:rPr>
      </w:r>
    </w:p>
    <w:p>
      <w:pPr>
        <w:pStyle w:val="LOnormal"/>
        <w:spacing w:lineRule="auto" w:line="240"/>
        <w:rPr>
          <w:color w:val="auto"/>
          <w:sz w:val="24"/>
          <w:szCs w:val="24"/>
        </w:rPr>
      </w:pPr>
      <w:r>
        <w:rPr>
          <w:color w:val="auto"/>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pPr>
      <w:r>
        <w:rPr>
          <w:b/>
          <w:sz w:val="24"/>
          <w:szCs w:val="24"/>
        </w:rPr>
        <w:t>HECHOS</w:t>
      </w:r>
      <w:r>
        <w:rPr>
          <w:b/>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En el mes de agosto de 2023 termine un credito que tenia con BBVA LEASING HABITACIONAL, desde entonces me declararon a paz y savlo, por el credito terminado en 3500, razón por la cual desde ese mismo año, 2023 inicie el trámite para el traslado del dominio que adquirí a traves de esta figura, asunto que fue bastante demorado y tortuoso por la negligencia y desidia de los funcionarios del banco, en especial los de la sucursal plaza imperial quienes duraron mas de tres meses para expedir una constancia donde constara el valor de la obligación y que la misma ya se encuentra completamente cancelada, </w:t>
              <w:br/>
              <w:br/>
              <w:t xml:space="preserve">pese a esto y no tener ya vigente ninguna obligación, todo el tiempo y hasta la fecha, se me ha venido debitando de mi cuenta de ahorros una suma mensual según pude averiguar por concepto de seguro de vida como deudor del crédito, sin embargo reitero esta cancelado, el crédito no existe, ya esta pago entonces no hay razón para que se me incluya en una poliza de deudores cuando no soy deudor de dicha entidad bancaria. </w:t>
              <w:br/>
              <w:br/>
              <w:t xml:space="preserve">solicité se me excluyera de esa póliza colectiva de seguros pues no tengo obligación alguna con el banco, el bien ya es de mi propiedad pero pese a esto se me pretende imponer tramitres adicionales, como desplazamientos a la ciudad de Bogotá cuando de manera virtual, por correos electronicos y call center he solicitado hasta la saciedad que se me excluya de esa poliza colectiva de deudores porque no soy deudor y se me restituyan mis dineros, pero esto no ha sido posible y asi me han tenido en lo que considero yo una falta de respeto con el consumidor financiero ya que se trata de trámites y actualizaciones internas de la entidad financiera sin que tengamos la obligación los clientes de participar en dichos tramites, y lo mas complejo es que no ha sido posible que cesen los descuentos que se han debido de haber suspendido desde el mismo momento que se cancelo la totalidad del crédito. </w:t>
              <w:br/>
              <w:br/>
              <w:t xml:space="preserve">En la actualidad me encuentro desempeñando mi labor profesional en el municipio de Tumaco, en donde el BBVA no tiene oficina física, por lo que para mi no es posible acudir a ninguna sede física del banco, es por esto que acudo a este mecanismo legal para que en el término de ley se me excluya de la póliza colectiva de deudores, cesen los débitos que de hecho no he autorizado y se me restituyan los dineros que ilícitamente el banco se ha apropiado pues no existe una razón justificada a tales descuentos cuando no tengo ninguna obligación con el banco, convirtiéndose eso en un enriquecimiento ilícito de la entidad financiera. </w:t>
              <w:br/>
              <w:br/>
              <w:t>Espero de verdad que con la intervención de la superfinanciera se pueda conjurar esta irregularidad, se reconvenga a los funcionarios incompetentes y se conjure el daño que me están causando, haciéndome la devolución de los valores pagados de manera injusta e ilegal .</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 se me excluya de la póliza de deudores solidarios pues no soy deudor de esa entidad financiera.</w:t>
              <w:br/>
              <w:t xml:space="preserve">2. se me devuelvan todos los descuentos efectuados de manera ilegal de mi cuenta de ahorros, desde el mismo momento en que se canceló el leasing habitacional </w:t>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11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10000000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pPr>
      <w:r>
        <w:rPr>
          <w:b/>
          <w:sz w:val="24"/>
          <w:szCs w:val="24"/>
        </w:rPr>
        <w:t>Pretende indemnización: No</w:t>
      </w:r>
    </w:p>
    <w:p>
      <w:pPr>
        <w:pStyle w:val="LOnormal"/>
        <w:spacing w:lineRule="auto" w:line="240"/>
        <w:jc w:val="both"/>
        <w:rPr/>
      </w:pPr>
      <w:r>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Hernando Alberto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Lopez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79136653</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albeyes@hotmail.com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3105628873</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t>OTROS DEMANDANTES:</w:t>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r>
    </w:p>
    <w:p>
      <w:pPr>
        <w:pStyle w:val="LOnormal"/>
        <w:widowControl/>
        <w:shd w:val="clear" w:fill="auto"/>
        <w:spacing w:lineRule="auto" w:line="240" w:before="0" w:after="0"/>
        <w:ind w:left="0" w:right="0" w:hanging="0"/>
        <w:jc w:val="left"/>
        <w:rPr>
          <w:u w:val="none"/>
        </w:rPr>
      </w:pPr>
      <w:r>
        <w:rPr>
          <w:b w:val="false"/>
          <w:bCs w:val="false"/>
          <w:sz w:val="22"/>
          <w:szCs w:val="22"/>
          <w:u w:val="none"/>
        </w:rPr>
      </w:r>
    </w:p>
    <w:p>
      <w:pPr>
        <w:pStyle w:val="LOnormal"/>
        <w:spacing w:lineRule="auto" w:line="240"/>
        <w:rPr>
          <w:u w:val="none"/>
        </w:rPr>
      </w:pPr>
      <w:r>
        <w:rPr>
          <w:u w:val="none"/>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Hernando Alberto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Reyes Lopez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79136653</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LibreOffice/7.3.7.2$Linux_X86_64 LibreOffice_project/30$Build-2</Application>
  <AppVersion>15.0000</AppVersion>
  <Pages>2</Pages>
  <Words>210</Words>
  <Characters>1778</Characters>
  <CharactersWithSpaces>1934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