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12ECDF26" w:rsidR="00F67EF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27/08/2025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CD8D44D"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09CEAA4"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EQUIDAD SEGUROS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11AD35C3" w:rsidR="00F67EF8" w:rsidRPr="00BA1E5F" w:rsidRDefault="00374667" w:rsidP="00F67EF8">
            <w:pPr>
              <w:spacing w:line="276" w:lineRule="auto"/>
              <w:jc w:val="both"/>
              <w:rPr>
                <w:rFonts w:ascii="Century Gothic" w:hAnsi="Century Gothic"/>
                <w:sz w:val="22"/>
                <w:szCs w:val="22"/>
              </w:rPr>
            </w:pPr>
            <w:r w:rsidRPr="00374667">
              <w:rPr>
                <w:rFonts w:ascii="Century Gothic" w:hAnsi="Century Gothic"/>
                <w:sz w:val="22"/>
                <w:szCs w:val="22"/>
              </w:rPr>
              <w:t>11135</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21F1E7AD" w:rsidR="00F67EF8" w:rsidRPr="00BA1E5F" w:rsidRDefault="00693115" w:rsidP="00F67EF8">
            <w:pPr>
              <w:spacing w:line="276" w:lineRule="auto"/>
              <w:jc w:val="both"/>
              <w:rPr>
                <w:rFonts w:ascii="Century Gothic" w:hAnsi="Century Gothic"/>
                <w:sz w:val="22"/>
                <w:szCs w:val="22"/>
              </w:rPr>
            </w:pPr>
            <w:r w:rsidRPr="00693115">
              <w:rPr>
                <w:rFonts w:ascii="Century Gothic" w:hAnsi="Century Gothic"/>
                <w:sz w:val="22"/>
                <w:szCs w:val="22"/>
              </w:rPr>
              <w:t xml:space="preserve">JUZGADO SEGUNDO ADMINISTRATIVO </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E0563C6" w:rsidR="00F67EF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ZIPAQUIRA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D2ABDD7" w:rsidR="00992368" w:rsidRPr="00BA1E5F" w:rsidRDefault="00000000" w:rsidP="00F67EF8">
            <w:pPr>
              <w:spacing w:line="276" w:lineRule="auto"/>
              <w:jc w:val="both"/>
              <w:rPr>
                <w:rFonts w:ascii="Century Gothic" w:hAnsi="Century Gothic"/>
                <w:sz w:val="22"/>
                <w:szCs w:val="22"/>
              </w:rPr>
            </w:pPr>
            <w:sdt>
              <w:sdtPr>
                <w:rPr>
                  <w:rFonts w:ascii="Century Gothic" w:hAnsi="Century Gothic"/>
                  <w:sz w:val="22"/>
                  <w:szCs w:val="22"/>
                  <w:lang w:val="es-CO"/>
                </w:rPr>
                <w:alias w:val="RADICADO"/>
                <w:tag w:val="RADICADO"/>
                <w:id w:val="-31735373"/>
                <w:placeholder>
                  <w:docPart w:val="83B16D6CA64C494AB74B9D31B96A2D44"/>
                </w:placeholder>
                <w:text/>
              </w:sdtPr>
              <w:sdtContent>
                <w:r w:rsidR="00693115" w:rsidRPr="00693115">
                  <w:rPr>
                    <w:rFonts w:ascii="Century Gothic" w:hAnsi="Century Gothic"/>
                    <w:sz w:val="22"/>
                    <w:szCs w:val="22"/>
                    <w:lang w:val="es-CO"/>
                  </w:rPr>
                  <w:t>25899-33-33-002-2024-00258-00</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03A92FEE" w:rsidR="0099236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22/08/2025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6BAEFACD" w:rsidR="0099236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12/09/2025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231ED4BD" w14:textId="77777777" w:rsidR="00693115" w:rsidRPr="00693115" w:rsidRDefault="00693115" w:rsidP="00693115">
            <w:pPr>
              <w:spacing w:line="276" w:lineRule="auto"/>
              <w:jc w:val="center"/>
              <w:rPr>
                <w:rFonts w:ascii="Century Gothic" w:hAnsi="Century Gothic"/>
                <w:sz w:val="22"/>
                <w:szCs w:val="22"/>
                <w:lang w:val="es-CO"/>
              </w:rPr>
            </w:pPr>
            <w:r w:rsidRPr="00693115">
              <w:rPr>
                <w:rFonts w:ascii="Century Gothic" w:hAnsi="Century Gothic"/>
                <w:sz w:val="22"/>
                <w:szCs w:val="22"/>
                <w:lang w:val="es-CO"/>
              </w:rPr>
              <w:t>De conformidad con los hechos narrados en la demanda, la demandante prestó sus servicios de manera personal y directa a la E.S.E. HOSPITAL UNIVERSITARIO DE LA SAMARITANA desde el 26 de noviembre de 2019. Sin embargo, su vinculación se realizó a través de las siguientes empresas de servicios temporales:</w:t>
            </w:r>
          </w:p>
          <w:p w14:paraId="70D42E06" w14:textId="77777777" w:rsidR="00693115" w:rsidRPr="00693115" w:rsidRDefault="00693115" w:rsidP="00693115">
            <w:pPr>
              <w:numPr>
                <w:ilvl w:val="0"/>
                <w:numId w:val="3"/>
              </w:numPr>
              <w:spacing w:line="276" w:lineRule="auto"/>
              <w:jc w:val="center"/>
              <w:rPr>
                <w:rFonts w:ascii="Century Gothic" w:hAnsi="Century Gothic"/>
                <w:sz w:val="22"/>
                <w:szCs w:val="22"/>
                <w:lang w:val="es-CO"/>
              </w:rPr>
            </w:pPr>
            <w:r w:rsidRPr="00693115">
              <w:rPr>
                <w:rFonts w:ascii="Century Gothic" w:hAnsi="Century Gothic"/>
                <w:sz w:val="22"/>
                <w:szCs w:val="22"/>
                <w:lang w:val="es-CO"/>
              </w:rPr>
              <w:t>Del VEINTISEIS (26) DE NOVIEMBRE DE DOS MIL DIECINUEVE (2019) y hasta el VEINTIOCHO (28) DE FEBRERO DE DOS MIL VEINTIUNO (2021) mediante COLOMBIANA DE TEMPORALES COLTEMPORA S.A.S.</w:t>
            </w:r>
          </w:p>
          <w:p w14:paraId="16F69471" w14:textId="77777777" w:rsidR="00693115" w:rsidRPr="00693115" w:rsidRDefault="00693115" w:rsidP="00693115">
            <w:pPr>
              <w:numPr>
                <w:ilvl w:val="0"/>
                <w:numId w:val="3"/>
              </w:numPr>
              <w:spacing w:line="276" w:lineRule="auto"/>
              <w:jc w:val="center"/>
              <w:rPr>
                <w:rFonts w:ascii="Century Gothic" w:hAnsi="Century Gothic"/>
                <w:sz w:val="22"/>
                <w:szCs w:val="22"/>
                <w:lang w:val="es-CO"/>
              </w:rPr>
            </w:pPr>
            <w:r w:rsidRPr="00693115">
              <w:rPr>
                <w:rFonts w:ascii="Century Gothic" w:hAnsi="Century Gothic"/>
                <w:sz w:val="22"/>
                <w:szCs w:val="22"/>
                <w:lang w:val="es-CO"/>
              </w:rPr>
              <w:t>Del PRIMERO (01) DE MARZO DE DOS MIL VEINTIUNO (2021) hasta el TREINTA Y UNO (31) DE ENERO DE DOS MIL VEINTIDOS (2022) a través de CONSULTORES GESTION HUMANA S.A.S</w:t>
            </w:r>
          </w:p>
          <w:p w14:paraId="0CA97B0F" w14:textId="77777777" w:rsidR="00693115" w:rsidRPr="00693115" w:rsidRDefault="00693115" w:rsidP="00693115">
            <w:pPr>
              <w:numPr>
                <w:ilvl w:val="0"/>
                <w:numId w:val="3"/>
              </w:numPr>
              <w:spacing w:line="276" w:lineRule="auto"/>
              <w:jc w:val="center"/>
              <w:rPr>
                <w:rFonts w:ascii="Century Gothic" w:hAnsi="Century Gothic"/>
                <w:sz w:val="22"/>
                <w:szCs w:val="22"/>
                <w:lang w:val="es-CO"/>
              </w:rPr>
            </w:pPr>
            <w:r w:rsidRPr="00693115">
              <w:rPr>
                <w:rFonts w:ascii="Century Gothic" w:hAnsi="Century Gothic"/>
                <w:sz w:val="22"/>
                <w:szCs w:val="22"/>
                <w:lang w:val="es-CO"/>
              </w:rPr>
              <w:t>Del PRIMERO (01) DE FEBRERO DE DOS MIL VEINTIDOS (2022) hasta la fecha, contrato actualmente vigente a la fecha de la presentación de esta demanda, a través de SERVICIOS ESPECIALES PARA EMPRESAS S.A.S., SESPEM S.A.S.</w:t>
            </w:r>
          </w:p>
          <w:p w14:paraId="5CE2B747" w14:textId="77777777" w:rsidR="00693115" w:rsidRPr="00693115" w:rsidRDefault="00693115" w:rsidP="00693115">
            <w:pPr>
              <w:spacing w:line="276" w:lineRule="auto"/>
              <w:jc w:val="center"/>
              <w:rPr>
                <w:rFonts w:ascii="Century Gothic" w:hAnsi="Century Gothic"/>
                <w:sz w:val="22"/>
                <w:szCs w:val="22"/>
                <w:lang w:val="es-CO"/>
              </w:rPr>
            </w:pPr>
            <w:r w:rsidRPr="00693115">
              <w:rPr>
                <w:rFonts w:ascii="Century Gothic" w:hAnsi="Century Gothic"/>
                <w:sz w:val="22"/>
                <w:szCs w:val="22"/>
                <w:lang w:val="es-CO"/>
              </w:rPr>
              <w:t>De acuerdo a la tesis planteada por la demandante su relación con la E.S.E. HOSPITAL UNIVERSITARIO DE LA SAMARITANA fue un vínculo laboral, sin embargo, pese a que el 4 de abril de 2024 la demandante mediante oficio solicitara al asegurado el reconocimiento de dicha relación laboral, su petición fue resuelta en sentido negativo por la E.S.E. HOSPITAL UNIVERSITARIO DE LA SAMARITANA</w:t>
            </w: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0CFD4ACC" w14:textId="5F6A7719" w:rsidR="00FD53B3" w:rsidRPr="00BA1E5F" w:rsidRDefault="00693115" w:rsidP="007C37D7">
            <w:pPr>
              <w:spacing w:line="276" w:lineRule="auto"/>
              <w:jc w:val="center"/>
              <w:rPr>
                <w:rFonts w:ascii="Century Gothic" w:hAnsi="Century Gothic"/>
                <w:sz w:val="22"/>
                <w:szCs w:val="22"/>
              </w:rPr>
            </w:pPr>
            <w:r w:rsidRPr="00693115">
              <w:rPr>
                <w:rFonts w:ascii="Century Gothic" w:hAnsi="Century Gothic"/>
                <w:sz w:val="22"/>
                <w:szCs w:val="22"/>
              </w:rPr>
              <w:t>Las pretensiones de la demanda se encaminan a la declaratoria de nulidad del acto administrativo del 8 de mayo de 2024 a través del cual la demandada E.S.E. HOSPITAL UNIVERSITARIO DE LA SAMARITANA negó la existencia de una relación laboral respecto a la señora CLAUDIA LILIANA GRANADOS MARTÍNEZ. Consecuentemente, pretende que se declare la existencia de una relación laboral frente a la entidad demandada y seguidamente, a título de restablecimiento del derecho se condene al pago de los factores salariales y prestaciones sociales que corresponden a la alegada relación laboral.</w:t>
            </w: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20C7B03" w:rsidR="00992368" w:rsidRPr="00BA1E5F" w:rsidRDefault="00693115" w:rsidP="003827E1">
            <w:pPr>
              <w:spacing w:line="276" w:lineRule="auto"/>
              <w:rPr>
                <w:rFonts w:ascii="Century Gothic" w:hAnsi="Century Gothic"/>
                <w:sz w:val="22"/>
                <w:szCs w:val="22"/>
              </w:rPr>
            </w:pPr>
            <w:r>
              <w:rPr>
                <w:rFonts w:ascii="Century Gothic" w:hAnsi="Century Gothic"/>
                <w:sz w:val="22"/>
                <w:szCs w:val="22"/>
              </w:rPr>
              <w:t>NO SE PRESENTA UNA LIQUIDACIÓN CUANTIFICADA</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786E406B" w:rsidR="00992368" w:rsidRPr="00693115" w:rsidRDefault="0022708A" w:rsidP="003827E1">
            <w:pPr>
              <w:spacing w:line="276" w:lineRule="auto"/>
              <w:rPr>
                <w:rFonts w:ascii="Century Gothic" w:hAnsi="Century Gothic"/>
                <w:sz w:val="22"/>
                <w:szCs w:val="22"/>
              </w:rPr>
            </w:pPr>
            <w:r w:rsidRPr="0022708A">
              <w:rPr>
                <w:rFonts w:ascii="Century Gothic" w:hAnsi="Century Gothic"/>
                <w:sz w:val="22"/>
                <w:szCs w:val="22"/>
              </w:rPr>
              <w:t>$</w:t>
            </w:r>
            <w:r w:rsidR="00100B51" w:rsidRPr="00100B51">
              <w:rPr>
                <w:rFonts w:ascii="Century Gothic" w:hAnsi="Century Gothic"/>
                <w:sz w:val="22"/>
                <w:szCs w:val="22"/>
              </w:rPr>
              <w:t xml:space="preserve">1.765.530 </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30CF15D" w14:textId="77777777" w:rsidR="00693115" w:rsidRPr="00693115" w:rsidRDefault="00693115" w:rsidP="00693115">
            <w:pPr>
              <w:spacing w:line="276" w:lineRule="auto"/>
              <w:rPr>
                <w:rFonts w:ascii="Century Gothic" w:hAnsi="Century Gothic"/>
                <w:sz w:val="22"/>
                <w:szCs w:val="22"/>
                <w:lang w:val="es-CO"/>
              </w:rPr>
            </w:pPr>
            <w:r w:rsidRPr="00693115">
              <w:rPr>
                <w:rFonts w:ascii="Century Gothic" w:hAnsi="Century Gothic"/>
                <w:sz w:val="22"/>
                <w:szCs w:val="22"/>
                <w:lang w:val="es-CO"/>
              </w:rPr>
              <w:t>Se llega a esta valoración de la siguiente forma:</w:t>
            </w:r>
          </w:p>
          <w:p w14:paraId="32946BAE" w14:textId="71CEBC15" w:rsidR="00693115" w:rsidRPr="00693115" w:rsidRDefault="00693115" w:rsidP="00693115">
            <w:pPr>
              <w:spacing w:line="276" w:lineRule="auto"/>
              <w:rPr>
                <w:rFonts w:ascii="Century Gothic" w:hAnsi="Century Gothic"/>
                <w:sz w:val="22"/>
                <w:szCs w:val="22"/>
                <w:lang w:val="es-CO"/>
              </w:rPr>
            </w:pPr>
            <w:r w:rsidRPr="00693115">
              <w:rPr>
                <w:rFonts w:ascii="Century Gothic" w:hAnsi="Century Gothic"/>
                <w:sz w:val="22"/>
                <w:szCs w:val="22"/>
                <w:lang w:val="es-CO"/>
              </w:rPr>
              <w:t xml:space="preserve">Al buscar las pretensiones la declaración de una relación laboral, se tomarán como días extremos el </w:t>
            </w:r>
            <w:r w:rsidR="00584CB5">
              <w:rPr>
                <w:rFonts w:ascii="Century Gothic" w:hAnsi="Century Gothic"/>
                <w:sz w:val="22"/>
                <w:szCs w:val="22"/>
                <w:lang w:val="es-CO"/>
              </w:rPr>
              <w:t>30 de enero de 2024 (fecha en la que inició el Contrato 230 de 2024) y el 4 de abril de 2024 (fecha de reclamación)</w:t>
            </w:r>
            <w:r w:rsidRPr="00693115">
              <w:rPr>
                <w:rFonts w:ascii="Century Gothic" w:hAnsi="Century Gothic"/>
                <w:sz w:val="22"/>
                <w:szCs w:val="22"/>
                <w:lang w:val="es-CO"/>
              </w:rPr>
              <w:t xml:space="preserve">. </w:t>
            </w:r>
            <w:r w:rsidR="00584CB5">
              <w:rPr>
                <w:rFonts w:ascii="Century Gothic" w:hAnsi="Century Gothic"/>
                <w:sz w:val="22"/>
                <w:szCs w:val="22"/>
                <w:lang w:val="es-CO"/>
              </w:rPr>
              <w:t>C</w:t>
            </w:r>
            <w:r w:rsidRPr="00693115">
              <w:rPr>
                <w:rFonts w:ascii="Century Gothic" w:hAnsi="Century Gothic"/>
                <w:sz w:val="22"/>
                <w:szCs w:val="22"/>
                <w:lang w:val="es-CO"/>
              </w:rPr>
              <w:t xml:space="preserve">omo asignación salarial se considerará un valor que oscila entre los $ 4.836.762 de conformidad con la historia laboral aportada en la que aparece relacionado el IBC de la demandante por los distintos periodos de cotización. </w:t>
            </w:r>
          </w:p>
          <w:p w14:paraId="132A86C9" w14:textId="77777777" w:rsidR="00584CB5" w:rsidRPr="00584CB5" w:rsidRDefault="00584CB5" w:rsidP="00584CB5">
            <w:pPr>
              <w:spacing w:line="276" w:lineRule="auto"/>
              <w:ind w:left="720"/>
              <w:rPr>
                <w:rFonts w:ascii="Century Gothic" w:hAnsi="Century Gothic"/>
                <w:sz w:val="22"/>
                <w:szCs w:val="22"/>
                <w:lang w:val="es-ES"/>
              </w:rPr>
            </w:pPr>
          </w:p>
          <w:p w14:paraId="517D0888" w14:textId="32B28412" w:rsidR="0022708A" w:rsidRPr="0022708A" w:rsidRDefault="00693115" w:rsidP="0022708A">
            <w:pPr>
              <w:numPr>
                <w:ilvl w:val="0"/>
                <w:numId w:val="4"/>
              </w:numPr>
              <w:spacing w:line="276" w:lineRule="auto"/>
              <w:rPr>
                <w:rFonts w:ascii="Century Gothic" w:hAnsi="Century Gothic"/>
                <w:sz w:val="22"/>
                <w:szCs w:val="22"/>
                <w:lang w:val="es-ES"/>
              </w:rPr>
            </w:pPr>
            <w:r w:rsidRPr="00693115">
              <w:rPr>
                <w:rFonts w:ascii="Century Gothic" w:hAnsi="Century Gothic"/>
                <w:b/>
                <w:bCs/>
                <w:sz w:val="22"/>
                <w:szCs w:val="22"/>
                <w:lang w:val="es-ES"/>
              </w:rPr>
              <w:t xml:space="preserve">Auxilio de Cesantía: </w:t>
            </w:r>
            <w:r w:rsidRPr="00693115">
              <w:rPr>
                <w:rFonts w:ascii="Century Gothic" w:hAnsi="Century Gothic"/>
                <w:sz w:val="22"/>
                <w:szCs w:val="22"/>
                <w:lang w:val="es-ES"/>
              </w:rPr>
              <w:t xml:space="preserve">Del </w:t>
            </w:r>
            <w:r w:rsidR="00584CB5">
              <w:rPr>
                <w:rFonts w:ascii="Century Gothic" w:hAnsi="Century Gothic"/>
                <w:sz w:val="22"/>
                <w:szCs w:val="22"/>
                <w:lang w:val="es-CO"/>
              </w:rPr>
              <w:t>30 de enero de 2024</w:t>
            </w:r>
            <w:r w:rsidRPr="00693115">
              <w:rPr>
                <w:rFonts w:ascii="Century Gothic" w:hAnsi="Century Gothic"/>
                <w:sz w:val="22"/>
                <w:szCs w:val="22"/>
                <w:lang w:val="es-CO"/>
              </w:rPr>
              <w:t xml:space="preserve"> hasta el </w:t>
            </w:r>
            <w:r w:rsidR="00584CB5">
              <w:rPr>
                <w:rFonts w:ascii="Century Gothic" w:hAnsi="Century Gothic"/>
                <w:sz w:val="22"/>
                <w:szCs w:val="22"/>
                <w:lang w:val="es-CO"/>
              </w:rPr>
              <w:t>4 de abril de 2024</w:t>
            </w:r>
            <w:r w:rsidR="0022708A">
              <w:rPr>
                <w:rFonts w:ascii="Century Gothic" w:hAnsi="Century Gothic"/>
                <w:sz w:val="22"/>
                <w:szCs w:val="22"/>
                <w:lang w:val="es-CO"/>
              </w:rPr>
              <w:t>: $873.304</w:t>
            </w:r>
          </w:p>
          <w:p w14:paraId="5CEAEBC6" w14:textId="77777777" w:rsidR="00693115" w:rsidRPr="0022708A" w:rsidRDefault="00693115" w:rsidP="0022708A">
            <w:pPr>
              <w:spacing w:line="276" w:lineRule="auto"/>
              <w:ind w:left="720"/>
              <w:rPr>
                <w:rFonts w:ascii="Century Gothic" w:hAnsi="Century Gothic"/>
                <w:sz w:val="22"/>
                <w:szCs w:val="22"/>
                <w:lang w:val="es-ES"/>
              </w:rPr>
            </w:pPr>
          </w:p>
          <w:p w14:paraId="7A301A18" w14:textId="194C3BA1" w:rsidR="00693115" w:rsidRPr="00584CB5" w:rsidRDefault="00693115" w:rsidP="00584CB5">
            <w:pPr>
              <w:numPr>
                <w:ilvl w:val="0"/>
                <w:numId w:val="4"/>
              </w:numPr>
              <w:spacing w:line="276" w:lineRule="auto"/>
              <w:rPr>
                <w:rFonts w:ascii="Century Gothic" w:hAnsi="Century Gothic"/>
                <w:sz w:val="22"/>
                <w:szCs w:val="22"/>
                <w:lang w:val="es-ES"/>
              </w:rPr>
            </w:pPr>
            <w:r w:rsidRPr="00693115">
              <w:rPr>
                <w:rFonts w:ascii="Century Gothic" w:hAnsi="Century Gothic"/>
                <w:b/>
                <w:bCs/>
                <w:sz w:val="22"/>
                <w:szCs w:val="22"/>
                <w:lang w:val="es-ES"/>
              </w:rPr>
              <w:t xml:space="preserve">Intereses de cesantías: </w:t>
            </w:r>
            <w:r w:rsidR="00584CB5" w:rsidRPr="00693115">
              <w:rPr>
                <w:rFonts w:ascii="Century Gothic" w:hAnsi="Century Gothic"/>
                <w:sz w:val="22"/>
                <w:szCs w:val="22"/>
                <w:lang w:val="es-ES"/>
              </w:rPr>
              <w:t xml:space="preserve">Del </w:t>
            </w:r>
            <w:r w:rsidR="00584CB5">
              <w:rPr>
                <w:rFonts w:ascii="Century Gothic" w:hAnsi="Century Gothic"/>
                <w:sz w:val="22"/>
                <w:szCs w:val="22"/>
                <w:lang w:val="es-CO"/>
              </w:rPr>
              <w:t>30 de enero de 2024</w:t>
            </w:r>
            <w:r w:rsidR="00584CB5" w:rsidRPr="00693115">
              <w:rPr>
                <w:rFonts w:ascii="Century Gothic" w:hAnsi="Century Gothic"/>
                <w:sz w:val="22"/>
                <w:szCs w:val="22"/>
                <w:lang w:val="es-CO"/>
              </w:rPr>
              <w:t xml:space="preserve"> hasta el </w:t>
            </w:r>
            <w:r w:rsidR="00584CB5">
              <w:rPr>
                <w:rFonts w:ascii="Century Gothic" w:hAnsi="Century Gothic"/>
                <w:sz w:val="22"/>
                <w:szCs w:val="22"/>
                <w:lang w:val="es-CO"/>
              </w:rPr>
              <w:t>4 de abril de 2024</w:t>
            </w:r>
            <w:r w:rsidR="0022708A">
              <w:rPr>
                <w:rFonts w:ascii="Century Gothic" w:hAnsi="Century Gothic"/>
                <w:sz w:val="22"/>
                <w:szCs w:val="22"/>
                <w:lang w:val="es-CO"/>
              </w:rPr>
              <w:t>: $18.922</w:t>
            </w:r>
          </w:p>
          <w:p w14:paraId="2265F81E" w14:textId="77777777" w:rsidR="00693115" w:rsidRPr="00693115" w:rsidRDefault="00693115" w:rsidP="00693115">
            <w:pPr>
              <w:spacing w:line="276" w:lineRule="auto"/>
              <w:rPr>
                <w:rFonts w:ascii="Century Gothic" w:hAnsi="Century Gothic"/>
                <w:b/>
                <w:bCs/>
                <w:sz w:val="22"/>
                <w:szCs w:val="22"/>
                <w:lang w:val="es-ES"/>
              </w:rPr>
            </w:pPr>
          </w:p>
          <w:p w14:paraId="7BFB5EB2" w14:textId="5A3DB9CB" w:rsidR="0022708A" w:rsidRDefault="00693115" w:rsidP="0022708A">
            <w:pPr>
              <w:numPr>
                <w:ilvl w:val="0"/>
                <w:numId w:val="4"/>
              </w:numPr>
              <w:spacing w:line="276" w:lineRule="auto"/>
              <w:rPr>
                <w:rFonts w:ascii="Century Gothic" w:hAnsi="Century Gothic"/>
                <w:sz w:val="22"/>
                <w:szCs w:val="22"/>
                <w:lang w:val="es-CO"/>
              </w:rPr>
            </w:pPr>
            <w:r w:rsidRPr="00693115">
              <w:rPr>
                <w:rFonts w:ascii="Century Gothic" w:hAnsi="Century Gothic"/>
                <w:b/>
                <w:bCs/>
                <w:sz w:val="22"/>
                <w:szCs w:val="22"/>
                <w:lang w:val="es-ES"/>
              </w:rPr>
              <w:t xml:space="preserve">Prima de servicios: </w:t>
            </w:r>
            <w:r w:rsidRPr="00693115">
              <w:rPr>
                <w:rFonts w:ascii="Century Gothic" w:hAnsi="Century Gothic"/>
                <w:sz w:val="22"/>
                <w:szCs w:val="22"/>
                <w:lang w:val="es-ES"/>
              </w:rPr>
              <w:t xml:space="preserve">Del </w:t>
            </w:r>
            <w:r w:rsidR="00584CB5" w:rsidRPr="00693115">
              <w:rPr>
                <w:rFonts w:ascii="Century Gothic" w:hAnsi="Century Gothic"/>
                <w:sz w:val="22"/>
                <w:szCs w:val="22"/>
                <w:lang w:val="es-ES"/>
              </w:rPr>
              <w:t xml:space="preserve">Del </w:t>
            </w:r>
            <w:r w:rsidR="00584CB5">
              <w:rPr>
                <w:rFonts w:ascii="Century Gothic" w:hAnsi="Century Gothic"/>
                <w:sz w:val="22"/>
                <w:szCs w:val="22"/>
                <w:lang w:val="es-CO"/>
              </w:rPr>
              <w:t>30 de enero de 2024</w:t>
            </w:r>
            <w:r w:rsidR="00584CB5" w:rsidRPr="00693115">
              <w:rPr>
                <w:rFonts w:ascii="Century Gothic" w:hAnsi="Century Gothic"/>
                <w:sz w:val="22"/>
                <w:szCs w:val="22"/>
                <w:lang w:val="es-CO"/>
              </w:rPr>
              <w:t xml:space="preserve"> hasta el </w:t>
            </w:r>
            <w:r w:rsidR="00584CB5">
              <w:rPr>
                <w:rFonts w:ascii="Century Gothic" w:hAnsi="Century Gothic"/>
                <w:sz w:val="22"/>
                <w:szCs w:val="22"/>
                <w:lang w:val="es-CO"/>
              </w:rPr>
              <w:t>4 de abril de 2024</w:t>
            </w:r>
            <w:r w:rsidR="0022708A">
              <w:rPr>
                <w:rFonts w:ascii="Century Gothic" w:hAnsi="Century Gothic"/>
                <w:sz w:val="22"/>
                <w:szCs w:val="22"/>
                <w:lang w:val="es-CO"/>
              </w:rPr>
              <w:t>: $873.304</w:t>
            </w:r>
          </w:p>
          <w:p w14:paraId="76790321" w14:textId="77777777" w:rsidR="0022708A" w:rsidRPr="0022708A" w:rsidRDefault="0022708A" w:rsidP="0022708A">
            <w:pPr>
              <w:spacing w:line="276" w:lineRule="auto"/>
              <w:rPr>
                <w:rFonts w:ascii="Century Gothic" w:hAnsi="Century Gothic"/>
                <w:sz w:val="22"/>
                <w:szCs w:val="22"/>
                <w:lang w:val="es-CO"/>
              </w:rPr>
            </w:pPr>
          </w:p>
          <w:p w14:paraId="7A6D8224" w14:textId="77777777" w:rsidR="00693115" w:rsidRPr="00693115" w:rsidRDefault="00693115" w:rsidP="003B37D7">
            <w:pPr>
              <w:numPr>
                <w:ilvl w:val="0"/>
                <w:numId w:val="4"/>
              </w:numPr>
              <w:spacing w:line="276" w:lineRule="auto"/>
              <w:jc w:val="both"/>
              <w:rPr>
                <w:rFonts w:ascii="Century Gothic" w:hAnsi="Century Gothic"/>
                <w:sz w:val="22"/>
                <w:szCs w:val="22"/>
                <w:lang w:val="es-CO"/>
              </w:rPr>
            </w:pPr>
            <w:r w:rsidRPr="00693115">
              <w:rPr>
                <w:rFonts w:ascii="Century Gothic" w:hAnsi="Century Gothic"/>
                <w:b/>
                <w:bCs/>
                <w:sz w:val="22"/>
                <w:szCs w:val="22"/>
                <w:lang w:val="es-ES"/>
              </w:rPr>
              <w:t xml:space="preserve">Indemnización artículo 65: </w:t>
            </w:r>
            <w:r w:rsidRPr="00693115">
              <w:rPr>
                <w:rFonts w:ascii="Century Gothic" w:hAnsi="Century Gothic"/>
                <w:sz w:val="22"/>
                <w:szCs w:val="22"/>
                <w:lang w:val="es-ES"/>
              </w:rPr>
              <w:t xml:space="preserve">No se No se reconoce, teniendo en cuenta que existen pronunciamientos del Consejo de Estado que indican que es improcedente, </w:t>
            </w:r>
            <w:r w:rsidRPr="00693115">
              <w:rPr>
                <w:rFonts w:ascii="Century Gothic" w:hAnsi="Century Gothic"/>
                <w:sz w:val="22"/>
                <w:szCs w:val="22"/>
                <w:lang w:val="es-CO"/>
              </w:rPr>
              <w:t xml:space="preserve">debido a que la decisión que declara la relación laboral de una eventual sentencia condenatoria es constitutiva de derechos, y a partir de esta nacen los derechos laborales exigidos en la demanda, por ello, no es procedente en la medida en que la obligación de pagar las prestaciones sociales, incluido el auxilio de cesantías, surge a partir de la expedición de la sentencia que reconoce la relación laboral. Ver sentencia: Radicado: 05001-23-33-000-2015-00589-02 Nº Interno: 1241-2023 Medio de control: Nulidad y restablecimiento del derecho – Ley 1437 de 2011 Tema: Contrato realidad </w:t>
            </w:r>
          </w:p>
          <w:p w14:paraId="5626A14D" w14:textId="77777777" w:rsidR="00693115" w:rsidRPr="00693115" w:rsidRDefault="00693115" w:rsidP="00693115">
            <w:pPr>
              <w:spacing w:line="276" w:lineRule="auto"/>
              <w:rPr>
                <w:rFonts w:ascii="Century Gothic" w:hAnsi="Century Gothic"/>
                <w:sz w:val="22"/>
                <w:szCs w:val="22"/>
                <w:lang w:val="es-CO"/>
              </w:rPr>
            </w:pPr>
          </w:p>
          <w:p w14:paraId="2306FB7D" w14:textId="09FDC58D" w:rsidR="00693115" w:rsidRPr="00100B51" w:rsidRDefault="00693115" w:rsidP="00100B51">
            <w:pPr>
              <w:numPr>
                <w:ilvl w:val="0"/>
                <w:numId w:val="4"/>
              </w:numPr>
              <w:spacing w:line="276" w:lineRule="auto"/>
              <w:rPr>
                <w:rFonts w:ascii="Century Gothic" w:hAnsi="Century Gothic"/>
                <w:b/>
                <w:bCs/>
                <w:sz w:val="22"/>
                <w:szCs w:val="22"/>
              </w:rPr>
            </w:pPr>
            <w:r w:rsidRPr="00693115">
              <w:rPr>
                <w:rFonts w:ascii="Century Gothic" w:hAnsi="Century Gothic"/>
                <w:b/>
                <w:bCs/>
                <w:sz w:val="22"/>
                <w:szCs w:val="22"/>
                <w:lang w:val="es-ES"/>
              </w:rPr>
              <w:t>TOTAL</w:t>
            </w:r>
            <w:r>
              <w:rPr>
                <w:rFonts w:ascii="Century Gothic" w:hAnsi="Century Gothic"/>
                <w:b/>
                <w:bCs/>
                <w:sz w:val="22"/>
                <w:szCs w:val="22"/>
                <w:lang w:val="es-ES"/>
              </w:rPr>
              <w:t xml:space="preserve"> PRETENSIONES RECONOCIDAS</w:t>
            </w:r>
            <w:r w:rsidRPr="00693115">
              <w:rPr>
                <w:rFonts w:ascii="Century Gothic" w:hAnsi="Century Gothic"/>
                <w:b/>
                <w:bCs/>
                <w:sz w:val="22"/>
                <w:szCs w:val="22"/>
                <w:lang w:val="es-ES"/>
              </w:rPr>
              <w:t xml:space="preserve">: </w:t>
            </w:r>
            <w:r w:rsidR="00100B51" w:rsidRPr="00100B51">
              <w:rPr>
                <w:rFonts w:ascii="Century Gothic" w:hAnsi="Century Gothic"/>
                <w:b/>
                <w:bCs/>
                <w:sz w:val="22"/>
                <w:szCs w:val="22"/>
              </w:rPr>
              <w:t xml:space="preserve">$1.765.530 </w:t>
            </w:r>
          </w:p>
          <w:p w14:paraId="7A8C2B68" w14:textId="77777777" w:rsidR="00693115" w:rsidRDefault="00693115" w:rsidP="00693115">
            <w:pPr>
              <w:pStyle w:val="Prrafodelista"/>
              <w:rPr>
                <w:rFonts w:ascii="Century Gothic" w:hAnsi="Century Gothic"/>
                <w:sz w:val="22"/>
                <w:szCs w:val="22"/>
                <w:lang w:val="es-ES"/>
              </w:rPr>
            </w:pPr>
          </w:p>
          <w:p w14:paraId="162091F5" w14:textId="4C9B6FAA" w:rsidR="00693115" w:rsidRDefault="00693115" w:rsidP="00693115">
            <w:pPr>
              <w:numPr>
                <w:ilvl w:val="0"/>
                <w:numId w:val="4"/>
              </w:numPr>
              <w:spacing w:line="276" w:lineRule="auto"/>
              <w:rPr>
                <w:rFonts w:ascii="Century Gothic" w:hAnsi="Century Gothic"/>
                <w:sz w:val="22"/>
                <w:szCs w:val="22"/>
                <w:lang w:val="es-ES"/>
              </w:rPr>
            </w:pPr>
            <w:r>
              <w:rPr>
                <w:rFonts w:ascii="Century Gothic" w:hAnsi="Century Gothic"/>
                <w:b/>
                <w:bCs/>
                <w:sz w:val="22"/>
                <w:szCs w:val="22"/>
                <w:lang w:val="es-ES"/>
              </w:rPr>
              <w:t xml:space="preserve">DECUCIBLE: </w:t>
            </w:r>
            <w:r>
              <w:rPr>
                <w:rFonts w:ascii="Century Gothic" w:hAnsi="Century Gothic"/>
                <w:sz w:val="22"/>
                <w:szCs w:val="22"/>
                <w:lang w:val="es-ES"/>
              </w:rPr>
              <w:t>NO APLICA</w:t>
            </w:r>
          </w:p>
          <w:p w14:paraId="7248A03F" w14:textId="77777777" w:rsidR="00693115" w:rsidRDefault="00693115" w:rsidP="00693115">
            <w:pPr>
              <w:pStyle w:val="Prrafodelista"/>
              <w:rPr>
                <w:rFonts w:ascii="Century Gothic" w:hAnsi="Century Gothic"/>
                <w:sz w:val="22"/>
                <w:szCs w:val="22"/>
                <w:lang w:val="es-ES"/>
              </w:rPr>
            </w:pPr>
          </w:p>
          <w:p w14:paraId="629B1384" w14:textId="76DB0A3A" w:rsidR="00693115" w:rsidRDefault="00693115" w:rsidP="00693115">
            <w:pPr>
              <w:numPr>
                <w:ilvl w:val="0"/>
                <w:numId w:val="4"/>
              </w:numPr>
              <w:spacing w:line="276" w:lineRule="auto"/>
              <w:rPr>
                <w:rFonts w:ascii="Century Gothic" w:hAnsi="Century Gothic"/>
                <w:sz w:val="22"/>
                <w:szCs w:val="22"/>
                <w:lang w:val="es-ES"/>
              </w:rPr>
            </w:pPr>
            <w:r>
              <w:rPr>
                <w:rFonts w:ascii="Century Gothic" w:hAnsi="Century Gothic"/>
                <w:b/>
                <w:bCs/>
                <w:sz w:val="22"/>
                <w:szCs w:val="22"/>
                <w:lang w:val="es-ES"/>
              </w:rPr>
              <w:t xml:space="preserve">COASEGURO: </w:t>
            </w:r>
            <w:r>
              <w:rPr>
                <w:rFonts w:ascii="Century Gothic" w:hAnsi="Century Gothic"/>
                <w:sz w:val="22"/>
                <w:szCs w:val="22"/>
                <w:lang w:val="es-ES"/>
              </w:rPr>
              <w:t>NO APLICA</w:t>
            </w:r>
          </w:p>
          <w:p w14:paraId="26827A6B" w14:textId="77777777" w:rsidR="00693115" w:rsidRDefault="00693115" w:rsidP="00693115">
            <w:pPr>
              <w:pStyle w:val="Prrafodelista"/>
              <w:rPr>
                <w:rFonts w:ascii="Century Gothic" w:hAnsi="Century Gothic"/>
                <w:sz w:val="22"/>
                <w:szCs w:val="22"/>
                <w:lang w:val="es-ES"/>
              </w:rPr>
            </w:pPr>
          </w:p>
          <w:p w14:paraId="6EFC1D5A" w14:textId="564189F5" w:rsidR="0022708A" w:rsidRPr="0022708A" w:rsidRDefault="00693115" w:rsidP="0022708A">
            <w:pPr>
              <w:numPr>
                <w:ilvl w:val="0"/>
                <w:numId w:val="4"/>
              </w:numPr>
              <w:spacing w:line="276" w:lineRule="auto"/>
              <w:rPr>
                <w:rFonts w:ascii="Century Gothic" w:hAnsi="Century Gothic"/>
                <w:b/>
                <w:bCs/>
                <w:sz w:val="22"/>
                <w:szCs w:val="22"/>
                <w:lang w:val="es-ES"/>
              </w:rPr>
            </w:pPr>
            <w:r w:rsidRPr="00693115">
              <w:rPr>
                <w:rFonts w:ascii="Century Gothic" w:hAnsi="Century Gothic"/>
                <w:b/>
                <w:bCs/>
                <w:sz w:val="22"/>
                <w:szCs w:val="22"/>
                <w:lang w:val="es-ES"/>
              </w:rPr>
              <w:t>TOTAL EXPOSICIÓN DE EQUIDAD SEGUROS</w:t>
            </w:r>
            <w:r w:rsidR="0022708A">
              <w:rPr>
                <w:rFonts w:ascii="Century Gothic" w:hAnsi="Century Gothic"/>
                <w:b/>
                <w:bCs/>
                <w:sz w:val="22"/>
                <w:szCs w:val="22"/>
                <w:lang w:val="es-ES"/>
              </w:rPr>
              <w:t xml:space="preserve">: </w:t>
            </w:r>
            <w:r w:rsidR="00100B51" w:rsidRPr="00100B51">
              <w:rPr>
                <w:rFonts w:ascii="Century Gothic" w:hAnsi="Century Gothic"/>
                <w:b/>
                <w:bCs/>
                <w:sz w:val="22"/>
                <w:szCs w:val="22"/>
              </w:rPr>
              <w:t>$1.765.530</w:t>
            </w:r>
            <w:r w:rsidR="0022708A" w:rsidRPr="0022708A">
              <w:rPr>
                <w:rFonts w:ascii="Century Gothic" w:hAnsi="Century Gothic"/>
                <w:b/>
                <w:bCs/>
                <w:sz w:val="22"/>
                <w:szCs w:val="22"/>
              </w:rPr>
              <w:t xml:space="preserve"> </w:t>
            </w:r>
          </w:p>
          <w:p w14:paraId="31FF8AB1" w14:textId="77777777" w:rsidR="00E802BC" w:rsidRPr="00100B51" w:rsidRDefault="00E802BC" w:rsidP="00693115">
            <w:pPr>
              <w:spacing w:line="276" w:lineRule="auto"/>
              <w:rPr>
                <w:rFonts w:ascii="Century Gothic" w:hAnsi="Century Gothic"/>
                <w:sz w:val="22"/>
                <w:szCs w:val="22"/>
                <w:lang w:val="es-ES"/>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5387A546"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I. EXCEPCIONES FRENTE A LA DEMANDA: </w:t>
            </w:r>
          </w:p>
          <w:p w14:paraId="51DA42DC" w14:textId="1F273252" w:rsidR="001E7FE6" w:rsidRDefault="001E7FE6" w:rsidP="00693115">
            <w:pPr>
              <w:spacing w:line="276" w:lineRule="auto"/>
              <w:jc w:val="center"/>
              <w:rPr>
                <w:rFonts w:ascii="Century Gothic" w:hAnsi="Century Gothic"/>
                <w:sz w:val="22"/>
                <w:szCs w:val="22"/>
              </w:rPr>
            </w:pPr>
            <w:r w:rsidRPr="001E7FE6">
              <w:rPr>
                <w:rFonts w:ascii="Century Gothic" w:hAnsi="Century Gothic"/>
                <w:sz w:val="22"/>
                <w:szCs w:val="22"/>
              </w:rPr>
              <w:t xml:space="preserve">1. </w:t>
            </w:r>
            <w:r w:rsidR="00693115" w:rsidRPr="00693115">
              <w:rPr>
                <w:rFonts w:ascii="Century Gothic" w:hAnsi="Century Gothic"/>
                <w:sz w:val="22"/>
                <w:szCs w:val="22"/>
              </w:rPr>
              <w:t>EN EL PRESENTE CASO NO SE REÚNEN LOS ELEMENTOS DE UNA RELACIÓN LABORAL ENTRE LA DEMANDANTE Y LA E.S.E. HOSPITAL UNIVERSITARIO DE LA SAMARITANA.</w:t>
            </w:r>
          </w:p>
          <w:p w14:paraId="738B061B" w14:textId="3F047162" w:rsidR="00693115" w:rsidRDefault="00693115" w:rsidP="00693115">
            <w:pPr>
              <w:spacing w:line="276" w:lineRule="auto"/>
              <w:jc w:val="center"/>
              <w:rPr>
                <w:rFonts w:ascii="Century Gothic" w:hAnsi="Century Gothic"/>
                <w:sz w:val="22"/>
                <w:szCs w:val="22"/>
              </w:rPr>
            </w:pPr>
            <w:r>
              <w:rPr>
                <w:rFonts w:ascii="Century Gothic" w:hAnsi="Century Gothic"/>
                <w:sz w:val="22"/>
                <w:szCs w:val="22"/>
              </w:rPr>
              <w:t xml:space="preserve">2. </w:t>
            </w:r>
            <w:r w:rsidRPr="00693115">
              <w:rPr>
                <w:rFonts w:ascii="Century Gothic" w:hAnsi="Century Gothic"/>
                <w:sz w:val="22"/>
                <w:szCs w:val="22"/>
              </w:rPr>
              <w:t>CONSECUENTEMENTE EL OFICIO DEL 8 DE MAYO DE 2024 EXPEDIDO POR EL HOSPITAL UNIVERSITARIO DE LA SAMARITANA SE ENCUENTRA APEGADO AL ORDENAMIENTO JURÍDICO.</w:t>
            </w:r>
          </w:p>
          <w:p w14:paraId="3AE97E9F" w14:textId="0730AC8F" w:rsidR="00693115" w:rsidRDefault="00693115" w:rsidP="00693115">
            <w:pPr>
              <w:spacing w:line="276" w:lineRule="auto"/>
              <w:jc w:val="center"/>
              <w:rPr>
                <w:rFonts w:ascii="Century Gothic" w:hAnsi="Century Gothic"/>
                <w:sz w:val="22"/>
                <w:szCs w:val="22"/>
              </w:rPr>
            </w:pPr>
            <w:r>
              <w:rPr>
                <w:rFonts w:ascii="Century Gothic" w:hAnsi="Century Gothic"/>
                <w:sz w:val="22"/>
                <w:szCs w:val="22"/>
              </w:rPr>
              <w:t xml:space="preserve">3. </w:t>
            </w:r>
            <w:r w:rsidRPr="00693115">
              <w:rPr>
                <w:rFonts w:ascii="Century Gothic" w:hAnsi="Century Gothic"/>
                <w:sz w:val="22"/>
                <w:szCs w:val="22"/>
              </w:rPr>
              <w:t>PRESCRIPCIÓN DE LOS SUPUESTOS DERECHOS INCOADOS POR LA ACTORA.</w:t>
            </w:r>
          </w:p>
          <w:p w14:paraId="593A06C0" w14:textId="3DDD0382" w:rsidR="00693115" w:rsidRDefault="00693115" w:rsidP="00693115">
            <w:pPr>
              <w:spacing w:line="276" w:lineRule="auto"/>
              <w:jc w:val="center"/>
              <w:rPr>
                <w:rFonts w:ascii="Century Gothic" w:hAnsi="Century Gothic"/>
                <w:sz w:val="22"/>
                <w:szCs w:val="22"/>
              </w:rPr>
            </w:pPr>
            <w:r>
              <w:rPr>
                <w:rFonts w:ascii="Century Gothic" w:hAnsi="Century Gothic"/>
                <w:sz w:val="22"/>
                <w:szCs w:val="22"/>
              </w:rPr>
              <w:t xml:space="preserve">4. </w:t>
            </w:r>
            <w:r w:rsidRPr="00693115">
              <w:rPr>
                <w:rFonts w:ascii="Century Gothic" w:hAnsi="Century Gothic"/>
                <w:sz w:val="22"/>
                <w:szCs w:val="22"/>
              </w:rPr>
              <w:t>OPOSICIÓN A LOS PERJUICIOS MORALES, DAÑO EMERGENTE Y LUCRO CESANTE SOLCITADOS POR LA PARTE ACTORA.</w:t>
            </w:r>
          </w:p>
          <w:p w14:paraId="672AC226" w14:textId="63650E1E" w:rsidR="00693115" w:rsidRDefault="00693115" w:rsidP="00693115">
            <w:pPr>
              <w:spacing w:line="276" w:lineRule="auto"/>
              <w:jc w:val="center"/>
              <w:rPr>
                <w:rFonts w:ascii="Century Gothic" w:hAnsi="Century Gothic"/>
                <w:sz w:val="22"/>
                <w:szCs w:val="22"/>
              </w:rPr>
            </w:pPr>
            <w:r>
              <w:rPr>
                <w:rFonts w:ascii="Century Gothic" w:hAnsi="Century Gothic"/>
                <w:sz w:val="22"/>
                <w:szCs w:val="22"/>
              </w:rPr>
              <w:t xml:space="preserve">5. </w:t>
            </w:r>
            <w:r w:rsidRPr="00693115">
              <w:rPr>
                <w:rFonts w:ascii="Century Gothic" w:hAnsi="Century Gothic"/>
                <w:sz w:val="22"/>
                <w:szCs w:val="22"/>
              </w:rPr>
              <w:t>LA DECLARATORIA DEL CONTRATO REALIDAD NO OTORGA DERECHOS DE CARRERA ADMINISTRATIVA.</w:t>
            </w:r>
          </w:p>
          <w:p w14:paraId="304B1ACE" w14:textId="397B0CA8" w:rsidR="00693115" w:rsidRDefault="00693115" w:rsidP="00693115">
            <w:pPr>
              <w:spacing w:line="276" w:lineRule="auto"/>
              <w:jc w:val="center"/>
              <w:rPr>
                <w:rFonts w:ascii="Century Gothic" w:hAnsi="Century Gothic"/>
                <w:sz w:val="22"/>
                <w:szCs w:val="22"/>
              </w:rPr>
            </w:pPr>
            <w:r>
              <w:rPr>
                <w:rFonts w:ascii="Century Gothic" w:hAnsi="Century Gothic"/>
                <w:sz w:val="22"/>
                <w:szCs w:val="22"/>
              </w:rPr>
              <w:t xml:space="preserve">6. </w:t>
            </w:r>
            <w:r w:rsidRPr="00693115">
              <w:rPr>
                <w:rFonts w:ascii="Century Gothic" w:hAnsi="Century Gothic"/>
                <w:sz w:val="22"/>
                <w:szCs w:val="22"/>
              </w:rPr>
              <w:t>IMPROCEDENCIA DEL RECONOCIMIENTO DE LA SANCIÓN MORATORIA EN EL PAGO DE SALARIOS Y PRESTACIONES SOCIALES (CESANTÍAS).</w:t>
            </w:r>
          </w:p>
          <w:p w14:paraId="35F3114B" w14:textId="2F9F3208" w:rsidR="00693115" w:rsidRDefault="00693115" w:rsidP="00693115">
            <w:pPr>
              <w:spacing w:line="276" w:lineRule="auto"/>
              <w:jc w:val="center"/>
              <w:rPr>
                <w:rFonts w:ascii="Century Gothic" w:hAnsi="Century Gothic"/>
                <w:sz w:val="22"/>
                <w:szCs w:val="22"/>
              </w:rPr>
            </w:pPr>
            <w:r>
              <w:rPr>
                <w:rFonts w:ascii="Century Gothic" w:hAnsi="Century Gothic"/>
                <w:sz w:val="22"/>
                <w:szCs w:val="22"/>
              </w:rPr>
              <w:t xml:space="preserve">7. </w:t>
            </w:r>
            <w:r w:rsidRPr="00693115">
              <w:rPr>
                <w:rFonts w:ascii="Century Gothic" w:hAnsi="Century Gothic"/>
                <w:sz w:val="22"/>
                <w:szCs w:val="22"/>
              </w:rPr>
              <w:t>GENÉRICA O INNOMINADA.</w:t>
            </w:r>
          </w:p>
          <w:p w14:paraId="596D153E" w14:textId="77777777" w:rsidR="00693115" w:rsidRDefault="00693115" w:rsidP="00693115">
            <w:pPr>
              <w:spacing w:line="276" w:lineRule="auto"/>
              <w:jc w:val="center"/>
              <w:rPr>
                <w:rFonts w:ascii="Century Gothic" w:hAnsi="Century Gothic"/>
                <w:sz w:val="22"/>
                <w:szCs w:val="22"/>
              </w:rPr>
            </w:pPr>
          </w:p>
          <w:p w14:paraId="6DE11E84"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II. EXCEPCIONES FRENTE AL LLAMAMIENTO EN GARANTÍA. </w:t>
            </w:r>
          </w:p>
          <w:p w14:paraId="2DC02FCC" w14:textId="5F2A985B"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1.</w:t>
            </w:r>
            <w:r w:rsidRPr="001E7FE6">
              <w:rPr>
                <w:rFonts w:ascii="Century Gothic" w:hAnsi="Century Gothic"/>
                <w:sz w:val="22"/>
                <w:szCs w:val="22"/>
              </w:rPr>
              <w:tab/>
            </w:r>
            <w:r w:rsidR="00693115" w:rsidRPr="00693115">
              <w:rPr>
                <w:rFonts w:ascii="Century Gothic" w:hAnsi="Century Gothic"/>
                <w:sz w:val="22"/>
                <w:szCs w:val="22"/>
              </w:rPr>
              <w:t>CONSIDERACIÓN PRELIMINAR RESPECTO A LA PÓLIZA DE RESPONSABILIDAD CIVIL EXTRACONTRACTUAL No. AB001560 APORTADA JUNTO AL LLAMAMIENTO PERO NO RELACIONADA CON EL MISMO.</w:t>
            </w:r>
          </w:p>
          <w:p w14:paraId="4FEA9F27" w14:textId="77777777" w:rsidR="00693115" w:rsidRDefault="001E7FE6" w:rsidP="00693115">
            <w:pPr>
              <w:spacing w:line="276" w:lineRule="auto"/>
              <w:jc w:val="center"/>
              <w:rPr>
                <w:rFonts w:ascii="Century Gothic" w:hAnsi="Century Gothic"/>
                <w:sz w:val="22"/>
                <w:szCs w:val="22"/>
              </w:rPr>
            </w:pPr>
            <w:r w:rsidRPr="001E7FE6">
              <w:rPr>
                <w:rFonts w:ascii="Century Gothic" w:hAnsi="Century Gothic"/>
                <w:sz w:val="22"/>
                <w:szCs w:val="22"/>
              </w:rPr>
              <w:lastRenderedPageBreak/>
              <w:t>2.</w:t>
            </w:r>
            <w:r w:rsidRPr="001E7FE6">
              <w:rPr>
                <w:rFonts w:ascii="Century Gothic" w:hAnsi="Century Gothic"/>
                <w:sz w:val="22"/>
                <w:szCs w:val="22"/>
              </w:rPr>
              <w:tab/>
            </w:r>
            <w:r w:rsidR="00693115" w:rsidRPr="00693115">
              <w:rPr>
                <w:rFonts w:ascii="Century Gothic" w:hAnsi="Century Gothic"/>
                <w:sz w:val="22"/>
                <w:szCs w:val="22"/>
              </w:rPr>
              <w:t xml:space="preserve">FALTA DE COBERTURA MATERIAL DE LA PÓLIZA DE CUMPLIMIENTO A FAVOR DE ENTIDADES ESTATALES No. AB001559. </w:t>
            </w:r>
          </w:p>
          <w:p w14:paraId="46D0B73B" w14:textId="5690A093" w:rsidR="001E7FE6" w:rsidRDefault="001E7FE6" w:rsidP="00693115">
            <w:pPr>
              <w:spacing w:line="276" w:lineRule="auto"/>
              <w:jc w:val="center"/>
              <w:rPr>
                <w:rFonts w:ascii="Century Gothic" w:hAnsi="Century Gothic"/>
                <w:sz w:val="22"/>
                <w:szCs w:val="22"/>
              </w:rPr>
            </w:pPr>
            <w:r w:rsidRPr="001E7FE6">
              <w:rPr>
                <w:rFonts w:ascii="Century Gothic" w:hAnsi="Century Gothic"/>
                <w:sz w:val="22"/>
                <w:szCs w:val="22"/>
              </w:rPr>
              <w:t>3.</w:t>
            </w:r>
            <w:r w:rsidRPr="001E7FE6">
              <w:rPr>
                <w:rFonts w:ascii="Century Gothic" w:hAnsi="Century Gothic"/>
                <w:sz w:val="22"/>
                <w:szCs w:val="22"/>
              </w:rPr>
              <w:tab/>
            </w:r>
            <w:r w:rsidR="00693115" w:rsidRPr="00693115">
              <w:rPr>
                <w:rFonts w:ascii="Century Gothic" w:hAnsi="Century Gothic"/>
                <w:sz w:val="22"/>
                <w:szCs w:val="22"/>
              </w:rPr>
              <w:t>FALTA DE COBERTURA TEMPORAL DE LA PÓLIZA DE CUMPLIMIENTO A FAVOR DE ENTIDADES ESTATALES No. AB001559</w:t>
            </w:r>
          </w:p>
          <w:p w14:paraId="331A197F" w14:textId="77777777" w:rsidR="00693115"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4.</w:t>
            </w:r>
            <w:r w:rsidRPr="001E7FE6">
              <w:rPr>
                <w:rFonts w:ascii="Century Gothic" w:hAnsi="Century Gothic"/>
                <w:sz w:val="22"/>
                <w:szCs w:val="22"/>
              </w:rPr>
              <w:tab/>
            </w:r>
            <w:r w:rsidR="00693115" w:rsidRPr="00693115">
              <w:rPr>
                <w:rFonts w:ascii="Century Gothic" w:hAnsi="Century Gothic"/>
                <w:sz w:val="22"/>
                <w:szCs w:val="22"/>
              </w:rPr>
              <w:t xml:space="preserve">INEXIGIBILIDAD DE OBLIGACIÓN INDEMNIZATORIA POR LA NO REALIZACIÓN DEL RIESGO ASEGURADO EN LA PÓLIZA DE CUMPLIMIENTO A FAVOR DE ENTIDADES ESTATALES No. AB001559. </w:t>
            </w:r>
          </w:p>
          <w:p w14:paraId="56847639" w14:textId="77777777" w:rsidR="00693115"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5.</w:t>
            </w:r>
            <w:r w:rsidRPr="001E7FE6">
              <w:rPr>
                <w:rFonts w:ascii="Century Gothic" w:hAnsi="Century Gothic"/>
                <w:sz w:val="22"/>
                <w:szCs w:val="22"/>
              </w:rPr>
              <w:tab/>
            </w:r>
            <w:r w:rsidR="00693115" w:rsidRPr="00693115">
              <w:rPr>
                <w:rFonts w:ascii="Century Gothic" w:hAnsi="Century Gothic"/>
                <w:sz w:val="22"/>
                <w:szCs w:val="22"/>
              </w:rPr>
              <w:t>LOS ACTOS MERAMENTE POTESTATIVOS SON INASEGURABLES</w:t>
            </w:r>
          </w:p>
          <w:p w14:paraId="569B4818" w14:textId="5BF7293E"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 6.</w:t>
            </w:r>
            <w:r w:rsidRPr="001E7FE6">
              <w:rPr>
                <w:rFonts w:ascii="Century Gothic" w:hAnsi="Century Gothic"/>
                <w:sz w:val="22"/>
                <w:szCs w:val="22"/>
              </w:rPr>
              <w:tab/>
            </w:r>
            <w:r w:rsidR="00693115" w:rsidRPr="00693115">
              <w:rPr>
                <w:rFonts w:ascii="Century Gothic" w:hAnsi="Century Gothic"/>
                <w:sz w:val="22"/>
                <w:szCs w:val="22"/>
              </w:rPr>
              <w:t>EN EL PRESENTE CASO SE CONFIGURÓ UNA CAUSAL DE PÉRDIDA DEL DERECHO A LA INDEMNIZACIÓN RESPECTO AL ASEGURADO</w:t>
            </w:r>
            <w:r w:rsidRPr="001E7FE6">
              <w:rPr>
                <w:rFonts w:ascii="Century Gothic" w:hAnsi="Century Gothic"/>
                <w:sz w:val="22"/>
                <w:szCs w:val="22"/>
              </w:rPr>
              <w:t>.</w:t>
            </w:r>
          </w:p>
          <w:p w14:paraId="2C148E58" w14:textId="77777777" w:rsidR="003B7F1A"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 7.</w:t>
            </w:r>
            <w:r w:rsidRPr="001E7FE6">
              <w:rPr>
                <w:rFonts w:ascii="Century Gothic" w:hAnsi="Century Gothic"/>
                <w:sz w:val="22"/>
                <w:szCs w:val="22"/>
              </w:rPr>
              <w:tab/>
            </w:r>
            <w:r w:rsidR="00693115" w:rsidRPr="00693115">
              <w:rPr>
                <w:rFonts w:ascii="Century Gothic" w:hAnsi="Century Gothic"/>
                <w:sz w:val="22"/>
                <w:szCs w:val="22"/>
              </w:rPr>
              <w:t>CARÁCTER MERAMENTE INDEMNIZATORIO QUE REVISTEN LOS CONTRATOS DE SEGURO.</w:t>
            </w:r>
          </w:p>
          <w:p w14:paraId="0FFA25CD" w14:textId="77777777" w:rsidR="00693115" w:rsidRDefault="00693115" w:rsidP="003B7F1A">
            <w:pPr>
              <w:spacing w:line="276" w:lineRule="auto"/>
              <w:jc w:val="center"/>
              <w:rPr>
                <w:rFonts w:ascii="Century Gothic" w:hAnsi="Century Gothic"/>
                <w:sz w:val="22"/>
                <w:szCs w:val="22"/>
              </w:rPr>
            </w:pPr>
            <w:r>
              <w:rPr>
                <w:rFonts w:ascii="Century Gothic" w:hAnsi="Century Gothic"/>
                <w:sz w:val="22"/>
                <w:szCs w:val="22"/>
              </w:rPr>
              <w:t xml:space="preserve">8. </w:t>
            </w:r>
            <w:r w:rsidRPr="00693115">
              <w:rPr>
                <w:rFonts w:ascii="Century Gothic" w:hAnsi="Century Gothic"/>
                <w:sz w:val="22"/>
                <w:szCs w:val="22"/>
              </w:rPr>
              <w:t>EN CUALQUIER CASO, DE NINGUNA FORMA SE PODRÁ EXCEDER EL LÍMITE DEL VALOR ASEGURADO.</w:t>
            </w:r>
          </w:p>
          <w:p w14:paraId="46099D51" w14:textId="77777777" w:rsidR="00693115" w:rsidRDefault="00693115" w:rsidP="003B7F1A">
            <w:pPr>
              <w:spacing w:line="276" w:lineRule="auto"/>
              <w:jc w:val="center"/>
              <w:rPr>
                <w:rFonts w:ascii="Century Gothic" w:hAnsi="Century Gothic"/>
                <w:sz w:val="22"/>
                <w:szCs w:val="22"/>
              </w:rPr>
            </w:pPr>
            <w:r>
              <w:rPr>
                <w:rFonts w:ascii="Century Gothic" w:hAnsi="Century Gothic"/>
                <w:sz w:val="22"/>
                <w:szCs w:val="22"/>
              </w:rPr>
              <w:t xml:space="preserve">9. </w:t>
            </w:r>
            <w:r w:rsidRPr="00693115">
              <w:rPr>
                <w:rFonts w:ascii="Century Gothic" w:hAnsi="Century Gothic"/>
                <w:sz w:val="22"/>
                <w:szCs w:val="22"/>
              </w:rPr>
              <w:t>DISPONIBILIDAD DEL VALOR ASEGURADO.</w:t>
            </w:r>
          </w:p>
          <w:p w14:paraId="7E36EFB0" w14:textId="77777777" w:rsidR="00693115" w:rsidRDefault="00693115" w:rsidP="003B7F1A">
            <w:pPr>
              <w:spacing w:line="276" w:lineRule="auto"/>
              <w:jc w:val="center"/>
              <w:rPr>
                <w:rFonts w:ascii="Century Gothic" w:hAnsi="Century Gothic"/>
                <w:sz w:val="22"/>
                <w:szCs w:val="22"/>
              </w:rPr>
            </w:pPr>
            <w:r>
              <w:rPr>
                <w:rFonts w:ascii="Century Gothic" w:hAnsi="Century Gothic"/>
                <w:sz w:val="22"/>
                <w:szCs w:val="22"/>
              </w:rPr>
              <w:t xml:space="preserve">10. </w:t>
            </w:r>
            <w:r w:rsidRPr="00693115">
              <w:rPr>
                <w:rFonts w:ascii="Century Gothic" w:hAnsi="Century Gothic"/>
                <w:sz w:val="22"/>
                <w:szCs w:val="22"/>
              </w:rPr>
              <w:t>PAGO POR REEMBOLSO</w:t>
            </w:r>
          </w:p>
          <w:p w14:paraId="4ECC306C" w14:textId="77777777" w:rsidR="00693115" w:rsidRDefault="00693115" w:rsidP="003B7F1A">
            <w:pPr>
              <w:spacing w:line="276" w:lineRule="auto"/>
              <w:jc w:val="center"/>
              <w:rPr>
                <w:rFonts w:ascii="Century Gothic" w:hAnsi="Century Gothic"/>
                <w:sz w:val="22"/>
                <w:szCs w:val="22"/>
              </w:rPr>
            </w:pPr>
            <w:r>
              <w:rPr>
                <w:rFonts w:ascii="Century Gothic" w:hAnsi="Century Gothic"/>
                <w:sz w:val="22"/>
                <w:szCs w:val="22"/>
              </w:rPr>
              <w:t xml:space="preserve">11. </w:t>
            </w:r>
            <w:r w:rsidRPr="00693115">
              <w:rPr>
                <w:rFonts w:ascii="Century Gothic" w:hAnsi="Century Gothic"/>
                <w:sz w:val="22"/>
                <w:szCs w:val="22"/>
              </w:rPr>
              <w:t>RIESGOS EXPRESAMENTE EXCLUIDOS EN LA PÓLIZA CUMPLIMIENTO DE CONTRATO No. AB001559</w:t>
            </w:r>
          </w:p>
          <w:p w14:paraId="52CE2D52" w14:textId="17D184DB" w:rsidR="00693115" w:rsidRPr="00BA1E5F" w:rsidRDefault="00693115" w:rsidP="003B7F1A">
            <w:pPr>
              <w:spacing w:line="276" w:lineRule="auto"/>
              <w:jc w:val="center"/>
              <w:rPr>
                <w:rFonts w:ascii="Century Gothic" w:hAnsi="Century Gothic"/>
                <w:sz w:val="22"/>
                <w:szCs w:val="22"/>
              </w:rPr>
            </w:pPr>
            <w:r>
              <w:rPr>
                <w:rFonts w:ascii="Century Gothic" w:hAnsi="Century Gothic"/>
                <w:sz w:val="22"/>
                <w:szCs w:val="22"/>
              </w:rPr>
              <w:t xml:space="preserve">12. </w:t>
            </w:r>
            <w:r w:rsidRPr="00693115">
              <w:rPr>
                <w:rFonts w:ascii="Century Gothic" w:hAnsi="Century Gothic"/>
                <w:sz w:val="22"/>
                <w:szCs w:val="22"/>
              </w:rPr>
              <w:t>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BDD40A2"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NO CREADO</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Caso Onbase</w:t>
            </w:r>
          </w:p>
        </w:tc>
        <w:tc>
          <w:tcPr>
            <w:tcW w:w="6941" w:type="dxa"/>
            <w:vAlign w:val="center"/>
          </w:tcPr>
          <w:p w14:paraId="79DBA3A4" w14:textId="5F4C1F76" w:rsidR="006F0CAA" w:rsidRPr="00BA1E5F" w:rsidRDefault="00693115" w:rsidP="00EB6A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5D12375E" w:rsidR="00EE687D" w:rsidRPr="00693115" w:rsidRDefault="00693115" w:rsidP="00EB6A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AB001559</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C7411A9" w:rsidR="00EE687D" w:rsidRPr="00693115" w:rsidRDefault="00693115" w:rsidP="00EB6AB4">
            <w:pPr>
              <w:jc w:val="both"/>
              <w:rPr>
                <w:rFonts w:ascii="Century Gothic" w:hAnsi="Century Gothic"/>
                <w:sz w:val="22"/>
                <w:szCs w:val="22"/>
                <w:lang w:val="es-CO"/>
              </w:rPr>
            </w:pPr>
            <w:r w:rsidRPr="00693115">
              <w:rPr>
                <w:rFonts w:ascii="Century Gothic" w:hAnsi="Century Gothic"/>
                <w:sz w:val="22"/>
                <w:szCs w:val="22"/>
                <w:lang w:val="es-CO"/>
              </w:rPr>
              <w:t>AB015850</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2C6496F" w:rsidR="00EE687D" w:rsidRPr="00BA1E5F" w:rsidRDefault="001E7FE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DE8E8F1" w:rsidR="00B90E05" w:rsidRPr="00693115" w:rsidRDefault="00693115" w:rsidP="00EB6A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100071</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7D01F51"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D2E86EE" w:rsidR="001C44B4" w:rsidRPr="00BA1E5F" w:rsidRDefault="00693115" w:rsidP="001C44B4">
            <w:pPr>
              <w:jc w:val="both"/>
              <w:rPr>
                <w:rFonts w:ascii="Century Gothic" w:hAnsi="Century Gothic" w:cs="Segoe UI"/>
                <w:sz w:val="22"/>
                <w:szCs w:val="22"/>
                <w:lang w:eastAsia="es-CO"/>
              </w:rPr>
            </w:pPr>
            <w:r>
              <w:rPr>
                <w:rFonts w:ascii="Century Gothic" w:hAnsi="Century Gothic" w:cs="Segoe UI"/>
                <w:sz w:val="22"/>
                <w:szCs w:val="22"/>
                <w:lang w:eastAsia="es-CO"/>
              </w:rPr>
              <w:t>26/11/2019</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387F866" w:rsidR="001C44B4" w:rsidRPr="00BA1E5F" w:rsidRDefault="00693115" w:rsidP="001C44B4">
            <w:pPr>
              <w:jc w:val="both"/>
              <w:rPr>
                <w:rFonts w:ascii="Century Gothic" w:hAnsi="Century Gothic" w:cs="Segoe UI"/>
                <w:sz w:val="22"/>
                <w:szCs w:val="22"/>
                <w:lang w:eastAsia="es-CO"/>
              </w:rPr>
            </w:pPr>
            <w:r>
              <w:rPr>
                <w:rFonts w:ascii="Century Gothic" w:hAnsi="Century Gothic" w:cs="Segoe UI"/>
                <w:sz w:val="22"/>
                <w:szCs w:val="22"/>
                <w:lang w:eastAsia="es-CO"/>
              </w:rPr>
              <w:t>22/08/2025</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A3932F3"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BE619C7"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SERVICIOS ESPECIALES PARA EMPRESAS S.A.S     SESPEM S.A.S</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ADE6863"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HOSPITAL UNIVERSITARIO DE LA SAMARITANA ESE</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6C8A2D47"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CUMPLIMIENTO ESTATAL</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D1F6AEA" w:rsidR="001C44B4" w:rsidRPr="00693115" w:rsidRDefault="00693115" w:rsidP="00693115">
            <w:pPr>
              <w:pStyle w:val="NormalWeb"/>
              <w:jc w:val="both"/>
              <w:rPr>
                <w:rFonts w:ascii="Aptos" w:hAnsi="Aptos" w:cs="Segoe UI"/>
                <w:color w:val="242424"/>
              </w:rPr>
            </w:pPr>
            <w:r>
              <w:rPr>
                <w:rFonts w:ascii="Century Gothic" w:hAnsi="Century Gothic" w:cs="Segoe UI"/>
                <w:color w:val="000000"/>
                <w:sz w:val="21"/>
                <w:szCs w:val="21"/>
                <w:bdr w:val="none" w:sz="0" w:space="0" w:color="auto" w:frame="1"/>
              </w:rPr>
              <w:t>Pago de Salarios, Prestaciones Sociales e Indemnización Laboral</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3C26F2C"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$365,018,400.00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Audiencia prejudicial</w:t>
            </w:r>
          </w:p>
        </w:tc>
        <w:tc>
          <w:tcPr>
            <w:tcW w:w="6941" w:type="dxa"/>
            <w:vAlign w:val="center"/>
          </w:tcPr>
          <w:p w14:paraId="6AD9587E" w14:textId="311164D8" w:rsidR="001129B6"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356875E"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DE233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54FA9DB3" w:rsidR="002633C0" w:rsidRPr="00BA1E5F" w:rsidRDefault="00693115"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5CC2A1B" w:rsidR="002633C0" w:rsidRPr="00BA1E5F" w:rsidRDefault="00693115" w:rsidP="003314A2">
            <w:pPr>
              <w:spacing w:line="360" w:lineRule="auto"/>
              <w:rPr>
                <w:rFonts w:ascii="Century Gothic" w:hAnsi="Century Gothic"/>
                <w:sz w:val="22"/>
                <w:szCs w:val="22"/>
              </w:rPr>
            </w:pPr>
            <w:r>
              <w:rPr>
                <w:rFonts w:ascii="Century Gothic" w:hAnsi="Century Gothic"/>
                <w:sz w:val="22"/>
                <w:szCs w:val="22"/>
              </w:rPr>
              <w:t>$</w:t>
            </w:r>
            <w:r w:rsidR="00100B51">
              <w:rPr>
                <w:rFonts w:ascii="Century Gothic" w:hAnsi="Century Gothic"/>
                <w:sz w:val="22"/>
                <w:szCs w:val="22"/>
              </w:rPr>
              <w:t>1.423.500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313370FF" w14:textId="42A1605C" w:rsidR="00693115" w:rsidRPr="00693115" w:rsidRDefault="00693115" w:rsidP="00693115">
            <w:pPr>
              <w:spacing w:line="360" w:lineRule="auto"/>
              <w:jc w:val="center"/>
              <w:rPr>
                <w:rFonts w:ascii="Century Gothic" w:hAnsi="Century Gothic"/>
                <w:sz w:val="22"/>
                <w:szCs w:val="22"/>
                <w:lang w:val="es-CO"/>
              </w:rPr>
            </w:pPr>
            <w:r w:rsidRPr="00693115">
              <w:rPr>
                <w:rFonts w:ascii="Century Gothic" w:hAnsi="Century Gothic"/>
                <w:sz w:val="22"/>
                <w:szCs w:val="22"/>
                <w:lang w:val="es-CO"/>
              </w:rPr>
              <w:t xml:space="preserve">La calificación de la contingencia es </w:t>
            </w:r>
            <w:r w:rsidRPr="00693115">
              <w:rPr>
                <w:rFonts w:ascii="Century Gothic" w:hAnsi="Century Gothic"/>
                <w:b/>
                <w:bCs/>
                <w:sz w:val="22"/>
                <w:szCs w:val="22"/>
                <w:lang w:val="es-CO"/>
              </w:rPr>
              <w:t>REMOTA</w:t>
            </w:r>
            <w:r w:rsidRPr="00693115">
              <w:rPr>
                <w:rFonts w:ascii="Century Gothic" w:hAnsi="Century Gothic"/>
                <w:sz w:val="22"/>
                <w:szCs w:val="22"/>
                <w:lang w:val="es-CO"/>
              </w:rPr>
              <w:t>, debido a que la Póliza no presta cobertura material</w:t>
            </w:r>
            <w:r w:rsidR="00ED1140">
              <w:rPr>
                <w:rFonts w:ascii="Century Gothic" w:hAnsi="Century Gothic"/>
                <w:sz w:val="22"/>
                <w:szCs w:val="22"/>
                <w:lang w:val="es-CO"/>
              </w:rPr>
              <w:t xml:space="preserve"> y </w:t>
            </w:r>
            <w:r w:rsidRPr="00693115">
              <w:rPr>
                <w:rFonts w:ascii="Century Gothic" w:hAnsi="Century Gothic"/>
                <w:sz w:val="22"/>
                <w:szCs w:val="22"/>
                <w:lang w:val="es-CO"/>
              </w:rPr>
              <w:t>temporal</w:t>
            </w:r>
            <w:r w:rsidR="00ED1140">
              <w:rPr>
                <w:rFonts w:ascii="Century Gothic" w:hAnsi="Century Gothic"/>
                <w:sz w:val="22"/>
                <w:szCs w:val="22"/>
                <w:lang w:val="es-CO"/>
              </w:rPr>
              <w:t>mente, ofrece cobertura únicamente para los periodos de ejecución del contrato asegurado. A</w:t>
            </w:r>
            <w:r w:rsidRPr="00693115">
              <w:rPr>
                <w:rFonts w:ascii="Century Gothic" w:hAnsi="Century Gothic"/>
                <w:sz w:val="22"/>
                <w:szCs w:val="22"/>
                <w:lang w:val="es-CO"/>
              </w:rPr>
              <w:t xml:space="preserve">demás se configuró la prescripción de las acciones derivadas del contrato de seguro y acreditar o desvirtuar la responsabilidad del asegurado dependerá del debate probatorio que se surta en el desarrollo del proceso. </w:t>
            </w:r>
          </w:p>
          <w:p w14:paraId="1D82AA86" w14:textId="77777777" w:rsidR="00693115" w:rsidRPr="00693115" w:rsidRDefault="00693115" w:rsidP="00693115">
            <w:pPr>
              <w:spacing w:line="360" w:lineRule="auto"/>
              <w:jc w:val="center"/>
              <w:rPr>
                <w:rFonts w:ascii="Century Gothic" w:hAnsi="Century Gothic"/>
                <w:sz w:val="22"/>
                <w:szCs w:val="22"/>
                <w:lang w:val="es-CO"/>
              </w:rPr>
            </w:pPr>
          </w:p>
          <w:p w14:paraId="38D49FE3" w14:textId="77777777" w:rsidR="00693115" w:rsidRPr="00693115" w:rsidRDefault="00693115" w:rsidP="00693115">
            <w:pPr>
              <w:spacing w:line="360" w:lineRule="auto"/>
              <w:jc w:val="center"/>
              <w:rPr>
                <w:rFonts w:ascii="Century Gothic" w:hAnsi="Century Gothic"/>
                <w:sz w:val="22"/>
                <w:szCs w:val="22"/>
                <w:lang w:val="es-CO"/>
              </w:rPr>
            </w:pPr>
            <w:r w:rsidRPr="00693115">
              <w:rPr>
                <w:rFonts w:ascii="Century Gothic" w:hAnsi="Century Gothic"/>
                <w:sz w:val="22"/>
                <w:szCs w:val="22"/>
                <w:lang w:val="es-CO"/>
              </w:rPr>
              <w:t xml:space="preserve">Preliminarmente, es preciso mencionar que dentro de los anexos del llamamiento en garantía se aportó la Póliza de Responsabilidad Civil Extracontractual No. AB001560, sin embargo, esta no fue mencionada en el escrito del llamamiento ni tampoco se hizo una solicitud por la parte actora tendiente a afectarla. En todo caso, se aclara que la Póliza claramente no ofrece cobertura material para los hechos objeto de litigio, pues su objeto de amparo es la responsabilidad civil </w:t>
            </w:r>
            <w:r w:rsidRPr="00693115">
              <w:rPr>
                <w:rFonts w:ascii="Century Gothic" w:hAnsi="Century Gothic"/>
                <w:i/>
                <w:iCs/>
                <w:sz w:val="22"/>
                <w:szCs w:val="22"/>
                <w:lang w:val="es-CO"/>
              </w:rPr>
              <w:t xml:space="preserve">extracontractual </w:t>
            </w:r>
            <w:r w:rsidRPr="00693115">
              <w:rPr>
                <w:rFonts w:ascii="Century Gothic" w:hAnsi="Century Gothic"/>
                <w:sz w:val="22"/>
                <w:szCs w:val="22"/>
                <w:lang w:val="es-CO"/>
              </w:rPr>
              <w:t>en la que incurra el asegurado, la cual, no está siendo objeto de discusión. Lo que se debate en este proceso es una declaración de existencia de un contrato realidad, que implica, un incumplimiento de obligaciones de carácter laboral, lo mismo es: obligaciones contractuales; riesgos que evidentemente no hacen parte del amparo otorgado. De hecho, dentro de las exclusiones de la Póliza, se encuentran aquellos incumplimientos derivados de relaciones contractuales, por lo que evidentemente, no es posible afectar la Póliza. De cualquier manera, no es posible que el juez afecte la Póliza en mención, no solo a su evidente ausencia de cobertura material, sino también por el hecho de que en el escrito de llamamiento nada se solicitó frente a esta Póliza, de hecho, ni siquiera se menciona a lo largo del memorial, por lo que no debe ser objeto de análisis por el despacho en virtud del principio de congruencia que se aplica en la jurisdicción contencioso administrativa</w:t>
            </w:r>
          </w:p>
          <w:p w14:paraId="50068CB3" w14:textId="77777777" w:rsidR="00693115" w:rsidRPr="00693115" w:rsidRDefault="00693115" w:rsidP="00693115">
            <w:pPr>
              <w:spacing w:line="360" w:lineRule="auto"/>
              <w:jc w:val="center"/>
              <w:rPr>
                <w:rFonts w:ascii="Century Gothic" w:hAnsi="Century Gothic"/>
                <w:sz w:val="22"/>
                <w:szCs w:val="22"/>
                <w:lang w:val="es-CO"/>
              </w:rPr>
            </w:pPr>
          </w:p>
          <w:p w14:paraId="26508293" w14:textId="56F3D966" w:rsidR="00693115" w:rsidRPr="00693115" w:rsidRDefault="00693115" w:rsidP="00693115">
            <w:pPr>
              <w:spacing w:line="360" w:lineRule="auto"/>
              <w:jc w:val="center"/>
              <w:rPr>
                <w:rFonts w:ascii="Century Gothic" w:hAnsi="Century Gothic"/>
                <w:sz w:val="22"/>
                <w:szCs w:val="22"/>
                <w:lang w:val="es-CO"/>
              </w:rPr>
            </w:pPr>
            <w:r w:rsidRPr="00693115">
              <w:rPr>
                <w:rFonts w:ascii="Century Gothic" w:hAnsi="Century Gothic"/>
                <w:sz w:val="22"/>
                <w:szCs w:val="22"/>
                <w:lang w:val="es-CO"/>
              </w:rPr>
              <w:lastRenderedPageBreak/>
              <w:t>Respecto al contrato de seguro pactado en la Póliza de cumplimiento en favor de entidades estatales No. AB001559, se debe indicar que ésta no presta cobertura material, por cuanto, el objeto de amparo es el incumplimiento de las obligaciones laborales en que haya incurrido la sociedad SERVICIOS ESPECIALES PARA EMPRESAS S.A.S SESPEM S.A.S y que generen una consecuencia negativa en contra del asegurado E.S.E. HOSPITAL UNIVERSITARIO DE LA SAMARITANA; situación que no está siendo objeto de debate en el litigio, debido a que, lo que pretende el medio de control es declarar la existencia de una relación laboral entre la demandante y la E.S.E. HOSPITAL UNIVERSITARIO DE LA SAMARITANA.</w:t>
            </w:r>
            <w:r w:rsidR="00606E50">
              <w:rPr>
                <w:rFonts w:ascii="Century Gothic" w:hAnsi="Century Gothic"/>
                <w:sz w:val="22"/>
                <w:szCs w:val="22"/>
                <w:lang w:val="es-CO"/>
              </w:rPr>
              <w:t xml:space="preserve"> La declaración de un contrato realidad no fue un riesgo trasladad</w:t>
            </w:r>
            <w:r w:rsidR="00ED1140">
              <w:rPr>
                <w:rFonts w:ascii="Century Gothic" w:hAnsi="Century Gothic"/>
                <w:sz w:val="22"/>
                <w:szCs w:val="22"/>
                <w:lang w:val="es-CO"/>
              </w:rPr>
              <w:t>o</w:t>
            </w:r>
            <w:r w:rsidR="00606E50">
              <w:rPr>
                <w:rFonts w:ascii="Century Gothic" w:hAnsi="Century Gothic"/>
                <w:sz w:val="22"/>
                <w:szCs w:val="22"/>
                <w:lang w:val="es-CO"/>
              </w:rPr>
              <w:t>, ni tampoco se encuentra comprendido en el amparo de prestaciones, salarios e indemnizaciones.</w:t>
            </w:r>
            <w:r w:rsidRPr="00693115">
              <w:rPr>
                <w:rFonts w:ascii="Century Gothic" w:hAnsi="Century Gothic"/>
                <w:sz w:val="22"/>
                <w:szCs w:val="22"/>
                <w:lang w:val="es-CO"/>
              </w:rPr>
              <w:t xml:space="preserve"> Por otra parte, las pretensiones subsidiarias, se dirigen en contra al reconocimiento de incumplimientos laborales de la sociedad COLTEMPORA S.A. – COLOMBIANA DE TEMPORALES S.A, que no cuenta con ningún vínculo con la compañía aseguradora. Así las cosas, es claro que el contrato de seguro no ampara los incumplimientos en los que directamente llegare a incurrir el asegurado; máxime cuando, nos encontramos frente a actos meramente potestativos que son, por ministerio de la ley inasegurables (Art. 1555 C.Co). Respecto a la cobertura temporal, es necesario indicar que la Póliza de cumplimiento No. ABB001559 cuenta con una vigencia que corrió desde el 30 de enero de 2024 hasta el 30 de abril de 2027; en esta Póliza no se aclaró cuál es la modalidad de cobertura; por lo que se asume que es ocurrencia, de conformidad con la regla general establecida en el artículo 1073 del Código de Comercio; de forma que se cubren los siniestros que se presenten durante la vigencia de la Póliza. De conformidad con los hechos de la demanda, se pretende la indemnización a través del reconocimiento de un contrato realidad por un periodo comprendido desde el 26 de noviembre de 2019 hasta el 27 de agosto de 2025; razón por la cual es importante tener en cuenta lo indicado en el inciso segundo del artículo 1073 del Código del Comercio, según el cual, si el siniestro inicia antes del periodo de vigencia y continúa después de su inicio; la Póliza no podrá ser afectada. En el caso concreto, </w:t>
            </w:r>
            <w:r w:rsidR="00ED1140">
              <w:rPr>
                <w:rFonts w:ascii="Century Gothic" w:hAnsi="Century Gothic"/>
                <w:sz w:val="22"/>
                <w:szCs w:val="22"/>
                <w:lang w:val="es-CO"/>
              </w:rPr>
              <w:t>la Póliza únicamente ofrecería cobertura temporal para los periodos laborales comprendidos dentro del periodo de tiempo de ejecución del contrato amparado, esto decir, los comprendidos entre el 30 de enero de 2024</w:t>
            </w:r>
            <w:r w:rsidR="00ED1140" w:rsidRPr="00693115">
              <w:rPr>
                <w:rFonts w:ascii="Century Gothic" w:hAnsi="Century Gothic"/>
                <w:sz w:val="22"/>
                <w:szCs w:val="22"/>
                <w:lang w:val="es-CO"/>
              </w:rPr>
              <w:t xml:space="preserve"> hasta el </w:t>
            </w:r>
            <w:r w:rsidR="00ED1140">
              <w:rPr>
                <w:rFonts w:ascii="Century Gothic" w:hAnsi="Century Gothic"/>
                <w:sz w:val="22"/>
                <w:szCs w:val="22"/>
                <w:lang w:val="es-CO"/>
              </w:rPr>
              <w:t>4 de abril de 2024</w:t>
            </w:r>
            <w:r w:rsidRPr="00693115">
              <w:rPr>
                <w:rFonts w:ascii="Century Gothic" w:hAnsi="Century Gothic"/>
                <w:sz w:val="22"/>
                <w:szCs w:val="22"/>
                <w:lang w:val="es-CO"/>
              </w:rPr>
              <w:t>.</w:t>
            </w:r>
            <w:r w:rsidR="00ED1140">
              <w:rPr>
                <w:rFonts w:ascii="Century Gothic" w:hAnsi="Century Gothic"/>
                <w:sz w:val="22"/>
                <w:szCs w:val="22"/>
                <w:lang w:val="es-CO"/>
              </w:rPr>
              <w:t xml:space="preserve"> Los periodos anteriores a dicho contrato, no se encuentran cubiertos por la cobertura temporal de la Póliza. </w:t>
            </w:r>
            <w:r w:rsidRPr="00693115">
              <w:rPr>
                <w:rFonts w:ascii="Century Gothic" w:hAnsi="Century Gothic"/>
                <w:sz w:val="22"/>
                <w:szCs w:val="22"/>
                <w:lang w:val="es-CO"/>
              </w:rPr>
              <w:t xml:space="preserve"> </w:t>
            </w:r>
          </w:p>
          <w:p w14:paraId="79AE092E" w14:textId="77777777" w:rsidR="00693115" w:rsidRPr="00693115" w:rsidRDefault="00693115" w:rsidP="00693115">
            <w:pPr>
              <w:spacing w:line="360" w:lineRule="auto"/>
              <w:jc w:val="center"/>
              <w:rPr>
                <w:rFonts w:ascii="Century Gothic" w:hAnsi="Century Gothic"/>
                <w:sz w:val="22"/>
                <w:szCs w:val="22"/>
                <w:lang w:val="es-CO"/>
              </w:rPr>
            </w:pPr>
            <w:r w:rsidRPr="00693115">
              <w:rPr>
                <w:rFonts w:ascii="Century Gothic" w:hAnsi="Century Gothic"/>
                <w:sz w:val="22"/>
                <w:szCs w:val="22"/>
                <w:lang w:val="es-CO"/>
              </w:rPr>
              <w:lastRenderedPageBreak/>
              <w:tab/>
            </w:r>
          </w:p>
          <w:p w14:paraId="58FF1192" w14:textId="5E9A2357" w:rsidR="00BA1E5F" w:rsidRPr="00693115" w:rsidRDefault="00693115" w:rsidP="00693115">
            <w:pPr>
              <w:spacing w:line="360" w:lineRule="auto"/>
              <w:jc w:val="center"/>
              <w:rPr>
                <w:rFonts w:ascii="Century Gothic" w:hAnsi="Century Gothic"/>
                <w:b/>
                <w:bCs/>
                <w:sz w:val="22"/>
                <w:szCs w:val="22"/>
                <w:lang w:val="es-CO"/>
              </w:rPr>
            </w:pPr>
            <w:r w:rsidRPr="00693115">
              <w:rPr>
                <w:rFonts w:ascii="Century Gothic" w:hAnsi="Century Gothic"/>
                <w:sz w:val="22"/>
                <w:szCs w:val="22"/>
                <w:lang w:val="es-CO"/>
              </w:rPr>
              <w:t xml:space="preserve">Ahora bien, respecto a la responsabilidad del asegurado, aún no se encuentran probados los elementos esenciales de un contrato laboral, sin embargo, el proceso aún se encuentra en una etapa temprana, por lo que no se han practicado pruebas más allá de las documentales aportadas con el escrito inicial. En este sentido, dependerá del desarrollo de la etapa probatoria determinar la vocación de prosperidad de las pretensiones del medio de control. </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DB97" w14:textId="77777777" w:rsidR="008669B0" w:rsidRDefault="008669B0" w:rsidP="00E7033F">
      <w:r>
        <w:separator/>
      </w:r>
    </w:p>
  </w:endnote>
  <w:endnote w:type="continuationSeparator" w:id="0">
    <w:p w14:paraId="3D1907CA" w14:textId="77777777" w:rsidR="008669B0" w:rsidRDefault="008669B0"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AFC1" w14:textId="77777777" w:rsidR="008669B0" w:rsidRDefault="008669B0" w:rsidP="00E7033F">
      <w:r>
        <w:separator/>
      </w:r>
    </w:p>
  </w:footnote>
  <w:footnote w:type="continuationSeparator" w:id="0">
    <w:p w14:paraId="3AF64276" w14:textId="77777777" w:rsidR="008669B0" w:rsidRDefault="008669B0"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FB0"/>
    <w:multiLevelType w:val="hybridMultilevel"/>
    <w:tmpl w:val="7250FB82"/>
    <w:lvl w:ilvl="0" w:tplc="99B402F2">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27C1C"/>
    <w:multiLevelType w:val="hybridMultilevel"/>
    <w:tmpl w:val="6F48A208"/>
    <w:lvl w:ilvl="0" w:tplc="64FE005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023FC0"/>
    <w:multiLevelType w:val="hybridMultilevel"/>
    <w:tmpl w:val="CF02287C"/>
    <w:lvl w:ilvl="0" w:tplc="836C2AA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4493716">
    <w:abstractNumId w:val="1"/>
  </w:num>
  <w:num w:numId="2" w16cid:durableId="1222595490">
    <w:abstractNumId w:val="2"/>
  </w:num>
  <w:num w:numId="3" w16cid:durableId="815147495">
    <w:abstractNumId w:val="0"/>
  </w:num>
  <w:num w:numId="4" w16cid:durableId="118358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62D61"/>
    <w:rsid w:val="00072BFC"/>
    <w:rsid w:val="000C0954"/>
    <w:rsid w:val="000D23FC"/>
    <w:rsid w:val="00100B51"/>
    <w:rsid w:val="00104217"/>
    <w:rsid w:val="001129B6"/>
    <w:rsid w:val="001573D7"/>
    <w:rsid w:val="001702DD"/>
    <w:rsid w:val="00181E11"/>
    <w:rsid w:val="001C44B4"/>
    <w:rsid w:val="001E096B"/>
    <w:rsid w:val="001E1616"/>
    <w:rsid w:val="001E5C79"/>
    <w:rsid w:val="001E7FE6"/>
    <w:rsid w:val="0022200E"/>
    <w:rsid w:val="0022708A"/>
    <w:rsid w:val="00263011"/>
    <w:rsid w:val="002633C0"/>
    <w:rsid w:val="002A0E98"/>
    <w:rsid w:val="002F3369"/>
    <w:rsid w:val="00311097"/>
    <w:rsid w:val="00313056"/>
    <w:rsid w:val="00314CAF"/>
    <w:rsid w:val="00324E27"/>
    <w:rsid w:val="00326AFF"/>
    <w:rsid w:val="003314A2"/>
    <w:rsid w:val="003501DB"/>
    <w:rsid w:val="003575C9"/>
    <w:rsid w:val="00362A73"/>
    <w:rsid w:val="00374667"/>
    <w:rsid w:val="003827E1"/>
    <w:rsid w:val="003B37D7"/>
    <w:rsid w:val="003B44CB"/>
    <w:rsid w:val="003B7F1A"/>
    <w:rsid w:val="003F1DDB"/>
    <w:rsid w:val="00403BFC"/>
    <w:rsid w:val="00437455"/>
    <w:rsid w:val="00437F36"/>
    <w:rsid w:val="004742BF"/>
    <w:rsid w:val="00493936"/>
    <w:rsid w:val="004B535A"/>
    <w:rsid w:val="004C43F3"/>
    <w:rsid w:val="004C7D4E"/>
    <w:rsid w:val="0050179F"/>
    <w:rsid w:val="00504FFB"/>
    <w:rsid w:val="0058040F"/>
    <w:rsid w:val="00584CB5"/>
    <w:rsid w:val="005D6238"/>
    <w:rsid w:val="005F61D3"/>
    <w:rsid w:val="006056E7"/>
    <w:rsid w:val="00606E50"/>
    <w:rsid w:val="00611AB1"/>
    <w:rsid w:val="00657A41"/>
    <w:rsid w:val="006701FE"/>
    <w:rsid w:val="00687E42"/>
    <w:rsid w:val="00693115"/>
    <w:rsid w:val="00694306"/>
    <w:rsid w:val="006A1563"/>
    <w:rsid w:val="006F0CAA"/>
    <w:rsid w:val="00732667"/>
    <w:rsid w:val="00761B63"/>
    <w:rsid w:val="007A23D0"/>
    <w:rsid w:val="007C37D7"/>
    <w:rsid w:val="00833046"/>
    <w:rsid w:val="008669B0"/>
    <w:rsid w:val="008B59F4"/>
    <w:rsid w:val="008B61E5"/>
    <w:rsid w:val="008B685D"/>
    <w:rsid w:val="008E249B"/>
    <w:rsid w:val="008F6B57"/>
    <w:rsid w:val="0095378E"/>
    <w:rsid w:val="009820E4"/>
    <w:rsid w:val="00987619"/>
    <w:rsid w:val="00992368"/>
    <w:rsid w:val="00996B7A"/>
    <w:rsid w:val="009A06ED"/>
    <w:rsid w:val="009E3613"/>
    <w:rsid w:val="009E5D8B"/>
    <w:rsid w:val="00A02694"/>
    <w:rsid w:val="00A5444E"/>
    <w:rsid w:val="00A9502F"/>
    <w:rsid w:val="00AD0891"/>
    <w:rsid w:val="00AF0C25"/>
    <w:rsid w:val="00B0046C"/>
    <w:rsid w:val="00B02D85"/>
    <w:rsid w:val="00B2787D"/>
    <w:rsid w:val="00B90E05"/>
    <w:rsid w:val="00B93D06"/>
    <w:rsid w:val="00BA0472"/>
    <w:rsid w:val="00BA1E5F"/>
    <w:rsid w:val="00CD0F4E"/>
    <w:rsid w:val="00D33414"/>
    <w:rsid w:val="00D35F0D"/>
    <w:rsid w:val="00DD6A64"/>
    <w:rsid w:val="00DE2337"/>
    <w:rsid w:val="00DE5BEB"/>
    <w:rsid w:val="00E02321"/>
    <w:rsid w:val="00E245E1"/>
    <w:rsid w:val="00E7033F"/>
    <w:rsid w:val="00E802BC"/>
    <w:rsid w:val="00EB5FFB"/>
    <w:rsid w:val="00ED1140"/>
    <w:rsid w:val="00EE687D"/>
    <w:rsid w:val="00F1041F"/>
    <w:rsid w:val="00F62D63"/>
    <w:rsid w:val="00F67EF8"/>
    <w:rsid w:val="00F856C2"/>
    <w:rsid w:val="00F90650"/>
    <w:rsid w:val="00FC01A7"/>
    <w:rsid w:val="00FD0FD5"/>
    <w:rsid w:val="00FD53B3"/>
    <w:rsid w:val="00FF66CC"/>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7FE6"/>
    <w:pPr>
      <w:ind w:left="720"/>
      <w:contextualSpacing/>
    </w:pPr>
  </w:style>
  <w:style w:type="paragraph" w:styleId="Revisin">
    <w:name w:val="Revision"/>
    <w:hidden/>
    <w:uiPriority w:val="99"/>
    <w:semiHidden/>
    <w:rsid w:val="0050179F"/>
  </w:style>
  <w:style w:type="paragraph" w:styleId="NormalWeb">
    <w:name w:val="Normal (Web)"/>
    <w:basedOn w:val="Normal"/>
    <w:uiPriority w:val="99"/>
    <w:unhideWhenUsed/>
    <w:rsid w:val="00693115"/>
    <w:pPr>
      <w:spacing w:before="100" w:beforeAutospacing="1" w:after="100" w:afterAutospacing="1"/>
    </w:pPr>
    <w:rPr>
      <w:rFonts w:ascii="Times New Roman" w:eastAsia="Times New Roman" w:hAnsi="Times New Roman" w:cs="Times New Roman"/>
      <w:lang w:val="es-CO" w:eastAsia="es-CO"/>
    </w:rPr>
  </w:style>
  <w:style w:type="character" w:styleId="Refdecomentario">
    <w:name w:val="annotation reference"/>
    <w:basedOn w:val="Fuentedeprrafopredeter"/>
    <w:uiPriority w:val="99"/>
    <w:semiHidden/>
    <w:unhideWhenUsed/>
    <w:rsid w:val="005D6238"/>
    <w:rPr>
      <w:sz w:val="16"/>
      <w:szCs w:val="16"/>
    </w:rPr>
  </w:style>
  <w:style w:type="paragraph" w:styleId="Textocomentario">
    <w:name w:val="annotation text"/>
    <w:basedOn w:val="Normal"/>
    <w:link w:val="TextocomentarioCar"/>
    <w:uiPriority w:val="99"/>
    <w:unhideWhenUsed/>
    <w:rsid w:val="005D6238"/>
    <w:rPr>
      <w:sz w:val="20"/>
      <w:szCs w:val="20"/>
    </w:rPr>
  </w:style>
  <w:style w:type="character" w:customStyle="1" w:styleId="TextocomentarioCar">
    <w:name w:val="Texto comentario Car"/>
    <w:basedOn w:val="Fuentedeprrafopredeter"/>
    <w:link w:val="Textocomentario"/>
    <w:uiPriority w:val="99"/>
    <w:rsid w:val="005D6238"/>
    <w:rPr>
      <w:sz w:val="20"/>
      <w:szCs w:val="20"/>
    </w:rPr>
  </w:style>
  <w:style w:type="paragraph" w:styleId="Asuntodelcomentario">
    <w:name w:val="annotation subject"/>
    <w:basedOn w:val="Textocomentario"/>
    <w:next w:val="Textocomentario"/>
    <w:link w:val="AsuntodelcomentarioCar"/>
    <w:uiPriority w:val="99"/>
    <w:semiHidden/>
    <w:unhideWhenUsed/>
    <w:rsid w:val="005D6238"/>
    <w:rPr>
      <w:b/>
      <w:bCs/>
    </w:rPr>
  </w:style>
  <w:style w:type="character" w:customStyle="1" w:styleId="AsuntodelcomentarioCar">
    <w:name w:val="Asunto del comentario Car"/>
    <w:basedOn w:val="TextocomentarioCar"/>
    <w:link w:val="Asuntodelcomentario"/>
    <w:uiPriority w:val="99"/>
    <w:semiHidden/>
    <w:rsid w:val="005D6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B16D6CA64C494AB74B9D31B96A2D44"/>
        <w:category>
          <w:name w:val="General"/>
          <w:gallery w:val="placeholder"/>
        </w:category>
        <w:types>
          <w:type w:val="bbPlcHdr"/>
        </w:types>
        <w:behaviors>
          <w:behavior w:val="content"/>
        </w:behaviors>
        <w:guid w:val="{BCBACE81-392C-4047-88CE-68C940405991}"/>
      </w:docPartPr>
      <w:docPartBody>
        <w:p w:rsidR="00561D7C" w:rsidRDefault="004630D9" w:rsidP="004630D9">
          <w:pPr>
            <w:pStyle w:val="83B16D6CA64C494AB74B9D31B96A2D4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9"/>
    <w:rsid w:val="00033EE0"/>
    <w:rsid w:val="001E3148"/>
    <w:rsid w:val="001F147C"/>
    <w:rsid w:val="002F3369"/>
    <w:rsid w:val="00326AFF"/>
    <w:rsid w:val="00362A73"/>
    <w:rsid w:val="003A3E6D"/>
    <w:rsid w:val="004630D9"/>
    <w:rsid w:val="00561D7C"/>
    <w:rsid w:val="00657EF8"/>
    <w:rsid w:val="00833046"/>
    <w:rsid w:val="00965F0D"/>
    <w:rsid w:val="00A02694"/>
    <w:rsid w:val="00A9502F"/>
    <w:rsid w:val="00AD0891"/>
    <w:rsid w:val="00AF0C25"/>
    <w:rsid w:val="00B0046C"/>
    <w:rsid w:val="00B02D85"/>
    <w:rsid w:val="00B50563"/>
    <w:rsid w:val="00CD0F4E"/>
    <w:rsid w:val="00D3179F"/>
    <w:rsid w:val="00E05269"/>
    <w:rsid w:val="00EE017C"/>
    <w:rsid w:val="00FE6E34"/>
    <w:rsid w:val="00FF52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30D9"/>
    <w:rPr>
      <w:color w:val="808080"/>
    </w:rPr>
  </w:style>
  <w:style w:type="paragraph" w:customStyle="1" w:styleId="83B16D6CA64C494AB74B9D31B96A2D44">
    <w:name w:val="83B16D6CA64C494AB74B9D31B96A2D44"/>
    <w:rsid w:val="00463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28552-9047-4593-85EE-D3029429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1815</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Santiago Vernaza Ordóñez</cp:lastModifiedBy>
  <cp:revision>6</cp:revision>
  <cp:lastPrinted>2025-01-20T16:39:00Z</cp:lastPrinted>
  <dcterms:created xsi:type="dcterms:W3CDTF">2025-09-02T21:17:00Z</dcterms:created>
  <dcterms:modified xsi:type="dcterms:W3CDTF">2025-09-02T22:02:00Z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