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E64F" w14:textId="086FF488" w:rsidR="00237528" w:rsidRPr="00D22291" w:rsidRDefault="00237528" w:rsidP="00237528">
      <w:pPr>
        <w:jc w:val="both"/>
        <w:rPr>
          <w:rFonts w:ascii="Arial" w:hAnsi="Arial" w:cs="Arial"/>
          <w:sz w:val="20"/>
          <w:szCs w:val="20"/>
        </w:rPr>
      </w:pPr>
      <w:r w:rsidRPr="00D22291">
        <w:rPr>
          <w:rFonts w:ascii="Arial" w:hAnsi="Arial" w:cs="Arial"/>
          <w:sz w:val="20"/>
          <w:szCs w:val="20"/>
        </w:rPr>
        <w:t xml:space="preserve">Estimados, el día </w:t>
      </w:r>
      <w:r w:rsidR="00D22291" w:rsidRPr="00D22291">
        <w:rPr>
          <w:rFonts w:ascii="Arial" w:hAnsi="Arial" w:cs="Arial"/>
          <w:sz w:val="20"/>
          <w:szCs w:val="20"/>
        </w:rPr>
        <w:t>25 de junio de 2025</w:t>
      </w:r>
      <w:r w:rsidRPr="00D22291">
        <w:rPr>
          <w:rFonts w:ascii="Arial" w:hAnsi="Arial" w:cs="Arial"/>
          <w:sz w:val="20"/>
          <w:szCs w:val="20"/>
        </w:rPr>
        <w:t xml:space="preserve">, se radicó contestación en nombre de la Aseguradora Solidaria, en el proceso identificado con consecutivo </w:t>
      </w:r>
      <w:r w:rsidR="00D22291" w:rsidRPr="00D22291">
        <w:rPr>
          <w:rFonts w:ascii="Arial" w:hAnsi="Arial" w:cs="Arial"/>
          <w:sz w:val="20"/>
          <w:szCs w:val="20"/>
        </w:rPr>
        <w:t>2024-00060, así como la solicitud de nulidad por indebida notificación</w:t>
      </w:r>
      <w:r w:rsidRPr="00D22291">
        <w:rPr>
          <w:rFonts w:ascii="Arial" w:hAnsi="Arial" w:cs="Arial"/>
          <w:sz w:val="20"/>
          <w:szCs w:val="20"/>
        </w:rPr>
        <w:t>. Se presenta informe del escrito y se adjunta la contestación</w:t>
      </w:r>
      <w:r w:rsidR="00D22291" w:rsidRPr="00D22291">
        <w:rPr>
          <w:rFonts w:ascii="Arial" w:hAnsi="Arial" w:cs="Arial"/>
          <w:sz w:val="20"/>
          <w:szCs w:val="20"/>
        </w:rPr>
        <w:t>, la solicitud de nulidad</w:t>
      </w:r>
      <w:r w:rsidRPr="00D22291">
        <w:rPr>
          <w:rFonts w:ascii="Arial" w:hAnsi="Arial" w:cs="Arial"/>
          <w:sz w:val="20"/>
          <w:szCs w:val="20"/>
        </w:rPr>
        <w:t>, sus anexos,</w:t>
      </w:r>
      <w:r w:rsidR="00D22291" w:rsidRPr="00D22291">
        <w:rPr>
          <w:rFonts w:ascii="Arial" w:hAnsi="Arial" w:cs="Arial"/>
          <w:sz w:val="20"/>
          <w:szCs w:val="20"/>
        </w:rPr>
        <w:t xml:space="preserve"> </w:t>
      </w:r>
      <w:r w:rsidRPr="00D22291">
        <w:rPr>
          <w:rFonts w:ascii="Arial" w:hAnsi="Arial" w:cs="Arial"/>
          <w:sz w:val="20"/>
          <w:szCs w:val="20"/>
        </w:rPr>
        <w:t xml:space="preserve">la constancia de traslado a las otras partes, y la constancia de radicación en la ventanilla virtual de SAMAI. </w:t>
      </w:r>
    </w:p>
    <w:p w14:paraId="66BD3C3A" w14:textId="6967A887" w:rsidR="00237528" w:rsidRPr="00D22291" w:rsidRDefault="00237528" w:rsidP="00237528">
      <w:pPr>
        <w:jc w:val="both"/>
        <w:rPr>
          <w:rFonts w:ascii="Arial" w:hAnsi="Arial" w:cs="Arial"/>
          <w:b/>
          <w:bCs/>
          <w:sz w:val="20"/>
          <w:szCs w:val="20"/>
        </w:rPr>
      </w:pPr>
      <w:r w:rsidRPr="00D22291">
        <w:rPr>
          <w:rFonts w:ascii="Arial" w:hAnsi="Arial" w:cs="Arial"/>
          <w:b/>
          <w:bCs/>
          <w:sz w:val="20"/>
          <w:szCs w:val="20"/>
        </w:rPr>
        <w:t xml:space="preserve">Resumen de los hechos. </w:t>
      </w:r>
    </w:p>
    <w:p w14:paraId="165A2FD2" w14:textId="5F2AC62C" w:rsidR="00D22291" w:rsidRPr="00D22291" w:rsidRDefault="00D22291" w:rsidP="00D22291">
      <w:pPr>
        <w:tabs>
          <w:tab w:val="left" w:pos="6447"/>
        </w:tabs>
        <w:jc w:val="both"/>
        <w:rPr>
          <w:rFonts w:ascii="Arial" w:hAnsi="Arial" w:cs="Arial"/>
          <w:sz w:val="20"/>
          <w:szCs w:val="20"/>
        </w:rPr>
      </w:pPr>
      <w:r w:rsidRPr="00D22291">
        <w:rPr>
          <w:rFonts w:ascii="Arial" w:hAnsi="Arial" w:cs="Arial"/>
          <w:sz w:val="20"/>
          <w:szCs w:val="20"/>
        </w:rPr>
        <w:t>De conformidad con los hechos de la demanda, el 15 de mayo de 2022, el señor MILTON JOSÉ QUIÑONES PRECIADO y su hermano LUIS MARTÍN TENORIO PRECIADO, sufrieron un accidente de tránsito, cuando se desplazaban en una motocicleta de placas CIG-13G. Accidente que se habría ocasionado al perder el control cuando chocaron con un elemento contundente al borde de la vía, y caer en una zona en la que se encontraba en reparación la malla vial.</w:t>
      </w:r>
    </w:p>
    <w:p w14:paraId="5B446DA2" w14:textId="77777777" w:rsidR="00D22291" w:rsidRPr="00D22291" w:rsidRDefault="00D22291" w:rsidP="00D22291">
      <w:pPr>
        <w:tabs>
          <w:tab w:val="left" w:pos="6447"/>
        </w:tabs>
        <w:jc w:val="both"/>
        <w:rPr>
          <w:rFonts w:ascii="Arial" w:hAnsi="Arial" w:cs="Arial"/>
          <w:sz w:val="20"/>
          <w:szCs w:val="20"/>
        </w:rPr>
      </w:pPr>
      <w:r w:rsidRPr="00D22291">
        <w:rPr>
          <w:rFonts w:ascii="Arial" w:hAnsi="Arial" w:cs="Arial"/>
          <w:sz w:val="20"/>
          <w:szCs w:val="20"/>
        </w:rPr>
        <w:t xml:space="preserve">Producto del accidente de tránsito ambos demandantes resultaron gravemente heridos, y particularmente el señor MILTON JOSÉ QUIÑONES PRECIADO, ingresó en la Unidad de Cuidados Intensivos donde estuvo internado hasta el 16 de mayo de 2022, fecha en la que finalmente falleció.  </w:t>
      </w:r>
    </w:p>
    <w:p w14:paraId="039E0918" w14:textId="07016320" w:rsidR="00237528" w:rsidRPr="00D22291" w:rsidRDefault="00237528" w:rsidP="00D22291">
      <w:pPr>
        <w:tabs>
          <w:tab w:val="left" w:pos="6447"/>
        </w:tabs>
        <w:jc w:val="both"/>
        <w:rPr>
          <w:rFonts w:ascii="Arial" w:hAnsi="Arial" w:cs="Arial"/>
          <w:b/>
          <w:bCs/>
          <w:sz w:val="20"/>
          <w:szCs w:val="20"/>
        </w:rPr>
      </w:pPr>
      <w:r w:rsidRPr="00D22291">
        <w:rPr>
          <w:rFonts w:ascii="Arial" w:hAnsi="Arial" w:cs="Arial"/>
          <w:b/>
          <w:bCs/>
          <w:sz w:val="20"/>
          <w:szCs w:val="20"/>
        </w:rPr>
        <w:t>Valoración Objetiva de las pretensiones</w:t>
      </w:r>
      <w:r w:rsidRPr="00D22291">
        <w:rPr>
          <w:rFonts w:ascii="Arial" w:hAnsi="Arial" w:cs="Arial"/>
          <w:b/>
          <w:bCs/>
          <w:sz w:val="20"/>
          <w:szCs w:val="20"/>
        </w:rPr>
        <w:tab/>
      </w:r>
    </w:p>
    <w:p w14:paraId="5CE3F63F" w14:textId="15FD762B" w:rsidR="00237528" w:rsidRPr="00D22291" w:rsidRDefault="00237528" w:rsidP="00237528">
      <w:pPr>
        <w:spacing w:line="264" w:lineRule="exact"/>
        <w:ind w:left="59" w:right="-20"/>
        <w:jc w:val="both"/>
        <w:rPr>
          <w:rFonts w:ascii="Arial" w:eastAsia="Calibri" w:hAnsi="Arial" w:cs="Arial"/>
          <w:sz w:val="20"/>
          <w:szCs w:val="20"/>
        </w:rPr>
      </w:pPr>
      <w:r w:rsidRPr="00D22291">
        <w:rPr>
          <w:rFonts w:ascii="Arial" w:eastAsia="Calibri" w:hAnsi="Arial" w:cs="Arial"/>
          <w:sz w:val="20"/>
          <w:szCs w:val="20"/>
        </w:rPr>
        <w:t xml:space="preserve">Valor 100% </w:t>
      </w:r>
      <w:r w:rsidR="00D22291" w:rsidRPr="00D22291">
        <w:rPr>
          <w:rFonts w:ascii="Arial" w:eastAsia="Calibri" w:hAnsi="Arial" w:cs="Arial"/>
          <w:sz w:val="20"/>
          <w:szCs w:val="20"/>
        </w:rPr>
        <w:t>$1.494.675.000</w:t>
      </w:r>
    </w:p>
    <w:p w14:paraId="306AAC8C" w14:textId="4F087690" w:rsidR="00237528" w:rsidRPr="00D22291" w:rsidRDefault="00237528" w:rsidP="00237528">
      <w:pPr>
        <w:spacing w:line="264" w:lineRule="exact"/>
        <w:ind w:left="59" w:right="-20"/>
        <w:jc w:val="both"/>
        <w:rPr>
          <w:rFonts w:ascii="Arial" w:eastAsia="Calibri" w:hAnsi="Arial" w:cs="Arial"/>
          <w:sz w:val="20"/>
          <w:szCs w:val="20"/>
        </w:rPr>
      </w:pPr>
      <w:r w:rsidRPr="00D22291">
        <w:rPr>
          <w:rFonts w:ascii="Arial" w:eastAsia="Calibri" w:hAnsi="Arial" w:cs="Arial"/>
          <w:sz w:val="20"/>
          <w:szCs w:val="20"/>
        </w:rPr>
        <w:t xml:space="preserve">Deducible: </w:t>
      </w:r>
      <w:r w:rsidR="00D22291" w:rsidRPr="00D22291">
        <w:rPr>
          <w:rFonts w:ascii="Arial" w:eastAsia="Calibri" w:hAnsi="Arial" w:cs="Arial"/>
          <w:sz w:val="20"/>
          <w:szCs w:val="20"/>
        </w:rPr>
        <w:t>5%</w:t>
      </w:r>
    </w:p>
    <w:p w14:paraId="076A52A6" w14:textId="1135BFE0" w:rsidR="00237528" w:rsidRPr="00D22291" w:rsidRDefault="00237528" w:rsidP="00237528">
      <w:pPr>
        <w:spacing w:line="264" w:lineRule="exact"/>
        <w:ind w:left="59" w:right="-20"/>
        <w:jc w:val="both"/>
        <w:rPr>
          <w:rFonts w:ascii="Arial" w:eastAsia="Calibri" w:hAnsi="Arial" w:cs="Arial"/>
          <w:sz w:val="20"/>
          <w:szCs w:val="20"/>
        </w:rPr>
      </w:pPr>
      <w:r w:rsidRPr="00D22291">
        <w:rPr>
          <w:rFonts w:ascii="Arial" w:eastAsia="Calibri" w:hAnsi="Arial" w:cs="Arial"/>
          <w:sz w:val="20"/>
          <w:szCs w:val="20"/>
        </w:rPr>
        <w:t xml:space="preserve">Coaseguro: </w:t>
      </w:r>
      <w:r w:rsidR="00D22291" w:rsidRPr="00D22291">
        <w:rPr>
          <w:rFonts w:ascii="Arial" w:eastAsia="Calibri" w:hAnsi="Arial" w:cs="Arial"/>
          <w:sz w:val="20"/>
          <w:szCs w:val="20"/>
        </w:rPr>
        <w:t>22</w:t>
      </w:r>
      <w:r w:rsidRPr="00D22291">
        <w:rPr>
          <w:rFonts w:ascii="Arial" w:eastAsia="Calibri" w:hAnsi="Arial" w:cs="Arial"/>
          <w:sz w:val="20"/>
          <w:szCs w:val="20"/>
        </w:rPr>
        <w:t>%</w:t>
      </w:r>
    </w:p>
    <w:p w14:paraId="0D95D194" w14:textId="68918607" w:rsidR="00237528" w:rsidRPr="00D22291" w:rsidRDefault="00237528" w:rsidP="00237528">
      <w:pPr>
        <w:spacing w:line="264" w:lineRule="exact"/>
        <w:ind w:left="59" w:right="-20"/>
        <w:jc w:val="both"/>
        <w:rPr>
          <w:rFonts w:ascii="Arial" w:eastAsia="Calibri" w:hAnsi="Arial" w:cs="Arial"/>
          <w:b/>
          <w:bCs/>
          <w:sz w:val="20"/>
          <w:szCs w:val="20"/>
          <w:u w:val="single"/>
        </w:rPr>
      </w:pPr>
      <w:proofErr w:type="gramStart"/>
      <w:r w:rsidRPr="00D22291">
        <w:rPr>
          <w:rFonts w:ascii="Arial" w:eastAsia="Calibri" w:hAnsi="Arial" w:cs="Arial"/>
          <w:b/>
          <w:bCs/>
          <w:sz w:val="20"/>
          <w:szCs w:val="20"/>
          <w:u w:val="single"/>
        </w:rPr>
        <w:t>Total</w:t>
      </w:r>
      <w:proofErr w:type="gramEnd"/>
      <w:r w:rsidRPr="00D22291">
        <w:rPr>
          <w:rFonts w:ascii="Arial" w:eastAsia="Calibri" w:hAnsi="Arial" w:cs="Arial"/>
          <w:b/>
          <w:bCs/>
          <w:sz w:val="20"/>
          <w:szCs w:val="20"/>
          <w:u w:val="single"/>
        </w:rPr>
        <w:t xml:space="preserve"> Exposición de </w:t>
      </w:r>
      <w:r w:rsidR="00AE329B" w:rsidRPr="00D22291">
        <w:rPr>
          <w:rFonts w:ascii="Arial" w:eastAsia="Calibri" w:hAnsi="Arial" w:cs="Arial"/>
          <w:b/>
          <w:bCs/>
          <w:sz w:val="20"/>
          <w:szCs w:val="20"/>
          <w:u w:val="single"/>
        </w:rPr>
        <w:t>SOLIDARIA</w:t>
      </w:r>
      <w:r w:rsidRPr="00D22291">
        <w:rPr>
          <w:rFonts w:ascii="Arial" w:eastAsia="Calibri" w:hAnsi="Arial" w:cs="Arial"/>
          <w:b/>
          <w:bCs/>
          <w:sz w:val="20"/>
          <w:szCs w:val="20"/>
          <w:u w:val="single"/>
        </w:rPr>
        <w:t xml:space="preserve">: $ </w:t>
      </w:r>
      <w:r w:rsidR="00D22291" w:rsidRPr="00D22291">
        <w:rPr>
          <w:rFonts w:ascii="Arial" w:eastAsia="Calibri" w:hAnsi="Arial" w:cs="Arial"/>
          <w:b/>
          <w:bCs/>
          <w:sz w:val="20"/>
          <w:szCs w:val="20"/>
          <w:u w:val="single"/>
        </w:rPr>
        <w:t>312.387.075</w:t>
      </w:r>
    </w:p>
    <w:p w14:paraId="58CE156D" w14:textId="59CF6722" w:rsidR="00237528" w:rsidRPr="00D22291" w:rsidRDefault="00237528" w:rsidP="00237528">
      <w:pPr>
        <w:spacing w:line="264" w:lineRule="exact"/>
        <w:ind w:left="59" w:right="-20"/>
        <w:jc w:val="both"/>
        <w:rPr>
          <w:rFonts w:ascii="Arial" w:eastAsia="Calibri" w:hAnsi="Arial" w:cs="Arial"/>
          <w:sz w:val="20"/>
          <w:szCs w:val="20"/>
        </w:rPr>
      </w:pPr>
      <w:r w:rsidRPr="00D22291">
        <w:rPr>
          <w:rFonts w:ascii="Arial" w:eastAsia="Calibri" w:hAnsi="Arial" w:cs="Arial"/>
          <w:sz w:val="20"/>
          <w:szCs w:val="20"/>
        </w:rPr>
        <w:t>Se llega a esta valoración de la siguiente forma</w:t>
      </w:r>
    </w:p>
    <w:p w14:paraId="33EC49C8" w14:textId="77777777" w:rsidR="00D22291" w:rsidRPr="00D22291" w:rsidRDefault="00D22291" w:rsidP="00D22291">
      <w:pPr>
        <w:pStyle w:val="Prrafodelista"/>
        <w:widowControl w:val="0"/>
        <w:numPr>
          <w:ilvl w:val="0"/>
          <w:numId w:val="3"/>
        </w:numPr>
        <w:spacing w:line="264" w:lineRule="exact"/>
        <w:ind w:right="-20"/>
        <w:rPr>
          <w:rFonts w:ascii="Arial" w:eastAsia="Calibri" w:hAnsi="Arial" w:cs="Arial"/>
          <w:b/>
          <w:bCs/>
          <w:sz w:val="20"/>
          <w:szCs w:val="20"/>
        </w:rPr>
      </w:pPr>
      <w:r w:rsidRPr="00D22291">
        <w:rPr>
          <w:rFonts w:ascii="Arial" w:eastAsia="Calibri" w:hAnsi="Arial" w:cs="Arial"/>
          <w:b/>
          <w:bCs/>
          <w:sz w:val="20"/>
          <w:szCs w:val="20"/>
        </w:rPr>
        <w:t xml:space="preserve">PERJUICIOS MORALES: </w:t>
      </w:r>
      <w:r w:rsidRPr="00D22291">
        <w:rPr>
          <w:rFonts w:ascii="Arial" w:eastAsia="Calibri" w:hAnsi="Arial" w:cs="Arial"/>
          <w:sz w:val="20"/>
          <w:szCs w:val="20"/>
        </w:rPr>
        <w:t>Se reconoce la suma de 1050 SMLMV equivalente a la fecha del informe a la suma de $</w:t>
      </w:r>
      <w:r w:rsidRPr="00D22291">
        <w:rPr>
          <w:rFonts w:ascii="Arial" w:hAnsi="Arial" w:cs="Arial"/>
          <w:sz w:val="20"/>
          <w:szCs w:val="20"/>
        </w:rPr>
        <w:t xml:space="preserve"> </w:t>
      </w:r>
      <w:r w:rsidRPr="00D22291">
        <w:rPr>
          <w:rFonts w:ascii="Arial" w:eastAsia="Calibri" w:hAnsi="Arial" w:cs="Arial"/>
          <w:sz w:val="20"/>
          <w:szCs w:val="20"/>
        </w:rPr>
        <w:t>1.494.675.000, distribuidos de la siguiente manera:</w:t>
      </w:r>
    </w:p>
    <w:p w14:paraId="0AD75A59"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Plácida María Quiñones Cortés (Cónyuge): 100 SMLMV</w:t>
      </w:r>
    </w:p>
    <w:p w14:paraId="02B1AFE6"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 xml:space="preserve">Darwin Daniel Quiñones </w:t>
      </w:r>
      <w:proofErr w:type="spellStart"/>
      <w:r w:rsidRPr="00D22291">
        <w:rPr>
          <w:rFonts w:ascii="Arial" w:eastAsia="Calibri" w:hAnsi="Arial" w:cs="Arial"/>
          <w:sz w:val="20"/>
          <w:szCs w:val="20"/>
        </w:rPr>
        <w:t>Quiñones</w:t>
      </w:r>
      <w:proofErr w:type="spellEnd"/>
      <w:r w:rsidRPr="00D22291">
        <w:rPr>
          <w:rFonts w:ascii="Arial" w:eastAsia="Calibri" w:hAnsi="Arial" w:cs="Arial"/>
          <w:sz w:val="20"/>
          <w:szCs w:val="20"/>
        </w:rPr>
        <w:t xml:space="preserve"> (Hijo): 100 SMLMV</w:t>
      </w:r>
    </w:p>
    <w:p w14:paraId="75B5BA6E"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proofErr w:type="spellStart"/>
      <w:r w:rsidRPr="00D22291">
        <w:rPr>
          <w:rFonts w:ascii="Arial" w:eastAsia="Calibri" w:hAnsi="Arial" w:cs="Arial"/>
          <w:sz w:val="20"/>
          <w:szCs w:val="20"/>
        </w:rPr>
        <w:t>Nasli</w:t>
      </w:r>
      <w:proofErr w:type="spellEnd"/>
      <w:r w:rsidRPr="00D22291">
        <w:rPr>
          <w:rFonts w:ascii="Arial" w:eastAsia="Calibri" w:hAnsi="Arial" w:cs="Arial"/>
          <w:sz w:val="20"/>
          <w:szCs w:val="20"/>
        </w:rPr>
        <w:t xml:space="preserve"> Julieth Quiñones </w:t>
      </w:r>
      <w:proofErr w:type="spellStart"/>
      <w:r w:rsidRPr="00D22291">
        <w:rPr>
          <w:rFonts w:ascii="Arial" w:eastAsia="Calibri" w:hAnsi="Arial" w:cs="Arial"/>
          <w:sz w:val="20"/>
          <w:szCs w:val="20"/>
        </w:rPr>
        <w:t>Quiñones</w:t>
      </w:r>
      <w:proofErr w:type="spellEnd"/>
      <w:r w:rsidRPr="00D22291">
        <w:rPr>
          <w:rFonts w:ascii="Arial" w:eastAsia="Calibri" w:hAnsi="Arial" w:cs="Arial"/>
          <w:sz w:val="20"/>
          <w:szCs w:val="20"/>
        </w:rPr>
        <w:t xml:space="preserve"> (Hijo): 100 SMLMV</w:t>
      </w:r>
    </w:p>
    <w:p w14:paraId="57BE10C9"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Jorge Santiago Quiñones Ortiz (Hijo): 100 SMLMV</w:t>
      </w:r>
    </w:p>
    <w:p w14:paraId="3196E57B"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proofErr w:type="spellStart"/>
      <w:r w:rsidRPr="00D22291">
        <w:rPr>
          <w:rFonts w:ascii="Arial" w:eastAsia="Calibri" w:hAnsi="Arial" w:cs="Arial"/>
          <w:sz w:val="20"/>
          <w:szCs w:val="20"/>
        </w:rPr>
        <w:t>Bayron</w:t>
      </w:r>
      <w:proofErr w:type="spellEnd"/>
      <w:r w:rsidRPr="00D22291">
        <w:rPr>
          <w:rFonts w:ascii="Arial" w:eastAsia="Calibri" w:hAnsi="Arial" w:cs="Arial"/>
          <w:sz w:val="20"/>
          <w:szCs w:val="20"/>
        </w:rPr>
        <w:t xml:space="preserve"> Alexander Quiñones Ortiz (Hijo): 100 SMLMV</w:t>
      </w:r>
    </w:p>
    <w:p w14:paraId="04EE8032"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proofErr w:type="spellStart"/>
      <w:r w:rsidRPr="00D22291">
        <w:rPr>
          <w:rFonts w:ascii="Arial" w:eastAsia="Calibri" w:hAnsi="Arial" w:cs="Arial"/>
          <w:sz w:val="20"/>
          <w:szCs w:val="20"/>
        </w:rPr>
        <w:t>Sindy</w:t>
      </w:r>
      <w:proofErr w:type="spellEnd"/>
      <w:r w:rsidRPr="00D22291">
        <w:rPr>
          <w:rFonts w:ascii="Arial" w:eastAsia="Calibri" w:hAnsi="Arial" w:cs="Arial"/>
          <w:sz w:val="20"/>
          <w:szCs w:val="20"/>
        </w:rPr>
        <w:t xml:space="preserve"> Dayana Quiñones Ortiz (Hija): 100 SMLMV</w:t>
      </w:r>
    </w:p>
    <w:p w14:paraId="4CB8AFD7"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Luis Martín Tenorio Preciado (Hermano): 50 SMLMV</w:t>
      </w:r>
    </w:p>
    <w:p w14:paraId="643EB55A"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Delfina De Jesús Quiñones Preciado (Hermana): 50 SMLMV</w:t>
      </w:r>
    </w:p>
    <w:p w14:paraId="54C02D43"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Édgar Antonio Cabezas Preciado (Hermano): 50 SMLMV</w:t>
      </w:r>
    </w:p>
    <w:p w14:paraId="6B954EEF"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proofErr w:type="spellStart"/>
      <w:r w:rsidRPr="00D22291">
        <w:rPr>
          <w:rFonts w:ascii="Arial" w:eastAsia="Calibri" w:hAnsi="Arial" w:cs="Arial"/>
          <w:sz w:val="20"/>
          <w:szCs w:val="20"/>
        </w:rPr>
        <w:t>Zeila</w:t>
      </w:r>
      <w:proofErr w:type="spellEnd"/>
      <w:r w:rsidRPr="00D22291">
        <w:rPr>
          <w:rFonts w:ascii="Arial" w:eastAsia="Calibri" w:hAnsi="Arial" w:cs="Arial"/>
          <w:sz w:val="20"/>
          <w:szCs w:val="20"/>
        </w:rPr>
        <w:t xml:space="preserve"> </w:t>
      </w:r>
      <w:proofErr w:type="spellStart"/>
      <w:r w:rsidRPr="00D22291">
        <w:rPr>
          <w:rFonts w:ascii="Arial" w:eastAsia="Calibri" w:hAnsi="Arial" w:cs="Arial"/>
          <w:sz w:val="20"/>
          <w:szCs w:val="20"/>
        </w:rPr>
        <w:t>Marineya</w:t>
      </w:r>
      <w:proofErr w:type="spellEnd"/>
      <w:r w:rsidRPr="00D22291">
        <w:rPr>
          <w:rFonts w:ascii="Arial" w:eastAsia="Calibri" w:hAnsi="Arial" w:cs="Arial"/>
          <w:sz w:val="20"/>
          <w:szCs w:val="20"/>
        </w:rPr>
        <w:t xml:space="preserve"> Preciado Ordoñez (Hermana): 50 SMLMV</w:t>
      </w:r>
    </w:p>
    <w:p w14:paraId="5A0220BB"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 xml:space="preserve">Adriana </w:t>
      </w:r>
      <w:proofErr w:type="spellStart"/>
      <w:r w:rsidRPr="00D22291">
        <w:rPr>
          <w:rFonts w:ascii="Arial" w:eastAsia="Calibri" w:hAnsi="Arial" w:cs="Arial"/>
          <w:sz w:val="20"/>
          <w:szCs w:val="20"/>
        </w:rPr>
        <w:t>Marily</w:t>
      </w:r>
      <w:proofErr w:type="spellEnd"/>
      <w:r w:rsidRPr="00D22291">
        <w:rPr>
          <w:rFonts w:ascii="Arial" w:eastAsia="Calibri" w:hAnsi="Arial" w:cs="Arial"/>
          <w:sz w:val="20"/>
          <w:szCs w:val="20"/>
        </w:rPr>
        <w:t xml:space="preserve"> Preciado Angulo (Hermana): 50 SMLMV</w:t>
      </w:r>
    </w:p>
    <w:p w14:paraId="1EAE9428"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Edilma Marcela Preciado Wila (Hermana): 50 SMLMV</w:t>
      </w:r>
    </w:p>
    <w:p w14:paraId="2A767D6D"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José Melanio Preciado Angulo: (Hermano): 50 SMLMV</w:t>
      </w:r>
    </w:p>
    <w:p w14:paraId="1EB68F99"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Aura Preciado Cabezas (Hermano): 50 SMLMV</w:t>
      </w:r>
    </w:p>
    <w:p w14:paraId="5CAFA19E"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Víctor De La Cruz Preciado Angulo (Hermano): 50 SMLMV</w:t>
      </w:r>
    </w:p>
    <w:p w14:paraId="58D81DB6" w14:textId="77777777" w:rsidR="00D22291" w:rsidRPr="00D22291" w:rsidRDefault="00D22291" w:rsidP="00D22291">
      <w:pPr>
        <w:pStyle w:val="Prrafodelista"/>
        <w:widowControl w:val="0"/>
        <w:numPr>
          <w:ilvl w:val="0"/>
          <w:numId w:val="1"/>
        </w:numPr>
        <w:spacing w:line="264" w:lineRule="exact"/>
        <w:ind w:right="-20"/>
        <w:rPr>
          <w:rFonts w:ascii="Arial" w:eastAsia="Calibri" w:hAnsi="Arial" w:cs="Arial"/>
          <w:sz w:val="20"/>
          <w:szCs w:val="20"/>
        </w:rPr>
      </w:pPr>
      <w:r w:rsidRPr="00D22291">
        <w:rPr>
          <w:rFonts w:ascii="Arial" w:eastAsia="Calibri" w:hAnsi="Arial" w:cs="Arial"/>
          <w:sz w:val="20"/>
          <w:szCs w:val="20"/>
        </w:rPr>
        <w:t xml:space="preserve">Sonia </w:t>
      </w:r>
      <w:proofErr w:type="spellStart"/>
      <w:r w:rsidRPr="00D22291">
        <w:rPr>
          <w:rFonts w:ascii="Arial" w:eastAsia="Calibri" w:hAnsi="Arial" w:cs="Arial"/>
          <w:sz w:val="20"/>
          <w:szCs w:val="20"/>
        </w:rPr>
        <w:t>Dionicia</w:t>
      </w:r>
      <w:proofErr w:type="spellEnd"/>
      <w:r w:rsidRPr="00D22291">
        <w:rPr>
          <w:rFonts w:ascii="Arial" w:eastAsia="Calibri" w:hAnsi="Arial" w:cs="Arial"/>
          <w:sz w:val="20"/>
          <w:szCs w:val="20"/>
        </w:rPr>
        <w:t xml:space="preserve"> Ortiz Preciado: No se reconoce ninguna suma, debido a que, de acuerdo al escrito de demanda, se trata de una ex pareja de la víctima. Frente a la cual, no se presumen perjuicios morales. </w:t>
      </w:r>
    </w:p>
    <w:p w14:paraId="75F8BDDC" w14:textId="77777777" w:rsidR="00D22291" w:rsidRPr="00D22291" w:rsidRDefault="00D22291" w:rsidP="00D22291">
      <w:pPr>
        <w:pStyle w:val="Prrafodelista"/>
        <w:widowControl w:val="0"/>
        <w:numPr>
          <w:ilvl w:val="0"/>
          <w:numId w:val="3"/>
        </w:numPr>
        <w:spacing w:line="264" w:lineRule="exact"/>
        <w:ind w:right="-20"/>
        <w:rPr>
          <w:rFonts w:ascii="Arial" w:eastAsia="Calibri" w:hAnsi="Arial" w:cs="Arial"/>
          <w:b/>
          <w:bCs/>
          <w:sz w:val="20"/>
          <w:szCs w:val="20"/>
        </w:rPr>
      </w:pPr>
      <w:r w:rsidRPr="00D22291">
        <w:rPr>
          <w:rFonts w:ascii="Arial" w:eastAsia="Calibri" w:hAnsi="Arial" w:cs="Arial"/>
          <w:b/>
          <w:bCs/>
          <w:sz w:val="20"/>
          <w:szCs w:val="20"/>
        </w:rPr>
        <w:t xml:space="preserve">DAÑO A LA VIDA EN RELACIÓN: </w:t>
      </w:r>
      <w:r w:rsidRPr="00D22291">
        <w:rPr>
          <w:rFonts w:ascii="Arial" w:eastAsia="Calibri" w:hAnsi="Arial" w:cs="Arial"/>
          <w:sz w:val="20"/>
          <w:szCs w:val="20"/>
        </w:rPr>
        <w:t xml:space="preserve">No se reconoce ninguna suma de dinero. En primer lugar, no hace parte de la tipología indemnizatoria del Consejo de Estado. En todo caso, incluso en el hipotético caso de que la solicitud se refiera al daño a la salud, tampoco es procedente su reconocimiento, pues este tipo de indemnización se reconoce únicamente </w:t>
      </w:r>
      <w:r w:rsidRPr="00D22291">
        <w:rPr>
          <w:rFonts w:ascii="Arial" w:eastAsia="Calibri" w:hAnsi="Arial" w:cs="Arial"/>
          <w:sz w:val="20"/>
          <w:szCs w:val="20"/>
        </w:rPr>
        <w:lastRenderedPageBreak/>
        <w:t>en favor de la víctima directa, que en este caso murió.</w:t>
      </w:r>
    </w:p>
    <w:p w14:paraId="62988C98" w14:textId="77777777" w:rsidR="00D22291" w:rsidRPr="00D22291" w:rsidRDefault="00D22291" w:rsidP="00D22291">
      <w:pPr>
        <w:pStyle w:val="Prrafodelista"/>
        <w:spacing w:line="264" w:lineRule="exact"/>
        <w:ind w:right="-20"/>
        <w:rPr>
          <w:rFonts w:ascii="Arial" w:eastAsia="Calibri" w:hAnsi="Arial" w:cs="Arial"/>
          <w:b/>
          <w:bCs/>
          <w:sz w:val="20"/>
          <w:szCs w:val="20"/>
        </w:rPr>
      </w:pPr>
    </w:p>
    <w:p w14:paraId="11567DCF" w14:textId="77777777" w:rsidR="00D22291" w:rsidRPr="00D22291" w:rsidRDefault="00D22291" w:rsidP="00D22291">
      <w:pPr>
        <w:pStyle w:val="Prrafodelista"/>
        <w:widowControl w:val="0"/>
        <w:numPr>
          <w:ilvl w:val="0"/>
          <w:numId w:val="3"/>
        </w:numPr>
        <w:spacing w:line="264" w:lineRule="exact"/>
        <w:ind w:right="-20"/>
        <w:jc w:val="both"/>
        <w:rPr>
          <w:rFonts w:ascii="Arial" w:eastAsia="Calibri" w:hAnsi="Arial" w:cs="Arial"/>
          <w:b/>
          <w:bCs/>
          <w:sz w:val="20"/>
          <w:szCs w:val="20"/>
        </w:rPr>
      </w:pPr>
      <w:r w:rsidRPr="00D22291">
        <w:rPr>
          <w:rFonts w:ascii="Arial" w:eastAsia="Calibri" w:hAnsi="Arial" w:cs="Arial"/>
          <w:b/>
          <w:bCs/>
          <w:sz w:val="20"/>
          <w:szCs w:val="20"/>
        </w:rPr>
        <w:t xml:space="preserve">LUCRO CESANTE: </w:t>
      </w:r>
      <w:r w:rsidRPr="00D22291">
        <w:rPr>
          <w:rFonts w:ascii="Arial" w:eastAsia="Calibri" w:hAnsi="Arial" w:cs="Arial"/>
          <w:sz w:val="20"/>
          <w:szCs w:val="20"/>
        </w:rPr>
        <w:t>No se reconoce ninguna suma de dinero, debido a que no se aportaron pruebas que acrediten que en el momento de los hechos el señor MILTON JOSE QUIÑONES PRECIADO ejerciera alguna actividad económica.</w:t>
      </w:r>
      <w:r w:rsidRPr="00D22291">
        <w:rPr>
          <w:rFonts w:ascii="Arial" w:eastAsia="Calibri" w:hAnsi="Arial" w:cs="Arial"/>
          <w:b/>
          <w:bCs/>
          <w:sz w:val="20"/>
          <w:szCs w:val="20"/>
        </w:rPr>
        <w:t xml:space="preserve"> </w:t>
      </w:r>
    </w:p>
    <w:p w14:paraId="3E2538D4" w14:textId="77777777" w:rsidR="00D22291" w:rsidRPr="00D22291" w:rsidRDefault="00D22291" w:rsidP="00D22291">
      <w:pPr>
        <w:spacing w:after="0" w:line="264" w:lineRule="exact"/>
        <w:ind w:right="-20"/>
        <w:rPr>
          <w:rFonts w:ascii="Arial" w:eastAsia="Calibri" w:hAnsi="Arial" w:cs="Arial"/>
          <w:sz w:val="20"/>
          <w:szCs w:val="20"/>
        </w:rPr>
      </w:pPr>
    </w:p>
    <w:p w14:paraId="3501F38F" w14:textId="06D4BF59" w:rsidR="00D22291" w:rsidRPr="00D22291" w:rsidRDefault="00D22291" w:rsidP="00D22291">
      <w:pPr>
        <w:pStyle w:val="Prrafodelista"/>
        <w:numPr>
          <w:ilvl w:val="0"/>
          <w:numId w:val="3"/>
        </w:numPr>
        <w:spacing w:line="264" w:lineRule="exact"/>
        <w:ind w:right="-20"/>
        <w:rPr>
          <w:rFonts w:ascii="Arial" w:eastAsia="Calibri" w:hAnsi="Arial" w:cs="Arial"/>
          <w:b/>
          <w:bCs/>
          <w:sz w:val="20"/>
          <w:szCs w:val="20"/>
        </w:rPr>
      </w:pPr>
      <w:r w:rsidRPr="00D22291">
        <w:rPr>
          <w:rFonts w:ascii="Arial" w:eastAsia="Calibri" w:hAnsi="Arial" w:cs="Arial"/>
          <w:b/>
          <w:bCs/>
          <w:sz w:val="20"/>
          <w:szCs w:val="20"/>
        </w:rPr>
        <w:t>TOTAL PRETENSIONES RECONOCIDAS: $1.494.675.000</w:t>
      </w:r>
    </w:p>
    <w:p w14:paraId="26E986EC" w14:textId="77777777" w:rsidR="00D22291" w:rsidRPr="00D22291" w:rsidRDefault="00D22291" w:rsidP="00D22291">
      <w:pPr>
        <w:spacing w:after="0" w:line="264" w:lineRule="exact"/>
        <w:ind w:right="-20"/>
        <w:rPr>
          <w:rFonts w:ascii="Arial" w:eastAsia="Calibri" w:hAnsi="Arial" w:cs="Arial"/>
          <w:b/>
          <w:bCs/>
          <w:sz w:val="20"/>
          <w:szCs w:val="20"/>
        </w:rPr>
      </w:pPr>
    </w:p>
    <w:p w14:paraId="01256599" w14:textId="77777777" w:rsidR="00D22291" w:rsidRDefault="00D22291" w:rsidP="00D22291">
      <w:pPr>
        <w:pStyle w:val="Prrafodelista"/>
        <w:numPr>
          <w:ilvl w:val="0"/>
          <w:numId w:val="3"/>
        </w:numPr>
        <w:spacing w:line="264" w:lineRule="exact"/>
        <w:ind w:right="-20"/>
        <w:rPr>
          <w:rFonts w:ascii="Arial" w:eastAsia="Calibri" w:hAnsi="Arial" w:cs="Arial"/>
          <w:sz w:val="20"/>
          <w:szCs w:val="20"/>
        </w:rPr>
      </w:pPr>
      <w:r w:rsidRPr="00D22291">
        <w:rPr>
          <w:rFonts w:ascii="Arial" w:eastAsia="Calibri" w:hAnsi="Arial" w:cs="Arial"/>
          <w:b/>
          <w:bCs/>
          <w:sz w:val="20"/>
          <w:szCs w:val="20"/>
        </w:rPr>
        <w:t>DEDUCIBLE</w:t>
      </w:r>
      <w:r w:rsidRPr="00D22291">
        <w:rPr>
          <w:rFonts w:ascii="Arial" w:eastAsia="Calibri" w:hAnsi="Arial" w:cs="Arial"/>
          <w:b/>
          <w:bCs/>
          <w:sz w:val="20"/>
          <w:szCs w:val="20"/>
        </w:rPr>
        <w:t xml:space="preserve">: </w:t>
      </w:r>
      <w:r w:rsidRPr="00D22291">
        <w:rPr>
          <w:rFonts w:ascii="Arial" w:eastAsia="Calibri" w:hAnsi="Arial" w:cs="Arial"/>
          <w:sz w:val="20"/>
          <w:szCs w:val="20"/>
        </w:rPr>
        <w:t>5% de la pérdida equivalente a $74.733.750. Por lo que únicamente se encuentra a cargo de las coaseguradoras la suma de $1.419.941.250</w:t>
      </w:r>
    </w:p>
    <w:p w14:paraId="12B75D00" w14:textId="77777777" w:rsidR="00D22291" w:rsidRPr="00D22291" w:rsidRDefault="00D22291" w:rsidP="00D22291">
      <w:pPr>
        <w:pStyle w:val="Prrafodelista"/>
        <w:rPr>
          <w:rFonts w:ascii="Arial" w:hAnsi="Arial" w:cs="Arial"/>
          <w:b/>
          <w:bCs/>
          <w:sz w:val="20"/>
          <w:szCs w:val="20"/>
        </w:rPr>
      </w:pPr>
    </w:p>
    <w:p w14:paraId="416D7BE6" w14:textId="77777777" w:rsidR="00D22291" w:rsidRPr="00D22291" w:rsidRDefault="00D22291" w:rsidP="00D22291">
      <w:pPr>
        <w:pStyle w:val="Prrafodelista"/>
        <w:numPr>
          <w:ilvl w:val="0"/>
          <w:numId w:val="3"/>
        </w:numPr>
        <w:spacing w:line="264" w:lineRule="exact"/>
        <w:ind w:right="-20"/>
        <w:rPr>
          <w:rFonts w:ascii="Arial" w:eastAsia="Calibri" w:hAnsi="Arial" w:cs="Arial"/>
          <w:sz w:val="20"/>
          <w:szCs w:val="20"/>
        </w:rPr>
      </w:pPr>
      <w:r w:rsidRPr="00D22291">
        <w:rPr>
          <w:rFonts w:ascii="Arial" w:hAnsi="Arial" w:cs="Arial"/>
          <w:b/>
          <w:bCs/>
          <w:sz w:val="20"/>
          <w:szCs w:val="20"/>
        </w:rPr>
        <w:t xml:space="preserve">COASEGURO: </w:t>
      </w:r>
      <w:r w:rsidRPr="00D22291">
        <w:rPr>
          <w:rFonts w:ascii="Arial" w:hAnsi="Arial" w:cs="Arial"/>
          <w:sz w:val="20"/>
          <w:szCs w:val="20"/>
        </w:rPr>
        <w:t>La participación de Solidaria asciende al 22%</w:t>
      </w:r>
    </w:p>
    <w:p w14:paraId="20370232" w14:textId="77777777" w:rsidR="00D22291" w:rsidRPr="00D22291" w:rsidRDefault="00D22291" w:rsidP="00D22291">
      <w:pPr>
        <w:pStyle w:val="Prrafodelista"/>
        <w:rPr>
          <w:rFonts w:ascii="Arial" w:hAnsi="Arial" w:cs="Arial"/>
          <w:b/>
          <w:bCs/>
          <w:i/>
          <w:iCs/>
          <w:sz w:val="20"/>
          <w:szCs w:val="20"/>
        </w:rPr>
      </w:pPr>
    </w:p>
    <w:p w14:paraId="0E9C250E" w14:textId="2F6A5856" w:rsidR="00D22291" w:rsidRPr="00D22291" w:rsidRDefault="00D22291" w:rsidP="00D22291">
      <w:pPr>
        <w:pStyle w:val="Prrafodelista"/>
        <w:numPr>
          <w:ilvl w:val="0"/>
          <w:numId w:val="3"/>
        </w:numPr>
        <w:spacing w:line="264" w:lineRule="exact"/>
        <w:ind w:right="-20"/>
        <w:rPr>
          <w:rFonts w:ascii="Arial" w:eastAsia="Calibri" w:hAnsi="Arial" w:cs="Arial"/>
          <w:sz w:val="20"/>
          <w:szCs w:val="20"/>
        </w:rPr>
      </w:pPr>
      <w:r w:rsidRPr="00D22291">
        <w:rPr>
          <w:rFonts w:ascii="Arial" w:hAnsi="Arial" w:cs="Arial"/>
          <w:b/>
          <w:bCs/>
          <w:i/>
          <w:iCs/>
          <w:sz w:val="20"/>
          <w:szCs w:val="20"/>
        </w:rPr>
        <w:t xml:space="preserve">TOTAL EXPOSICIÓN ASEGURADORA SOLIDARIA:  </w:t>
      </w:r>
      <w:r w:rsidRPr="00D22291">
        <w:rPr>
          <w:rFonts w:ascii="Arial" w:hAnsi="Arial" w:cs="Arial"/>
          <w:sz w:val="20"/>
          <w:szCs w:val="20"/>
        </w:rPr>
        <w:t>$312.387.075</w:t>
      </w:r>
    </w:p>
    <w:p w14:paraId="08300A00" w14:textId="77777777" w:rsidR="00D22291" w:rsidRDefault="00D22291" w:rsidP="00237528">
      <w:pPr>
        <w:jc w:val="both"/>
        <w:rPr>
          <w:rFonts w:ascii="Arial" w:hAnsi="Arial" w:cs="Arial"/>
          <w:b/>
          <w:bCs/>
          <w:sz w:val="20"/>
          <w:szCs w:val="20"/>
        </w:rPr>
      </w:pPr>
    </w:p>
    <w:p w14:paraId="15A1B267" w14:textId="672B6E36" w:rsidR="00237528" w:rsidRPr="00D22291" w:rsidRDefault="00237528" w:rsidP="00237528">
      <w:pPr>
        <w:jc w:val="both"/>
        <w:rPr>
          <w:rFonts w:ascii="Arial" w:hAnsi="Arial" w:cs="Arial"/>
          <w:b/>
          <w:bCs/>
          <w:sz w:val="20"/>
          <w:szCs w:val="20"/>
        </w:rPr>
      </w:pPr>
      <w:r w:rsidRPr="00D22291">
        <w:rPr>
          <w:rFonts w:ascii="Arial" w:hAnsi="Arial" w:cs="Arial"/>
          <w:b/>
          <w:bCs/>
          <w:sz w:val="20"/>
          <w:szCs w:val="20"/>
        </w:rPr>
        <w:t xml:space="preserve">Calificación de la contingencia: </w:t>
      </w:r>
      <w:r w:rsidR="00394358" w:rsidRPr="00D22291">
        <w:rPr>
          <w:rFonts w:ascii="Arial" w:hAnsi="Arial" w:cs="Arial"/>
          <w:b/>
          <w:bCs/>
          <w:sz w:val="20"/>
          <w:szCs w:val="20"/>
        </w:rPr>
        <w:t>EVENTUAL</w:t>
      </w:r>
    </w:p>
    <w:p w14:paraId="016CDDCF" w14:textId="77777777" w:rsidR="00D22291" w:rsidRDefault="00D22291" w:rsidP="00D22291">
      <w:pPr>
        <w:tabs>
          <w:tab w:val="left" w:pos="3520"/>
        </w:tabs>
        <w:spacing w:after="0" w:line="264" w:lineRule="exact"/>
        <w:ind w:left="59" w:right="-20"/>
        <w:jc w:val="both"/>
        <w:rPr>
          <w:rFonts w:ascii="Calibri" w:eastAsia="Calibri" w:hAnsi="Calibri" w:cs="Calibri"/>
        </w:rPr>
      </w:pPr>
      <w:r w:rsidRPr="00120784">
        <w:rPr>
          <w:rFonts w:ascii="Calibri" w:eastAsia="Calibri" w:hAnsi="Calibri" w:cs="Calibri"/>
        </w:rPr>
        <w:t xml:space="preserve">La calificación de la contingencia es </w:t>
      </w:r>
      <w:r>
        <w:rPr>
          <w:rFonts w:ascii="Calibri" w:eastAsia="Calibri" w:hAnsi="Calibri" w:cs="Calibri"/>
        </w:rPr>
        <w:t xml:space="preserve">eventual porque si bien la Póliza presta cobertura material y temporal, la responsabilidad del asegurado, se encuentra sujeta al debate probatorio. </w:t>
      </w:r>
    </w:p>
    <w:p w14:paraId="488607F8" w14:textId="77777777" w:rsidR="00D22291" w:rsidRDefault="00D22291" w:rsidP="00D22291">
      <w:pPr>
        <w:tabs>
          <w:tab w:val="left" w:pos="3520"/>
        </w:tabs>
        <w:spacing w:after="0" w:line="264" w:lineRule="exact"/>
        <w:ind w:left="59" w:right="-20"/>
        <w:jc w:val="both"/>
        <w:rPr>
          <w:rFonts w:ascii="Calibri" w:eastAsia="Calibri" w:hAnsi="Calibri" w:cs="Calibri"/>
        </w:rPr>
      </w:pPr>
    </w:p>
    <w:p w14:paraId="58EC90A8" w14:textId="77777777" w:rsidR="00D22291" w:rsidRDefault="00D22291" w:rsidP="00D22291">
      <w:pPr>
        <w:tabs>
          <w:tab w:val="left" w:pos="3520"/>
        </w:tabs>
        <w:spacing w:after="0" w:line="264" w:lineRule="exact"/>
        <w:ind w:left="59" w:right="-20"/>
        <w:jc w:val="both"/>
        <w:rPr>
          <w:rFonts w:ascii="Calibri" w:eastAsia="Calibri" w:hAnsi="Calibri" w:cs="Calibri"/>
        </w:rPr>
      </w:pPr>
      <w:r>
        <w:rPr>
          <w:rFonts w:ascii="Calibri" w:eastAsia="Calibri" w:hAnsi="Calibri" w:cs="Calibri"/>
        </w:rPr>
        <w:t xml:space="preserve">Respecto a la Póliza de Responsabilidad Civil Extracontractual No. </w:t>
      </w:r>
      <w:r w:rsidRPr="00026BF6">
        <w:rPr>
          <w:rFonts w:ascii="Calibri" w:eastAsia="Calibri" w:hAnsi="Calibri" w:cs="Calibri"/>
        </w:rPr>
        <w:t>1507222001226</w:t>
      </w:r>
      <w:r>
        <w:rPr>
          <w:rFonts w:ascii="Calibri" w:eastAsia="Calibri" w:hAnsi="Calibri" w:cs="Calibri"/>
        </w:rPr>
        <w:t xml:space="preserve">, debe indicarse que ofrece cobertura material, al encontrarse amparada la responsabilidad civil extracontractual en la que incurra el Distrito Especial de Santiago de Cali. Frente a la cobertura temporal, la Póliza se pactó bajo la modalidad de ocurrencia, por lo que </w:t>
      </w:r>
      <w:r w:rsidRPr="00120784">
        <w:rPr>
          <w:rFonts w:ascii="Calibri" w:eastAsia="Calibri" w:hAnsi="Calibri" w:cs="Calibri"/>
        </w:rPr>
        <w:t>cubre</w:t>
      </w:r>
      <w:r>
        <w:rPr>
          <w:rFonts w:ascii="Calibri" w:eastAsia="Calibri" w:hAnsi="Calibri" w:cs="Calibri"/>
        </w:rPr>
        <w:t xml:space="preserve"> los hechos que tengan lugar durante su vigencia, que corrió desde el 30 de abril de 2022 hasta el 1 de diciembre de 2022. En el caso concreto, los hechos tuvieron lugar el 15 de mayo de 2022, es decir, durante el periodo de vigencia de la Póliza, razón por la cual, ésta ofrece cobertura temporal. </w:t>
      </w:r>
    </w:p>
    <w:p w14:paraId="067660FD" w14:textId="77777777" w:rsidR="00D22291" w:rsidRDefault="00D22291" w:rsidP="00D22291">
      <w:pPr>
        <w:tabs>
          <w:tab w:val="left" w:pos="3520"/>
        </w:tabs>
        <w:spacing w:after="0" w:line="264" w:lineRule="exact"/>
        <w:ind w:left="59" w:right="-20"/>
        <w:jc w:val="both"/>
        <w:rPr>
          <w:rFonts w:ascii="Calibri" w:eastAsia="Calibri" w:hAnsi="Calibri" w:cs="Calibri"/>
        </w:rPr>
      </w:pPr>
    </w:p>
    <w:p w14:paraId="0673893A" w14:textId="77777777" w:rsidR="00D22291" w:rsidRPr="00120784" w:rsidRDefault="00D22291" w:rsidP="00D22291">
      <w:pPr>
        <w:tabs>
          <w:tab w:val="left" w:pos="3520"/>
        </w:tabs>
        <w:spacing w:after="0" w:line="264" w:lineRule="exact"/>
        <w:ind w:left="59" w:right="-20"/>
        <w:jc w:val="both"/>
        <w:rPr>
          <w:rFonts w:ascii="Calibri" w:eastAsia="Calibri" w:hAnsi="Calibri" w:cs="Calibri"/>
        </w:rPr>
      </w:pPr>
      <w:r>
        <w:rPr>
          <w:rFonts w:ascii="Calibri" w:eastAsia="Calibri" w:hAnsi="Calibri" w:cs="Calibri"/>
        </w:rPr>
        <w:t xml:space="preserve">Respecto a la responsabilidad del asegurado: Distrito Especial de Santiago de Cali; se indica que, por un lado, existen pruebas favorables al asegurado, concretamente, el IPAT </w:t>
      </w:r>
      <w:r w:rsidRPr="007D3F43">
        <w:rPr>
          <w:rFonts w:ascii="Calibri" w:eastAsia="Calibri" w:hAnsi="Calibri" w:cs="Calibri"/>
        </w:rPr>
        <w:t>No. A001403305</w:t>
      </w:r>
      <w:r>
        <w:rPr>
          <w:rFonts w:ascii="Calibri" w:eastAsia="Calibri" w:hAnsi="Calibri" w:cs="Calibri"/>
        </w:rPr>
        <w:t xml:space="preserve"> y el Formulario de Policía Judicial FPJ-3 aportados con la demanda, en donde se indica como hipótesis del accidente de tránsito, la impericia del conductor; al haber colisionado con el sardinel de la vía pese a la presencia de línea continua amarilla que delimitaba el espacio del carril de circulación. No obstante, con la demanda, se aportó un Dictamen de Reconstrucción de Accidente de Tránsito, que presenta otra hipótesis: la falta de señalización de la vía, atendiendo a que se estaban realizando obras a un costado de ésta. Además de lo anterior, con la demanda se solicitó la declaración de parte del señor LUIS MARTÍN TENORIO PRECIADO, que estaba presente en el lugar de los hechos; así como varios testigos que se pronunciarán sobre el estado de la vía al momento de los hechos.  Siendo así, la decisión final dependerá del debate probatorio. Lo anterior, sin perjuicio del carácter contingente del proceso.  </w:t>
      </w:r>
    </w:p>
    <w:p w14:paraId="34A0D171" w14:textId="77777777" w:rsidR="00237528" w:rsidRPr="00D22291" w:rsidRDefault="00237528" w:rsidP="00237528">
      <w:pPr>
        <w:jc w:val="both"/>
        <w:rPr>
          <w:rFonts w:ascii="Arial" w:hAnsi="Arial" w:cs="Arial"/>
          <w:b/>
          <w:bCs/>
          <w:sz w:val="20"/>
          <w:szCs w:val="20"/>
        </w:rPr>
      </w:pPr>
    </w:p>
    <w:sectPr w:rsidR="00237528" w:rsidRPr="00D222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4369"/>
    <w:multiLevelType w:val="hybridMultilevel"/>
    <w:tmpl w:val="B176893A"/>
    <w:lvl w:ilvl="0" w:tplc="E638A83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6551579">
    <w:abstractNumId w:val="1"/>
  </w:num>
  <w:num w:numId="2" w16cid:durableId="1183588719">
    <w:abstractNumId w:val="2"/>
  </w:num>
  <w:num w:numId="3" w16cid:durableId="11799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1E7713"/>
    <w:rsid w:val="0023604D"/>
    <w:rsid w:val="00237528"/>
    <w:rsid w:val="002C2FC1"/>
    <w:rsid w:val="00394358"/>
    <w:rsid w:val="003E69F2"/>
    <w:rsid w:val="0059388B"/>
    <w:rsid w:val="008C4C99"/>
    <w:rsid w:val="008D67E9"/>
    <w:rsid w:val="009142A8"/>
    <w:rsid w:val="0094751A"/>
    <w:rsid w:val="00AE329B"/>
    <w:rsid w:val="00B0444E"/>
    <w:rsid w:val="00BF0E59"/>
    <w:rsid w:val="00CB57B3"/>
    <w:rsid w:val="00D22291"/>
    <w:rsid w:val="00E40014"/>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28"/>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8</cp:revision>
  <dcterms:created xsi:type="dcterms:W3CDTF">2024-07-04T05:08:00Z</dcterms:created>
  <dcterms:modified xsi:type="dcterms:W3CDTF">2025-06-25T12:32:00Z</dcterms:modified>
</cp:coreProperties>
</file>