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F91F0A" w:rsidRDefault="001C281E" w:rsidP="00452DC5">
      <w:pPr>
        <w:spacing w:line="276" w:lineRule="auto"/>
        <w:jc w:val="center"/>
        <w:rPr>
          <w:rFonts w:ascii="Arial" w:hAnsi="Arial" w:cs="Arial"/>
          <w:b/>
          <w:bCs/>
          <w:sz w:val="20"/>
          <w:szCs w:val="20"/>
        </w:rPr>
      </w:pPr>
      <w:r w:rsidRPr="00F91F0A">
        <w:rPr>
          <w:rFonts w:ascii="Arial" w:hAnsi="Arial" w:cs="Arial"/>
          <w:b/>
          <w:bCs/>
          <w:sz w:val="20"/>
          <w:szCs w:val="20"/>
        </w:rPr>
        <w:t>FORMATO PROCESO NUEVO – RESUMEN INICIAL</w:t>
      </w:r>
    </w:p>
    <w:p w14:paraId="7AA9A987" w14:textId="05731379" w:rsidR="00B977DA" w:rsidRPr="00F91F0A" w:rsidRDefault="00B977DA" w:rsidP="00452DC5">
      <w:pPr>
        <w:spacing w:line="276" w:lineRule="auto"/>
        <w:jc w:val="center"/>
        <w:rPr>
          <w:rFonts w:ascii="Arial" w:hAnsi="Arial" w:cs="Arial"/>
          <w:b/>
          <w:bCs/>
          <w:sz w:val="20"/>
          <w:szCs w:val="20"/>
        </w:rPr>
      </w:pPr>
      <w:r w:rsidRPr="00F91F0A">
        <w:rPr>
          <w:rFonts w:ascii="Arial" w:hAnsi="Arial" w:cs="Arial"/>
          <w:b/>
          <w:bCs/>
          <w:sz w:val="20"/>
          <w:szCs w:val="20"/>
        </w:rPr>
        <w:br/>
      </w:r>
    </w:p>
    <w:p w14:paraId="45A36DE7" w14:textId="0A118AF8" w:rsidR="00672B99" w:rsidRPr="00F91F0A" w:rsidRDefault="001C281E" w:rsidP="00452DC5">
      <w:pPr>
        <w:spacing w:line="276" w:lineRule="auto"/>
        <w:rPr>
          <w:rFonts w:ascii="Arial" w:hAnsi="Arial" w:cs="Arial"/>
          <w:sz w:val="20"/>
          <w:szCs w:val="20"/>
        </w:rPr>
      </w:pPr>
      <w:r w:rsidRPr="00F91F0A">
        <w:rPr>
          <w:rFonts w:ascii="Arial" w:hAnsi="Arial" w:cs="Arial"/>
          <w:b/>
          <w:bCs/>
          <w:sz w:val="20"/>
          <w:szCs w:val="20"/>
        </w:rPr>
        <w:t>Destina</w:t>
      </w:r>
      <w:r w:rsidR="00734BD8" w:rsidRPr="00F91F0A">
        <w:rPr>
          <w:rFonts w:ascii="Arial" w:hAnsi="Arial" w:cs="Arial"/>
          <w:b/>
          <w:bCs/>
          <w:sz w:val="20"/>
          <w:szCs w:val="20"/>
        </w:rPr>
        <w:t>ta</w:t>
      </w:r>
      <w:r w:rsidRPr="00F91F0A">
        <w:rPr>
          <w:rFonts w:ascii="Arial" w:hAnsi="Arial" w:cs="Arial"/>
          <w:b/>
          <w:bCs/>
          <w:sz w:val="20"/>
          <w:szCs w:val="20"/>
        </w:rPr>
        <w:t xml:space="preserve">rio: </w:t>
      </w:r>
      <w:r w:rsidRPr="00F91F0A">
        <w:rPr>
          <w:rFonts w:ascii="Arial" w:hAnsi="Arial" w:cs="Arial"/>
          <w:b/>
          <w:bCs/>
          <w:sz w:val="20"/>
          <w:szCs w:val="20"/>
        </w:rPr>
        <w:tab/>
      </w:r>
      <w:r w:rsidRPr="00F91F0A">
        <w:rPr>
          <w:rFonts w:ascii="Arial" w:hAnsi="Arial" w:cs="Arial"/>
          <w:b/>
          <w:bCs/>
          <w:sz w:val="20"/>
          <w:szCs w:val="20"/>
        </w:rPr>
        <w:tab/>
      </w:r>
      <w:r w:rsidR="000401A8" w:rsidRPr="00F91F0A">
        <w:rPr>
          <w:rFonts w:ascii="Arial" w:hAnsi="Arial" w:cs="Arial"/>
          <w:b/>
          <w:bCs/>
          <w:sz w:val="20"/>
          <w:szCs w:val="20"/>
        </w:rPr>
        <w:tab/>
      </w:r>
      <w:r w:rsidR="000401A8" w:rsidRPr="00F91F0A">
        <w:rPr>
          <w:rFonts w:ascii="Arial" w:hAnsi="Arial" w:cs="Arial"/>
          <w:b/>
          <w:bCs/>
          <w:sz w:val="20"/>
          <w:szCs w:val="20"/>
        </w:rPr>
        <w:tab/>
      </w:r>
      <w:r w:rsidRPr="00F91F0A">
        <w:rPr>
          <w:rFonts w:ascii="Arial" w:hAnsi="Arial" w:cs="Arial"/>
          <w:sz w:val="20"/>
          <w:szCs w:val="20"/>
        </w:rPr>
        <w:t xml:space="preserve">Dirección </w:t>
      </w:r>
      <w:r w:rsidR="00F94E43" w:rsidRPr="00F91F0A">
        <w:rPr>
          <w:rFonts w:ascii="Arial" w:hAnsi="Arial" w:cs="Arial"/>
          <w:sz w:val="20"/>
          <w:szCs w:val="20"/>
        </w:rPr>
        <w:t>Asuntos Legales</w:t>
      </w:r>
      <w:r w:rsidRPr="00F91F0A">
        <w:rPr>
          <w:rFonts w:ascii="Arial" w:hAnsi="Arial" w:cs="Arial"/>
          <w:sz w:val="20"/>
          <w:szCs w:val="20"/>
        </w:rPr>
        <w:t xml:space="preserve"> </w:t>
      </w:r>
      <w:r w:rsidR="004803E3" w:rsidRPr="00F91F0A">
        <w:rPr>
          <w:rFonts w:ascii="Arial" w:hAnsi="Arial" w:cs="Arial"/>
          <w:sz w:val="20"/>
          <w:szCs w:val="20"/>
        </w:rPr>
        <w:t xml:space="preserve">Occidente </w:t>
      </w:r>
    </w:p>
    <w:p w14:paraId="2B6C631D" w14:textId="437831F2" w:rsidR="000401A8" w:rsidRPr="00F91F0A" w:rsidRDefault="000401A8" w:rsidP="00452DC5">
      <w:pPr>
        <w:spacing w:line="276" w:lineRule="auto"/>
        <w:rPr>
          <w:rFonts w:ascii="Arial" w:hAnsi="Arial" w:cs="Arial"/>
          <w:sz w:val="20"/>
          <w:szCs w:val="20"/>
        </w:rPr>
      </w:pPr>
      <w:r w:rsidRPr="00F91F0A">
        <w:rPr>
          <w:rFonts w:ascii="Arial" w:hAnsi="Arial" w:cs="Arial"/>
          <w:b/>
          <w:bCs/>
          <w:sz w:val="20"/>
          <w:szCs w:val="20"/>
        </w:rPr>
        <w:t>Abogado externo responsable:</w:t>
      </w:r>
      <w:r w:rsidRPr="00F91F0A">
        <w:rPr>
          <w:rFonts w:ascii="Arial" w:hAnsi="Arial" w:cs="Arial"/>
          <w:b/>
          <w:bCs/>
          <w:sz w:val="20"/>
          <w:szCs w:val="20"/>
        </w:rPr>
        <w:tab/>
      </w:r>
      <w:r w:rsidR="007C75A6" w:rsidRPr="00F91F0A">
        <w:rPr>
          <w:rFonts w:ascii="Arial" w:hAnsi="Arial" w:cs="Arial"/>
          <w:iCs/>
          <w:sz w:val="20"/>
          <w:szCs w:val="20"/>
          <w:lang w:val="es-ES"/>
        </w:rPr>
        <w:t>GHA</w:t>
      </w:r>
    </w:p>
    <w:p w14:paraId="3A8F7659" w14:textId="77B1801D" w:rsidR="00672B99" w:rsidRPr="00F91F0A" w:rsidRDefault="00672B99" w:rsidP="00452DC5">
      <w:pPr>
        <w:spacing w:line="276" w:lineRule="auto"/>
        <w:rPr>
          <w:rFonts w:ascii="Arial" w:hAnsi="Arial" w:cs="Arial"/>
          <w:sz w:val="20"/>
          <w:szCs w:val="20"/>
        </w:rPr>
      </w:pPr>
    </w:p>
    <w:p w14:paraId="23433B3B" w14:textId="77777777" w:rsidR="00734BD8" w:rsidRPr="00F91F0A" w:rsidRDefault="00734BD8" w:rsidP="00452DC5">
      <w:pPr>
        <w:spacing w:line="276" w:lineRule="auto"/>
        <w:rPr>
          <w:rFonts w:ascii="Arial" w:hAnsi="Arial" w:cs="Arial"/>
          <w:sz w:val="20"/>
          <w:szCs w:val="20"/>
        </w:rPr>
      </w:pPr>
    </w:p>
    <w:p w14:paraId="40E0D8BA" w14:textId="501DD362" w:rsidR="00672B99" w:rsidRPr="00F91F0A" w:rsidRDefault="00247E08" w:rsidP="00452DC5">
      <w:pPr>
        <w:spacing w:line="276" w:lineRule="auto"/>
        <w:rPr>
          <w:rFonts w:ascii="Arial" w:hAnsi="Arial" w:cs="Arial"/>
          <w:b/>
          <w:bCs/>
          <w:sz w:val="20"/>
          <w:szCs w:val="20"/>
        </w:rPr>
      </w:pPr>
      <w:r w:rsidRPr="00F91F0A">
        <w:rPr>
          <w:rFonts w:ascii="Arial" w:hAnsi="Arial" w:cs="Arial"/>
          <w:b/>
          <w:bCs/>
          <w:sz w:val="20"/>
          <w:szCs w:val="20"/>
        </w:rPr>
        <w:t xml:space="preserve">Datos </w:t>
      </w:r>
      <w:r w:rsidR="00FF66F3" w:rsidRPr="00F91F0A">
        <w:rPr>
          <w:rFonts w:ascii="Arial" w:hAnsi="Arial" w:cs="Arial"/>
          <w:b/>
          <w:bCs/>
          <w:sz w:val="20"/>
          <w:szCs w:val="20"/>
        </w:rPr>
        <w:t>generales del</w:t>
      </w:r>
      <w:r w:rsidRPr="00F91F0A">
        <w:rPr>
          <w:rFonts w:ascii="Arial" w:hAnsi="Arial" w:cs="Arial"/>
          <w:b/>
          <w:bCs/>
          <w:sz w:val="20"/>
          <w:szCs w:val="20"/>
        </w:rPr>
        <w:t xml:space="preserve"> proceso</w:t>
      </w:r>
    </w:p>
    <w:p w14:paraId="509B5BEA" w14:textId="77777777" w:rsidR="00E028BD" w:rsidRPr="00F91F0A" w:rsidRDefault="00E028BD" w:rsidP="00452DC5">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F91F0A" w14:paraId="361F998D" w14:textId="77777777" w:rsidTr="008F3801">
        <w:trPr>
          <w:trHeight w:val="340"/>
        </w:trPr>
        <w:tc>
          <w:tcPr>
            <w:tcW w:w="2338" w:type="dxa"/>
            <w:shd w:val="clear" w:color="auto" w:fill="0033A0"/>
            <w:vAlign w:val="center"/>
          </w:tcPr>
          <w:p w14:paraId="39820FDF" w14:textId="2DE0FE6C" w:rsidR="00AB7CA0" w:rsidRPr="00F91F0A" w:rsidRDefault="006F1BB7" w:rsidP="00452DC5">
            <w:pPr>
              <w:spacing w:line="276" w:lineRule="auto"/>
              <w:rPr>
                <w:rFonts w:ascii="Arial" w:hAnsi="Arial" w:cs="Arial"/>
                <w:b/>
                <w:sz w:val="20"/>
                <w:szCs w:val="20"/>
              </w:rPr>
            </w:pPr>
            <w:r w:rsidRPr="00F91F0A">
              <w:rPr>
                <w:rFonts w:ascii="Arial" w:hAnsi="Arial" w:cs="Arial"/>
                <w:b/>
                <w:sz w:val="20"/>
                <w:szCs w:val="20"/>
              </w:rPr>
              <w:t>Compañía vinculada</w:t>
            </w:r>
          </w:p>
        </w:tc>
        <w:tc>
          <w:tcPr>
            <w:tcW w:w="7512" w:type="dxa"/>
            <w:gridSpan w:val="3"/>
            <w:vAlign w:val="center"/>
          </w:tcPr>
          <w:p w14:paraId="4DA7B6E0" w14:textId="65DBE824" w:rsidR="00AB7CA0" w:rsidRPr="00F91F0A" w:rsidRDefault="004B709D" w:rsidP="00452DC5">
            <w:pPr>
              <w:pStyle w:val="Ttulo4"/>
              <w:spacing w:line="276" w:lineRule="auto"/>
              <w:rPr>
                <w:rFonts w:ascii="Arial" w:hAnsi="Arial" w:cs="Arial"/>
                <w:b w:val="0"/>
                <w:iCs/>
                <w:sz w:val="20"/>
              </w:rPr>
            </w:pPr>
            <w:r w:rsidRPr="00F91F0A">
              <w:rPr>
                <w:rFonts w:ascii="Arial" w:hAnsi="Arial" w:cs="Arial"/>
                <w:b w:val="0"/>
                <w:iCs/>
                <w:sz w:val="20"/>
              </w:rPr>
              <w:t xml:space="preserve">SEGUROS </w:t>
            </w:r>
            <w:r w:rsidR="009534D1" w:rsidRPr="00F91F0A">
              <w:rPr>
                <w:rFonts w:ascii="Arial" w:hAnsi="Arial" w:cs="Arial"/>
                <w:b w:val="0"/>
                <w:iCs/>
                <w:sz w:val="20"/>
              </w:rPr>
              <w:t>GENERALES</w:t>
            </w:r>
            <w:r w:rsidRPr="00F91F0A">
              <w:rPr>
                <w:rFonts w:ascii="Arial" w:hAnsi="Arial" w:cs="Arial"/>
                <w:b w:val="0"/>
                <w:iCs/>
                <w:sz w:val="20"/>
              </w:rPr>
              <w:t xml:space="preserve"> SURAMERICANA S.A. </w:t>
            </w:r>
          </w:p>
        </w:tc>
      </w:tr>
      <w:tr w:rsidR="00611F74" w:rsidRPr="00F91F0A" w14:paraId="1D5C2B9E" w14:textId="77777777" w:rsidTr="008F3801">
        <w:trPr>
          <w:trHeight w:val="340"/>
        </w:trPr>
        <w:tc>
          <w:tcPr>
            <w:tcW w:w="2338" w:type="dxa"/>
            <w:shd w:val="clear" w:color="auto" w:fill="0033A0"/>
            <w:vAlign w:val="center"/>
          </w:tcPr>
          <w:p w14:paraId="71926149" w14:textId="08884289" w:rsidR="00611F74" w:rsidRPr="00F91F0A" w:rsidRDefault="00611F74" w:rsidP="00452DC5">
            <w:pPr>
              <w:spacing w:line="276" w:lineRule="auto"/>
              <w:rPr>
                <w:rFonts w:ascii="Arial" w:hAnsi="Arial" w:cs="Arial"/>
                <w:b/>
                <w:sz w:val="20"/>
                <w:szCs w:val="20"/>
              </w:rPr>
            </w:pPr>
            <w:r w:rsidRPr="00F91F0A">
              <w:rPr>
                <w:rFonts w:ascii="Arial" w:hAnsi="Arial" w:cs="Arial"/>
                <w:b/>
                <w:sz w:val="20"/>
                <w:szCs w:val="20"/>
              </w:rPr>
              <w:t>Tipo de vinculación</w:t>
            </w:r>
          </w:p>
        </w:tc>
        <w:tc>
          <w:tcPr>
            <w:tcW w:w="7512" w:type="dxa"/>
            <w:gridSpan w:val="3"/>
            <w:vAlign w:val="center"/>
          </w:tcPr>
          <w:p w14:paraId="17AB2FF9" w14:textId="137EC35A" w:rsidR="00611F74" w:rsidRPr="00F91F0A" w:rsidRDefault="007C75A6" w:rsidP="00452DC5">
            <w:pPr>
              <w:pStyle w:val="Ttulo4"/>
              <w:spacing w:line="276" w:lineRule="auto"/>
              <w:rPr>
                <w:rFonts w:ascii="Arial" w:hAnsi="Arial" w:cs="Arial"/>
                <w:b w:val="0"/>
                <w:iCs/>
                <w:sz w:val="20"/>
              </w:rPr>
            </w:pPr>
            <w:r w:rsidRPr="00F91F0A">
              <w:rPr>
                <w:rFonts w:ascii="Arial" w:hAnsi="Arial" w:cs="Arial"/>
                <w:b w:val="0"/>
                <w:iCs/>
                <w:sz w:val="20"/>
              </w:rPr>
              <w:t>Demanda Directa</w:t>
            </w:r>
            <w:r w:rsidR="009534D1" w:rsidRPr="00F91F0A">
              <w:rPr>
                <w:rFonts w:ascii="Arial" w:hAnsi="Arial" w:cs="Arial"/>
                <w:b w:val="0"/>
                <w:iCs/>
                <w:sz w:val="20"/>
              </w:rPr>
              <w:t xml:space="preserve">  </w:t>
            </w:r>
            <w:r w:rsidR="004B709D" w:rsidRPr="00F91F0A">
              <w:rPr>
                <w:rFonts w:ascii="Arial" w:hAnsi="Arial" w:cs="Arial"/>
                <w:b w:val="0"/>
                <w:iCs/>
                <w:sz w:val="20"/>
              </w:rPr>
              <w:t xml:space="preserve"> </w:t>
            </w:r>
          </w:p>
        </w:tc>
      </w:tr>
      <w:tr w:rsidR="00314784" w:rsidRPr="00F91F0A" w14:paraId="034F2DF5" w14:textId="77777777" w:rsidTr="008F3801">
        <w:trPr>
          <w:trHeight w:val="340"/>
        </w:trPr>
        <w:tc>
          <w:tcPr>
            <w:tcW w:w="2338" w:type="dxa"/>
            <w:shd w:val="clear" w:color="auto" w:fill="0033A0"/>
            <w:vAlign w:val="center"/>
          </w:tcPr>
          <w:p w14:paraId="75527875" w14:textId="0D08D2BA" w:rsidR="00314784" w:rsidRPr="00F91F0A" w:rsidRDefault="00314784" w:rsidP="00452DC5">
            <w:pPr>
              <w:spacing w:line="276" w:lineRule="auto"/>
              <w:rPr>
                <w:rFonts w:ascii="Arial" w:hAnsi="Arial" w:cs="Arial"/>
                <w:b/>
                <w:sz w:val="20"/>
                <w:szCs w:val="20"/>
              </w:rPr>
            </w:pPr>
            <w:r w:rsidRPr="00F91F0A">
              <w:rPr>
                <w:rFonts w:ascii="Arial" w:hAnsi="Arial" w:cs="Arial"/>
                <w:b/>
                <w:sz w:val="20"/>
                <w:szCs w:val="20"/>
              </w:rPr>
              <w:t>Jurisdicción</w:t>
            </w:r>
          </w:p>
        </w:tc>
        <w:tc>
          <w:tcPr>
            <w:tcW w:w="3402" w:type="dxa"/>
            <w:vAlign w:val="center"/>
          </w:tcPr>
          <w:p w14:paraId="36469FA3" w14:textId="240596BC" w:rsidR="00314784" w:rsidRPr="00F91F0A" w:rsidRDefault="007C75A6" w:rsidP="00452DC5">
            <w:pPr>
              <w:spacing w:line="276" w:lineRule="auto"/>
              <w:jc w:val="both"/>
              <w:rPr>
                <w:rFonts w:ascii="Arial" w:hAnsi="Arial" w:cs="Arial"/>
                <w:iCs/>
                <w:sz w:val="20"/>
                <w:szCs w:val="20"/>
              </w:rPr>
            </w:pPr>
            <w:r w:rsidRPr="00F91F0A">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F91F0A" w:rsidRDefault="00FD7619" w:rsidP="00452DC5">
            <w:pPr>
              <w:spacing w:line="276" w:lineRule="auto"/>
              <w:rPr>
                <w:rFonts w:ascii="Arial" w:hAnsi="Arial" w:cs="Arial"/>
                <w:b/>
                <w:sz w:val="20"/>
                <w:szCs w:val="20"/>
                <w:highlight w:val="yellow"/>
              </w:rPr>
            </w:pPr>
            <w:r w:rsidRPr="00F91F0A">
              <w:rPr>
                <w:rFonts w:ascii="Arial" w:hAnsi="Arial" w:cs="Arial"/>
                <w:b/>
                <w:sz w:val="20"/>
                <w:szCs w:val="20"/>
              </w:rPr>
              <w:t>Tipo de proceso</w:t>
            </w:r>
          </w:p>
        </w:tc>
        <w:tc>
          <w:tcPr>
            <w:tcW w:w="2409" w:type="dxa"/>
            <w:vAlign w:val="center"/>
          </w:tcPr>
          <w:p w14:paraId="77E41038" w14:textId="061F03C9" w:rsidR="00314784" w:rsidRPr="00F91F0A" w:rsidRDefault="004B709D" w:rsidP="00452DC5">
            <w:pPr>
              <w:spacing w:line="276" w:lineRule="auto"/>
              <w:jc w:val="both"/>
              <w:rPr>
                <w:rFonts w:ascii="Arial" w:hAnsi="Arial" w:cs="Arial"/>
                <w:iCs/>
                <w:sz w:val="20"/>
                <w:szCs w:val="20"/>
              </w:rPr>
            </w:pPr>
            <w:r w:rsidRPr="00F91F0A">
              <w:rPr>
                <w:rFonts w:ascii="Arial" w:hAnsi="Arial" w:cs="Arial"/>
                <w:iCs/>
                <w:sz w:val="20"/>
                <w:szCs w:val="20"/>
              </w:rPr>
              <w:t xml:space="preserve">Ordinario </w:t>
            </w:r>
          </w:p>
        </w:tc>
      </w:tr>
      <w:tr w:rsidR="001C4AB7" w:rsidRPr="00F91F0A" w14:paraId="57977954" w14:textId="77777777" w:rsidTr="008F3801">
        <w:trPr>
          <w:trHeight w:val="340"/>
        </w:trPr>
        <w:tc>
          <w:tcPr>
            <w:tcW w:w="2338" w:type="dxa"/>
            <w:shd w:val="clear" w:color="auto" w:fill="0033A0"/>
            <w:vAlign w:val="center"/>
          </w:tcPr>
          <w:p w14:paraId="2D4749EF" w14:textId="01E5A1BD" w:rsidR="001C4AB7" w:rsidRPr="00F91F0A" w:rsidRDefault="001C4AB7" w:rsidP="00452DC5">
            <w:pPr>
              <w:spacing w:line="276" w:lineRule="auto"/>
              <w:rPr>
                <w:rFonts w:ascii="Arial" w:hAnsi="Arial" w:cs="Arial"/>
                <w:b/>
                <w:sz w:val="20"/>
                <w:szCs w:val="20"/>
              </w:rPr>
            </w:pPr>
            <w:r w:rsidRPr="00F91F0A">
              <w:rPr>
                <w:rFonts w:ascii="Arial" w:hAnsi="Arial" w:cs="Arial"/>
                <w:b/>
                <w:sz w:val="20"/>
                <w:szCs w:val="20"/>
              </w:rPr>
              <w:t>Instancia</w:t>
            </w:r>
          </w:p>
        </w:tc>
        <w:tc>
          <w:tcPr>
            <w:tcW w:w="7512" w:type="dxa"/>
            <w:gridSpan w:val="3"/>
            <w:vAlign w:val="center"/>
          </w:tcPr>
          <w:p w14:paraId="22EC2015" w14:textId="6F1693CD" w:rsidR="001C4AB7" w:rsidRPr="00F91F0A" w:rsidRDefault="004B709D" w:rsidP="00452DC5">
            <w:pPr>
              <w:pStyle w:val="Ttulo4"/>
              <w:spacing w:line="276" w:lineRule="auto"/>
              <w:rPr>
                <w:rFonts w:ascii="Arial" w:hAnsi="Arial" w:cs="Arial"/>
                <w:b w:val="0"/>
                <w:iCs/>
                <w:sz w:val="20"/>
              </w:rPr>
            </w:pPr>
            <w:r w:rsidRPr="00F91F0A">
              <w:rPr>
                <w:rFonts w:ascii="Arial" w:hAnsi="Arial" w:cs="Arial"/>
                <w:b w:val="0"/>
                <w:iCs/>
                <w:sz w:val="20"/>
              </w:rPr>
              <w:t xml:space="preserve">Primera Instancia </w:t>
            </w:r>
          </w:p>
        </w:tc>
      </w:tr>
      <w:tr w:rsidR="00AB7CA0" w:rsidRPr="00F91F0A" w14:paraId="23C82D5B" w14:textId="77777777" w:rsidTr="008F3801">
        <w:trPr>
          <w:trHeight w:val="340"/>
        </w:trPr>
        <w:tc>
          <w:tcPr>
            <w:tcW w:w="2338" w:type="dxa"/>
            <w:shd w:val="clear" w:color="auto" w:fill="0033A0"/>
            <w:vAlign w:val="center"/>
          </w:tcPr>
          <w:p w14:paraId="69174905" w14:textId="6B29FFBA" w:rsidR="00AB7CA0" w:rsidRPr="00F91F0A" w:rsidRDefault="00AB7CA0" w:rsidP="00452DC5">
            <w:pPr>
              <w:spacing w:line="276" w:lineRule="auto"/>
              <w:rPr>
                <w:rFonts w:ascii="Arial" w:hAnsi="Arial" w:cs="Arial"/>
                <w:b/>
                <w:sz w:val="20"/>
                <w:szCs w:val="20"/>
              </w:rPr>
            </w:pPr>
            <w:r w:rsidRPr="00F91F0A">
              <w:rPr>
                <w:rFonts w:ascii="Arial" w:hAnsi="Arial" w:cs="Arial"/>
                <w:b/>
                <w:sz w:val="20"/>
                <w:szCs w:val="20"/>
              </w:rPr>
              <w:t xml:space="preserve">Fecha de </w:t>
            </w:r>
            <w:r w:rsidR="00475D6D" w:rsidRPr="00F91F0A">
              <w:rPr>
                <w:rFonts w:ascii="Arial" w:hAnsi="Arial" w:cs="Arial"/>
                <w:b/>
                <w:sz w:val="20"/>
                <w:szCs w:val="20"/>
              </w:rPr>
              <w:t>notificación</w:t>
            </w:r>
          </w:p>
        </w:tc>
        <w:tc>
          <w:tcPr>
            <w:tcW w:w="7512" w:type="dxa"/>
            <w:gridSpan w:val="3"/>
            <w:vAlign w:val="center"/>
          </w:tcPr>
          <w:p w14:paraId="3D593EBA" w14:textId="6A2051C1" w:rsidR="00AB7CA0" w:rsidRPr="00F91F0A" w:rsidRDefault="007C75A6" w:rsidP="00452DC5">
            <w:pPr>
              <w:spacing w:line="276" w:lineRule="auto"/>
              <w:jc w:val="both"/>
              <w:rPr>
                <w:rFonts w:ascii="Arial" w:hAnsi="Arial" w:cs="Arial"/>
                <w:iCs/>
                <w:sz w:val="20"/>
                <w:szCs w:val="20"/>
              </w:rPr>
            </w:pPr>
            <w:r w:rsidRPr="00F91F0A">
              <w:rPr>
                <w:rFonts w:ascii="Arial" w:hAnsi="Arial" w:cs="Arial"/>
                <w:iCs/>
                <w:sz w:val="20"/>
                <w:szCs w:val="20"/>
              </w:rPr>
              <w:t>22 de julio de 2025</w:t>
            </w:r>
          </w:p>
        </w:tc>
      </w:tr>
      <w:tr w:rsidR="001C4AB7" w:rsidRPr="00F91F0A" w14:paraId="3DB10669" w14:textId="77777777" w:rsidTr="008F3801">
        <w:trPr>
          <w:trHeight w:val="340"/>
        </w:trPr>
        <w:tc>
          <w:tcPr>
            <w:tcW w:w="2338" w:type="dxa"/>
            <w:shd w:val="clear" w:color="auto" w:fill="0033A0"/>
            <w:vAlign w:val="center"/>
          </w:tcPr>
          <w:p w14:paraId="184540C8" w14:textId="704D403B" w:rsidR="001C4AB7" w:rsidRPr="00F91F0A" w:rsidRDefault="001C4AB7" w:rsidP="00452DC5">
            <w:pPr>
              <w:spacing w:line="276" w:lineRule="auto"/>
              <w:rPr>
                <w:rFonts w:ascii="Arial" w:hAnsi="Arial" w:cs="Arial"/>
                <w:b/>
                <w:sz w:val="20"/>
                <w:szCs w:val="20"/>
              </w:rPr>
            </w:pPr>
            <w:r w:rsidRPr="00F91F0A">
              <w:rPr>
                <w:rFonts w:ascii="Arial" w:hAnsi="Arial" w:cs="Arial"/>
                <w:b/>
                <w:sz w:val="20"/>
                <w:szCs w:val="20"/>
              </w:rPr>
              <w:t>Abogado demandante</w:t>
            </w:r>
          </w:p>
        </w:tc>
        <w:tc>
          <w:tcPr>
            <w:tcW w:w="3402" w:type="dxa"/>
            <w:vAlign w:val="center"/>
          </w:tcPr>
          <w:p w14:paraId="17CC82B4" w14:textId="37F3F1FF" w:rsidR="001C4AB7" w:rsidRPr="00F91F0A" w:rsidRDefault="007C75A6" w:rsidP="00452DC5">
            <w:pPr>
              <w:spacing w:line="276" w:lineRule="auto"/>
              <w:jc w:val="both"/>
              <w:rPr>
                <w:rFonts w:ascii="Arial" w:hAnsi="Arial" w:cs="Arial"/>
                <w:iCs/>
                <w:sz w:val="20"/>
                <w:szCs w:val="20"/>
                <w:lang w:val="es-ES"/>
              </w:rPr>
            </w:pPr>
            <w:r w:rsidRPr="00F91F0A">
              <w:rPr>
                <w:rFonts w:ascii="Arial" w:hAnsi="Arial" w:cs="Arial"/>
                <w:iCs/>
                <w:sz w:val="20"/>
                <w:szCs w:val="20"/>
                <w:lang w:val="es-ES"/>
              </w:rPr>
              <w:t>Jesús Antonio Vargas Reyes</w:t>
            </w:r>
            <w:r w:rsidR="004B709D" w:rsidRPr="00F91F0A">
              <w:rPr>
                <w:rFonts w:ascii="Arial" w:hAnsi="Arial" w:cs="Arial"/>
                <w:iCs/>
                <w:sz w:val="20"/>
                <w:szCs w:val="20"/>
                <w:lang w:val="es-ES"/>
              </w:rPr>
              <w:t xml:space="preserve"> </w:t>
            </w:r>
          </w:p>
        </w:tc>
        <w:tc>
          <w:tcPr>
            <w:tcW w:w="1701" w:type="dxa"/>
            <w:shd w:val="clear" w:color="auto" w:fill="0033A0"/>
            <w:vAlign w:val="center"/>
          </w:tcPr>
          <w:p w14:paraId="1BBF04FD" w14:textId="14BBB21D" w:rsidR="001C4AB7" w:rsidRPr="00F91F0A" w:rsidRDefault="001C4AB7" w:rsidP="00452DC5">
            <w:pPr>
              <w:spacing w:line="276" w:lineRule="auto"/>
              <w:jc w:val="both"/>
              <w:rPr>
                <w:rFonts w:ascii="Arial" w:hAnsi="Arial" w:cs="Arial"/>
                <w:b/>
                <w:bCs/>
                <w:sz w:val="20"/>
                <w:szCs w:val="20"/>
                <w:lang w:val="es-ES"/>
              </w:rPr>
            </w:pPr>
            <w:r w:rsidRPr="00F91F0A">
              <w:rPr>
                <w:rFonts w:ascii="Arial" w:hAnsi="Arial" w:cs="Arial"/>
                <w:b/>
                <w:bCs/>
                <w:sz w:val="20"/>
                <w:szCs w:val="20"/>
                <w:lang w:val="es-ES"/>
              </w:rPr>
              <w:t>Identificación</w:t>
            </w:r>
          </w:p>
        </w:tc>
        <w:tc>
          <w:tcPr>
            <w:tcW w:w="2409" w:type="dxa"/>
            <w:vAlign w:val="center"/>
          </w:tcPr>
          <w:p w14:paraId="33D2EBE9" w14:textId="554CBAC1" w:rsidR="001C4AB7" w:rsidRPr="00F91F0A" w:rsidRDefault="007C75A6" w:rsidP="00452DC5">
            <w:pPr>
              <w:spacing w:line="276" w:lineRule="auto"/>
              <w:jc w:val="both"/>
              <w:rPr>
                <w:rFonts w:ascii="Arial" w:hAnsi="Arial" w:cs="Arial"/>
                <w:iCs/>
                <w:sz w:val="20"/>
                <w:szCs w:val="20"/>
                <w:lang w:val="es-ES"/>
              </w:rPr>
            </w:pPr>
            <w:r w:rsidRPr="00F91F0A">
              <w:rPr>
                <w:rFonts w:ascii="Arial" w:hAnsi="Arial" w:cs="Arial"/>
                <w:iCs/>
                <w:sz w:val="20"/>
                <w:szCs w:val="20"/>
                <w:lang w:val="es-ES"/>
              </w:rPr>
              <w:t>1.143.833.305</w:t>
            </w:r>
          </w:p>
        </w:tc>
      </w:tr>
    </w:tbl>
    <w:p w14:paraId="4D702E80" w14:textId="77777777" w:rsidR="009E7D3B" w:rsidRPr="00F91F0A" w:rsidRDefault="009E7D3B" w:rsidP="00452DC5">
      <w:pPr>
        <w:spacing w:line="276" w:lineRule="auto"/>
        <w:rPr>
          <w:rFonts w:ascii="Arial" w:hAnsi="Arial" w:cs="Arial"/>
          <w:b/>
          <w:sz w:val="20"/>
          <w:szCs w:val="20"/>
          <w:u w:val="single"/>
        </w:rPr>
      </w:pPr>
    </w:p>
    <w:p w14:paraId="168B2FE3" w14:textId="77777777" w:rsidR="00734BD8" w:rsidRPr="00F91F0A" w:rsidRDefault="00734BD8" w:rsidP="00452DC5">
      <w:pPr>
        <w:spacing w:line="276" w:lineRule="auto"/>
        <w:rPr>
          <w:rFonts w:ascii="Arial" w:hAnsi="Arial" w:cs="Arial"/>
          <w:b/>
          <w:sz w:val="20"/>
          <w:szCs w:val="20"/>
        </w:rPr>
      </w:pPr>
    </w:p>
    <w:p w14:paraId="27A8C1F6" w14:textId="2A40E483" w:rsidR="00FF66F3" w:rsidRPr="00F91F0A" w:rsidRDefault="007B6543" w:rsidP="00452DC5">
      <w:pPr>
        <w:spacing w:line="276" w:lineRule="auto"/>
        <w:rPr>
          <w:rFonts w:ascii="Arial" w:hAnsi="Arial" w:cs="Arial"/>
          <w:b/>
          <w:sz w:val="20"/>
          <w:szCs w:val="20"/>
        </w:rPr>
      </w:pPr>
      <w:r w:rsidRPr="00F91F0A">
        <w:rPr>
          <w:rFonts w:ascii="Arial" w:hAnsi="Arial" w:cs="Arial"/>
          <w:b/>
          <w:sz w:val="20"/>
          <w:szCs w:val="20"/>
        </w:rPr>
        <w:t>Seguro</w:t>
      </w:r>
      <w:r w:rsidR="00FF66F3" w:rsidRPr="00F91F0A">
        <w:rPr>
          <w:rFonts w:ascii="Arial" w:hAnsi="Arial" w:cs="Arial"/>
          <w:b/>
          <w:sz w:val="20"/>
          <w:szCs w:val="20"/>
        </w:rPr>
        <w:t xml:space="preserve"> afectad</w:t>
      </w:r>
      <w:r w:rsidRPr="00F91F0A">
        <w:rPr>
          <w:rFonts w:ascii="Arial" w:hAnsi="Arial" w:cs="Arial"/>
          <w:b/>
          <w:sz w:val="20"/>
          <w:szCs w:val="20"/>
        </w:rPr>
        <w:t>o</w:t>
      </w:r>
    </w:p>
    <w:p w14:paraId="4F9AC8BF" w14:textId="0014293F" w:rsidR="00FF66F3" w:rsidRPr="00F91F0A" w:rsidRDefault="00FF66F3" w:rsidP="00452DC5">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F91F0A" w14:paraId="22179AB8" w14:textId="77777777" w:rsidTr="008F3801">
        <w:trPr>
          <w:trHeight w:val="340"/>
        </w:trPr>
        <w:tc>
          <w:tcPr>
            <w:tcW w:w="2353" w:type="dxa"/>
            <w:shd w:val="clear" w:color="auto" w:fill="0033A0"/>
            <w:vAlign w:val="center"/>
          </w:tcPr>
          <w:p w14:paraId="01016211" w14:textId="6458D9D1" w:rsidR="007B6543" w:rsidRPr="00F91F0A" w:rsidRDefault="007B6543" w:rsidP="00452DC5">
            <w:pPr>
              <w:spacing w:line="276" w:lineRule="auto"/>
              <w:jc w:val="both"/>
              <w:rPr>
                <w:rFonts w:ascii="Arial" w:hAnsi="Arial" w:cs="Arial"/>
                <w:b/>
                <w:sz w:val="20"/>
                <w:szCs w:val="20"/>
              </w:rPr>
            </w:pPr>
            <w:r w:rsidRPr="00F91F0A">
              <w:rPr>
                <w:rFonts w:ascii="Arial" w:hAnsi="Arial" w:cs="Arial"/>
                <w:b/>
                <w:sz w:val="20"/>
                <w:szCs w:val="20"/>
              </w:rPr>
              <w:t>Asegurado / afiliado</w:t>
            </w:r>
          </w:p>
        </w:tc>
        <w:tc>
          <w:tcPr>
            <w:tcW w:w="3386" w:type="dxa"/>
            <w:vAlign w:val="center"/>
          </w:tcPr>
          <w:p w14:paraId="2F24F64D" w14:textId="096B7020" w:rsidR="004B709D" w:rsidRPr="00F91F0A" w:rsidRDefault="00265B8B" w:rsidP="00452DC5">
            <w:pPr>
              <w:spacing w:line="276" w:lineRule="auto"/>
              <w:jc w:val="both"/>
              <w:rPr>
                <w:rFonts w:ascii="Arial" w:hAnsi="Arial" w:cs="Arial"/>
                <w:iCs/>
                <w:sz w:val="20"/>
                <w:szCs w:val="20"/>
              </w:rPr>
            </w:pPr>
            <w:proofErr w:type="spellStart"/>
            <w:r w:rsidRPr="00F91F0A">
              <w:rPr>
                <w:rFonts w:ascii="Arial" w:hAnsi="Arial" w:cs="Arial"/>
                <w:iCs/>
                <w:sz w:val="20"/>
                <w:szCs w:val="20"/>
              </w:rPr>
              <w:t>World</w:t>
            </w:r>
            <w:proofErr w:type="spellEnd"/>
            <w:r w:rsidRPr="00F91F0A">
              <w:rPr>
                <w:rFonts w:ascii="Arial" w:hAnsi="Arial" w:cs="Arial"/>
                <w:iCs/>
                <w:sz w:val="20"/>
                <w:szCs w:val="20"/>
              </w:rPr>
              <w:t xml:space="preserve"> </w:t>
            </w:r>
            <w:proofErr w:type="spellStart"/>
            <w:r w:rsidRPr="00F91F0A">
              <w:rPr>
                <w:rFonts w:ascii="Arial" w:hAnsi="Arial" w:cs="Arial"/>
                <w:iCs/>
                <w:sz w:val="20"/>
                <w:szCs w:val="20"/>
              </w:rPr>
              <w:t>Trade</w:t>
            </w:r>
            <w:proofErr w:type="spellEnd"/>
            <w:r w:rsidRPr="00F91F0A">
              <w:rPr>
                <w:rFonts w:ascii="Arial" w:hAnsi="Arial" w:cs="Arial"/>
                <w:iCs/>
                <w:sz w:val="20"/>
                <w:szCs w:val="20"/>
              </w:rPr>
              <w:t xml:space="preserve"> Center Cali PH</w:t>
            </w:r>
          </w:p>
        </w:tc>
        <w:tc>
          <w:tcPr>
            <w:tcW w:w="1702" w:type="dxa"/>
            <w:shd w:val="clear" w:color="auto" w:fill="0033A0"/>
            <w:vAlign w:val="center"/>
          </w:tcPr>
          <w:p w14:paraId="3809BB4B" w14:textId="2BAD8CE6" w:rsidR="007B6543" w:rsidRPr="00F91F0A" w:rsidRDefault="007B6543" w:rsidP="00452DC5">
            <w:pPr>
              <w:spacing w:line="276" w:lineRule="auto"/>
              <w:jc w:val="both"/>
              <w:rPr>
                <w:rFonts w:ascii="Arial" w:hAnsi="Arial" w:cs="Arial"/>
                <w:b/>
                <w:sz w:val="20"/>
                <w:szCs w:val="20"/>
              </w:rPr>
            </w:pPr>
            <w:r w:rsidRPr="00F91F0A">
              <w:rPr>
                <w:rFonts w:ascii="Arial" w:hAnsi="Arial" w:cs="Arial"/>
                <w:b/>
                <w:bCs/>
                <w:sz w:val="20"/>
                <w:szCs w:val="20"/>
                <w:lang w:val="es-ES"/>
              </w:rPr>
              <w:t>Identificación</w:t>
            </w:r>
          </w:p>
        </w:tc>
        <w:tc>
          <w:tcPr>
            <w:tcW w:w="2408" w:type="dxa"/>
            <w:gridSpan w:val="2"/>
            <w:vAlign w:val="center"/>
          </w:tcPr>
          <w:p w14:paraId="2D1BE471" w14:textId="14D769AF" w:rsidR="004B709D" w:rsidRPr="00F91F0A" w:rsidRDefault="00337E0F" w:rsidP="00452DC5">
            <w:pPr>
              <w:spacing w:line="276" w:lineRule="auto"/>
              <w:jc w:val="both"/>
              <w:rPr>
                <w:rFonts w:ascii="Arial" w:hAnsi="Arial" w:cs="Arial"/>
                <w:iCs/>
                <w:sz w:val="20"/>
                <w:szCs w:val="20"/>
              </w:rPr>
            </w:pPr>
            <w:r w:rsidRPr="00F91F0A">
              <w:rPr>
                <w:rFonts w:ascii="Arial" w:hAnsi="Arial" w:cs="Arial"/>
                <w:iCs/>
                <w:sz w:val="20"/>
                <w:szCs w:val="20"/>
              </w:rPr>
              <w:t xml:space="preserve">NIT </w:t>
            </w:r>
            <w:r w:rsidR="00265B8B" w:rsidRPr="00F91F0A">
              <w:rPr>
                <w:rFonts w:ascii="Arial" w:hAnsi="Arial" w:cs="Arial"/>
                <w:iCs/>
                <w:sz w:val="20"/>
                <w:szCs w:val="20"/>
              </w:rPr>
              <w:t>900.911.79-8</w:t>
            </w:r>
          </w:p>
        </w:tc>
      </w:tr>
      <w:tr w:rsidR="00FF66F3" w:rsidRPr="00F91F0A" w14:paraId="1184BD96" w14:textId="77777777" w:rsidTr="008F3801">
        <w:trPr>
          <w:trHeight w:val="340"/>
        </w:trPr>
        <w:tc>
          <w:tcPr>
            <w:tcW w:w="2353" w:type="dxa"/>
            <w:shd w:val="clear" w:color="auto" w:fill="0033A0"/>
            <w:vAlign w:val="center"/>
          </w:tcPr>
          <w:p w14:paraId="21AAE966" w14:textId="1C6A7B98" w:rsidR="00FF66F3" w:rsidRPr="00F91F0A" w:rsidRDefault="00703C75" w:rsidP="00452DC5">
            <w:pPr>
              <w:spacing w:line="276" w:lineRule="auto"/>
              <w:jc w:val="both"/>
              <w:rPr>
                <w:rFonts w:ascii="Arial" w:hAnsi="Arial" w:cs="Arial"/>
                <w:b/>
                <w:sz w:val="20"/>
                <w:szCs w:val="20"/>
              </w:rPr>
            </w:pPr>
            <w:r w:rsidRPr="00F91F0A">
              <w:rPr>
                <w:rFonts w:ascii="Arial" w:hAnsi="Arial" w:cs="Arial"/>
                <w:b/>
                <w:sz w:val="20"/>
                <w:szCs w:val="20"/>
              </w:rPr>
              <w:t xml:space="preserve">Fecha </w:t>
            </w:r>
            <w:r w:rsidR="003E59C2" w:rsidRPr="00F91F0A">
              <w:rPr>
                <w:rFonts w:ascii="Arial" w:hAnsi="Arial" w:cs="Arial"/>
                <w:b/>
                <w:sz w:val="20"/>
                <w:szCs w:val="20"/>
              </w:rPr>
              <w:t>del siniestro</w:t>
            </w:r>
          </w:p>
        </w:tc>
        <w:tc>
          <w:tcPr>
            <w:tcW w:w="7496" w:type="dxa"/>
            <w:gridSpan w:val="4"/>
            <w:vAlign w:val="center"/>
          </w:tcPr>
          <w:p w14:paraId="34C8AC3F" w14:textId="4B2F2A77" w:rsidR="00484071" w:rsidRPr="00F91F0A" w:rsidRDefault="00265B8B" w:rsidP="00452DC5">
            <w:pPr>
              <w:spacing w:line="276" w:lineRule="auto"/>
              <w:jc w:val="both"/>
              <w:rPr>
                <w:rFonts w:ascii="Arial" w:hAnsi="Arial" w:cs="Arial"/>
                <w:iCs/>
                <w:sz w:val="20"/>
                <w:szCs w:val="20"/>
              </w:rPr>
            </w:pPr>
            <w:r w:rsidRPr="00F91F0A">
              <w:rPr>
                <w:rFonts w:ascii="Arial" w:hAnsi="Arial" w:cs="Arial"/>
                <w:iCs/>
                <w:sz w:val="20"/>
                <w:szCs w:val="20"/>
              </w:rPr>
              <w:t>03 de noviembre de 2023</w:t>
            </w:r>
          </w:p>
        </w:tc>
      </w:tr>
      <w:tr w:rsidR="007B6543" w:rsidRPr="00F91F0A" w14:paraId="1BAC1C46" w14:textId="77777777" w:rsidTr="008F3801">
        <w:trPr>
          <w:trHeight w:val="292"/>
        </w:trPr>
        <w:tc>
          <w:tcPr>
            <w:tcW w:w="2353" w:type="dxa"/>
            <w:shd w:val="clear" w:color="auto" w:fill="0033A0"/>
            <w:vAlign w:val="center"/>
          </w:tcPr>
          <w:p w14:paraId="7E9757C0" w14:textId="7568D394" w:rsidR="007B6543" w:rsidRPr="00F91F0A" w:rsidRDefault="007B6543" w:rsidP="00452DC5">
            <w:pPr>
              <w:spacing w:line="276" w:lineRule="auto"/>
              <w:rPr>
                <w:rFonts w:ascii="Arial" w:hAnsi="Arial" w:cs="Arial"/>
                <w:b/>
                <w:sz w:val="20"/>
                <w:szCs w:val="20"/>
              </w:rPr>
            </w:pPr>
            <w:r w:rsidRPr="00F91F0A">
              <w:rPr>
                <w:rFonts w:ascii="Arial" w:hAnsi="Arial" w:cs="Arial"/>
                <w:b/>
                <w:sz w:val="20"/>
                <w:szCs w:val="20"/>
              </w:rPr>
              <w:t>Nro. póliza afectada</w:t>
            </w:r>
          </w:p>
        </w:tc>
        <w:tc>
          <w:tcPr>
            <w:tcW w:w="3386" w:type="dxa"/>
            <w:vAlign w:val="center"/>
          </w:tcPr>
          <w:p w14:paraId="0F0E4D36" w14:textId="169A86D1" w:rsidR="00C26408" w:rsidRPr="00F91F0A" w:rsidRDefault="00265B8B" w:rsidP="00452DC5">
            <w:pPr>
              <w:spacing w:line="276" w:lineRule="auto"/>
              <w:jc w:val="both"/>
              <w:rPr>
                <w:rFonts w:ascii="Arial" w:hAnsi="Arial" w:cs="Arial"/>
                <w:sz w:val="20"/>
                <w:szCs w:val="20"/>
              </w:rPr>
            </w:pPr>
            <w:r w:rsidRPr="00F91F0A">
              <w:rPr>
                <w:rFonts w:ascii="Arial" w:hAnsi="Arial" w:cs="Arial"/>
                <w:sz w:val="20"/>
                <w:szCs w:val="20"/>
              </w:rPr>
              <w:t>No. 100</w:t>
            </w:r>
            <w:r w:rsidR="00F91F0A">
              <w:rPr>
                <w:rFonts w:ascii="Arial" w:hAnsi="Arial" w:cs="Arial"/>
                <w:sz w:val="20"/>
                <w:szCs w:val="20"/>
              </w:rPr>
              <w:t>0</w:t>
            </w:r>
            <w:r w:rsidRPr="00F91F0A">
              <w:rPr>
                <w:rFonts w:ascii="Arial" w:hAnsi="Arial" w:cs="Arial"/>
                <w:sz w:val="20"/>
                <w:szCs w:val="20"/>
              </w:rPr>
              <w:t>257</w:t>
            </w:r>
          </w:p>
        </w:tc>
        <w:tc>
          <w:tcPr>
            <w:tcW w:w="1702" w:type="dxa"/>
            <w:shd w:val="clear" w:color="auto" w:fill="0033A0"/>
            <w:vAlign w:val="center"/>
          </w:tcPr>
          <w:p w14:paraId="5E464232" w14:textId="5615B8FD" w:rsidR="007B6543" w:rsidRPr="00F91F0A" w:rsidRDefault="00212C67" w:rsidP="00452DC5">
            <w:pPr>
              <w:autoSpaceDE w:val="0"/>
              <w:autoSpaceDN w:val="0"/>
              <w:adjustRightInd w:val="0"/>
              <w:spacing w:line="276" w:lineRule="auto"/>
              <w:jc w:val="both"/>
              <w:rPr>
                <w:rFonts w:ascii="Arial" w:hAnsi="Arial" w:cs="Arial"/>
                <w:b/>
                <w:sz w:val="20"/>
                <w:szCs w:val="20"/>
              </w:rPr>
            </w:pPr>
            <w:r w:rsidRPr="00F91F0A">
              <w:rPr>
                <w:rFonts w:ascii="Arial" w:hAnsi="Arial" w:cs="Arial"/>
                <w:b/>
                <w:sz w:val="20"/>
                <w:szCs w:val="20"/>
              </w:rPr>
              <w:t>Ramo</w:t>
            </w:r>
          </w:p>
        </w:tc>
        <w:tc>
          <w:tcPr>
            <w:tcW w:w="2408" w:type="dxa"/>
            <w:gridSpan w:val="2"/>
            <w:vAlign w:val="center"/>
          </w:tcPr>
          <w:p w14:paraId="486667E2" w14:textId="6A8B2795" w:rsidR="00C26408" w:rsidRPr="00F91F0A" w:rsidRDefault="00C26408" w:rsidP="00452DC5">
            <w:pPr>
              <w:pStyle w:val="Prrafodelista"/>
              <w:spacing w:line="276" w:lineRule="auto"/>
              <w:ind w:left="351"/>
              <w:jc w:val="both"/>
              <w:rPr>
                <w:rFonts w:ascii="Arial" w:hAnsi="Arial" w:cs="Arial"/>
                <w:b/>
                <w:iCs/>
                <w:sz w:val="20"/>
                <w:szCs w:val="20"/>
              </w:rPr>
            </w:pPr>
          </w:p>
        </w:tc>
      </w:tr>
      <w:tr w:rsidR="0001168F" w:rsidRPr="00F91F0A" w14:paraId="4EF15043" w14:textId="77777777" w:rsidTr="008F3801">
        <w:trPr>
          <w:cantSplit/>
          <w:trHeight w:val="340"/>
        </w:trPr>
        <w:tc>
          <w:tcPr>
            <w:tcW w:w="2353" w:type="dxa"/>
            <w:shd w:val="clear" w:color="auto" w:fill="0033A0"/>
            <w:vAlign w:val="center"/>
          </w:tcPr>
          <w:p w14:paraId="34C574BC" w14:textId="15D93DCE" w:rsidR="00FF66F3" w:rsidRPr="00F91F0A" w:rsidRDefault="00212C67" w:rsidP="00452DC5">
            <w:pPr>
              <w:spacing w:line="276" w:lineRule="auto"/>
              <w:rPr>
                <w:rFonts w:ascii="Arial" w:hAnsi="Arial" w:cs="Arial"/>
                <w:b/>
                <w:sz w:val="20"/>
                <w:szCs w:val="20"/>
              </w:rPr>
            </w:pPr>
            <w:r w:rsidRPr="00F91F0A">
              <w:rPr>
                <w:rFonts w:ascii="Arial" w:hAnsi="Arial" w:cs="Arial"/>
                <w:b/>
                <w:sz w:val="20"/>
                <w:szCs w:val="20"/>
              </w:rPr>
              <w:t>Vigencia</w:t>
            </w:r>
            <w:r w:rsidR="009572C0" w:rsidRPr="00F91F0A">
              <w:rPr>
                <w:rFonts w:ascii="Arial" w:hAnsi="Arial" w:cs="Arial"/>
                <w:b/>
                <w:sz w:val="20"/>
                <w:szCs w:val="20"/>
              </w:rPr>
              <w:t xml:space="preserve"> afectada</w:t>
            </w:r>
          </w:p>
        </w:tc>
        <w:tc>
          <w:tcPr>
            <w:tcW w:w="7496" w:type="dxa"/>
            <w:gridSpan w:val="4"/>
            <w:vAlign w:val="center"/>
          </w:tcPr>
          <w:p w14:paraId="161C18D5" w14:textId="2064660C" w:rsidR="00C26408" w:rsidRPr="00F91F0A" w:rsidRDefault="00F91F0A" w:rsidP="00452DC5">
            <w:pPr>
              <w:spacing w:line="276" w:lineRule="auto"/>
              <w:jc w:val="both"/>
              <w:rPr>
                <w:rFonts w:ascii="Arial" w:hAnsi="Arial" w:cs="Arial"/>
                <w:b/>
                <w:iCs/>
                <w:sz w:val="20"/>
                <w:szCs w:val="20"/>
              </w:rPr>
            </w:pPr>
            <w:r>
              <w:rPr>
                <w:rFonts w:ascii="Arial" w:hAnsi="Arial" w:cs="Arial"/>
                <w:b/>
                <w:iCs/>
                <w:sz w:val="20"/>
                <w:szCs w:val="20"/>
              </w:rPr>
              <w:t>Se desconoce no se aporta póliza con la demanda</w:t>
            </w:r>
          </w:p>
        </w:tc>
      </w:tr>
      <w:tr w:rsidR="00A70A97" w:rsidRPr="00F91F0A" w14:paraId="25047409" w14:textId="77777777" w:rsidTr="008F3801">
        <w:trPr>
          <w:cantSplit/>
          <w:trHeight w:val="340"/>
        </w:trPr>
        <w:tc>
          <w:tcPr>
            <w:tcW w:w="2353" w:type="dxa"/>
            <w:shd w:val="clear" w:color="auto" w:fill="0033A0"/>
            <w:vAlign w:val="center"/>
          </w:tcPr>
          <w:p w14:paraId="1AA0EC9D" w14:textId="77777777" w:rsidR="00A70A97" w:rsidRPr="00F91F0A" w:rsidRDefault="00A70A97" w:rsidP="00452DC5">
            <w:pPr>
              <w:spacing w:line="276" w:lineRule="auto"/>
              <w:rPr>
                <w:rFonts w:ascii="Arial" w:hAnsi="Arial" w:cs="Arial"/>
                <w:b/>
                <w:sz w:val="20"/>
                <w:szCs w:val="20"/>
              </w:rPr>
            </w:pPr>
            <w:r w:rsidRPr="00F91F0A">
              <w:rPr>
                <w:rFonts w:ascii="Arial" w:hAnsi="Arial" w:cs="Arial"/>
                <w:b/>
                <w:sz w:val="20"/>
                <w:szCs w:val="20"/>
              </w:rPr>
              <w:t>Valor Asegurado</w:t>
            </w:r>
          </w:p>
        </w:tc>
        <w:tc>
          <w:tcPr>
            <w:tcW w:w="3386" w:type="dxa"/>
            <w:vAlign w:val="center"/>
          </w:tcPr>
          <w:p w14:paraId="1E069347" w14:textId="55A0D865" w:rsidR="00C26408" w:rsidRPr="00F91F0A" w:rsidRDefault="00F91F0A" w:rsidP="00452DC5">
            <w:pPr>
              <w:autoSpaceDE w:val="0"/>
              <w:autoSpaceDN w:val="0"/>
              <w:adjustRightInd w:val="0"/>
              <w:spacing w:line="276" w:lineRule="auto"/>
              <w:rPr>
                <w:rFonts w:ascii="Arial" w:hAnsi="Arial" w:cs="Arial"/>
                <w:b/>
                <w:sz w:val="20"/>
                <w:szCs w:val="20"/>
              </w:rPr>
            </w:pPr>
            <w:r>
              <w:rPr>
                <w:rFonts w:ascii="Arial" w:hAnsi="Arial" w:cs="Arial"/>
                <w:b/>
                <w:iCs/>
                <w:sz w:val="20"/>
                <w:szCs w:val="20"/>
              </w:rPr>
              <w:t>Se desconoce no se aporta póliza con la demanda</w:t>
            </w:r>
          </w:p>
        </w:tc>
        <w:tc>
          <w:tcPr>
            <w:tcW w:w="1718" w:type="dxa"/>
            <w:gridSpan w:val="2"/>
            <w:shd w:val="clear" w:color="auto" w:fill="0033A0"/>
            <w:vAlign w:val="center"/>
          </w:tcPr>
          <w:p w14:paraId="7D4CD472" w14:textId="438AC017" w:rsidR="00A70A97" w:rsidRPr="00F91F0A" w:rsidRDefault="00A70A97" w:rsidP="00452DC5">
            <w:pPr>
              <w:autoSpaceDE w:val="0"/>
              <w:autoSpaceDN w:val="0"/>
              <w:adjustRightInd w:val="0"/>
              <w:spacing w:line="276" w:lineRule="auto"/>
              <w:rPr>
                <w:rFonts w:ascii="Arial" w:hAnsi="Arial" w:cs="Arial"/>
                <w:b/>
                <w:bCs/>
                <w:sz w:val="20"/>
                <w:szCs w:val="20"/>
              </w:rPr>
            </w:pPr>
            <w:r w:rsidRPr="00F91F0A">
              <w:rPr>
                <w:rFonts w:ascii="Arial" w:hAnsi="Arial" w:cs="Arial"/>
                <w:b/>
                <w:bCs/>
                <w:sz w:val="20"/>
                <w:szCs w:val="20"/>
              </w:rPr>
              <w:t>Placa</w:t>
            </w:r>
            <w:r w:rsidR="0091430C" w:rsidRPr="00F91F0A">
              <w:rPr>
                <w:rFonts w:ascii="Arial" w:hAnsi="Arial" w:cs="Arial"/>
                <w:b/>
                <w:bCs/>
                <w:sz w:val="20"/>
                <w:szCs w:val="20"/>
              </w:rPr>
              <w:t xml:space="preserve"> </w:t>
            </w:r>
          </w:p>
        </w:tc>
        <w:tc>
          <w:tcPr>
            <w:tcW w:w="2392" w:type="dxa"/>
            <w:vAlign w:val="center"/>
          </w:tcPr>
          <w:p w14:paraId="2AA20772" w14:textId="11BE9A3E" w:rsidR="00A70A97" w:rsidRPr="00F91F0A" w:rsidRDefault="00265B8B" w:rsidP="00452DC5">
            <w:pPr>
              <w:autoSpaceDE w:val="0"/>
              <w:autoSpaceDN w:val="0"/>
              <w:adjustRightInd w:val="0"/>
              <w:spacing w:line="276" w:lineRule="auto"/>
              <w:rPr>
                <w:rFonts w:ascii="Arial" w:hAnsi="Arial" w:cs="Arial"/>
                <w:bCs/>
                <w:iCs/>
                <w:sz w:val="20"/>
                <w:szCs w:val="20"/>
              </w:rPr>
            </w:pPr>
            <w:r w:rsidRPr="00F91F0A">
              <w:rPr>
                <w:rFonts w:ascii="Arial" w:hAnsi="Arial" w:cs="Arial"/>
                <w:bCs/>
                <w:iCs/>
                <w:sz w:val="20"/>
                <w:szCs w:val="20"/>
              </w:rPr>
              <w:t>N/A</w:t>
            </w:r>
          </w:p>
        </w:tc>
      </w:tr>
    </w:tbl>
    <w:p w14:paraId="7BBF8ED2" w14:textId="77777777" w:rsidR="00FF66F3" w:rsidRPr="00F91F0A" w:rsidRDefault="00FF66F3" w:rsidP="00452DC5">
      <w:pPr>
        <w:spacing w:line="276" w:lineRule="auto"/>
        <w:rPr>
          <w:rFonts w:ascii="Arial" w:hAnsi="Arial" w:cs="Arial"/>
          <w:b/>
          <w:sz w:val="20"/>
          <w:szCs w:val="20"/>
          <w:u w:val="single"/>
        </w:rPr>
      </w:pPr>
    </w:p>
    <w:p w14:paraId="207F11E8" w14:textId="45DEB7B7" w:rsidR="00FF66F3" w:rsidRPr="00F91F0A" w:rsidRDefault="00FF66F3" w:rsidP="00452DC5">
      <w:pPr>
        <w:spacing w:line="276" w:lineRule="auto"/>
        <w:rPr>
          <w:rFonts w:ascii="Arial" w:hAnsi="Arial" w:cs="Arial"/>
          <w:b/>
          <w:sz w:val="20"/>
          <w:szCs w:val="20"/>
        </w:rPr>
      </w:pPr>
    </w:p>
    <w:p w14:paraId="0C3AC512" w14:textId="5AD7BD07" w:rsidR="00FF66F3" w:rsidRPr="00F91F0A" w:rsidRDefault="009E7D3B" w:rsidP="00452DC5">
      <w:pPr>
        <w:spacing w:line="276" w:lineRule="auto"/>
        <w:rPr>
          <w:rFonts w:ascii="Arial" w:hAnsi="Arial" w:cs="Arial"/>
          <w:b/>
          <w:sz w:val="20"/>
          <w:szCs w:val="20"/>
        </w:rPr>
      </w:pPr>
      <w:r w:rsidRPr="00F91F0A">
        <w:rPr>
          <w:rFonts w:ascii="Arial" w:hAnsi="Arial" w:cs="Arial"/>
          <w:b/>
          <w:sz w:val="20"/>
          <w:szCs w:val="20"/>
        </w:rPr>
        <w:t>Datos específicos del proceso</w:t>
      </w:r>
    </w:p>
    <w:p w14:paraId="4D7ECE1C" w14:textId="77777777" w:rsidR="00247E08" w:rsidRPr="00F91F0A" w:rsidRDefault="00247E08" w:rsidP="00452DC5">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543"/>
        <w:gridCol w:w="1276"/>
        <w:gridCol w:w="2693"/>
      </w:tblGrid>
      <w:tr w:rsidR="0001168F" w:rsidRPr="00F91F0A" w14:paraId="7AFB6461" w14:textId="77777777" w:rsidTr="008F3801">
        <w:trPr>
          <w:trHeight w:val="340"/>
        </w:trPr>
        <w:tc>
          <w:tcPr>
            <w:tcW w:w="2338" w:type="dxa"/>
            <w:shd w:val="clear" w:color="auto" w:fill="0033A0"/>
            <w:vAlign w:val="center"/>
          </w:tcPr>
          <w:p w14:paraId="61666A84" w14:textId="6256291F" w:rsidR="00247E08" w:rsidRPr="00F91F0A" w:rsidRDefault="00247E08" w:rsidP="00452DC5">
            <w:pPr>
              <w:spacing w:line="276" w:lineRule="auto"/>
              <w:rPr>
                <w:rFonts w:ascii="Arial" w:hAnsi="Arial" w:cs="Arial"/>
                <w:b/>
                <w:sz w:val="20"/>
                <w:szCs w:val="20"/>
              </w:rPr>
            </w:pPr>
            <w:r w:rsidRPr="00F91F0A">
              <w:rPr>
                <w:rFonts w:ascii="Arial" w:hAnsi="Arial" w:cs="Arial"/>
                <w:b/>
                <w:sz w:val="20"/>
                <w:szCs w:val="20"/>
              </w:rPr>
              <w:t>Demandante</w:t>
            </w:r>
            <w:r w:rsidR="009E7D3B" w:rsidRPr="00F91F0A">
              <w:rPr>
                <w:rFonts w:ascii="Arial" w:hAnsi="Arial" w:cs="Arial"/>
                <w:b/>
                <w:sz w:val="20"/>
                <w:szCs w:val="20"/>
              </w:rPr>
              <w:t>s</w:t>
            </w:r>
          </w:p>
        </w:tc>
        <w:tc>
          <w:tcPr>
            <w:tcW w:w="7512" w:type="dxa"/>
            <w:gridSpan w:val="3"/>
            <w:vAlign w:val="center"/>
          </w:tcPr>
          <w:p w14:paraId="31112D16" w14:textId="73B07DBC" w:rsidR="00247E08" w:rsidRPr="00F91F0A" w:rsidRDefault="00FB0EB0" w:rsidP="00452DC5">
            <w:pPr>
              <w:spacing w:line="276" w:lineRule="auto"/>
              <w:jc w:val="both"/>
              <w:rPr>
                <w:rFonts w:ascii="Arial" w:hAnsi="Arial" w:cs="Arial"/>
                <w:iCs/>
                <w:sz w:val="20"/>
                <w:szCs w:val="20"/>
              </w:rPr>
            </w:pPr>
            <w:r w:rsidRPr="00F91F0A">
              <w:rPr>
                <w:rFonts w:ascii="Arial" w:hAnsi="Arial" w:cs="Arial"/>
                <w:iCs/>
                <w:sz w:val="20"/>
                <w:szCs w:val="20"/>
              </w:rPr>
              <w:t>ERIKA ANDREA PEÑA MUÑOZ S.A.S</w:t>
            </w:r>
            <w:r w:rsidR="00F91F0A">
              <w:rPr>
                <w:rFonts w:ascii="Arial" w:hAnsi="Arial" w:cs="Arial"/>
                <w:iCs/>
                <w:sz w:val="20"/>
                <w:szCs w:val="20"/>
              </w:rPr>
              <w:t xml:space="preserve"> </w:t>
            </w:r>
            <w:r w:rsidR="00F91F0A" w:rsidRPr="00F91F0A">
              <w:rPr>
                <w:rFonts w:ascii="Arial" w:hAnsi="Arial" w:cs="Arial"/>
                <w:iCs/>
                <w:sz w:val="20"/>
                <w:szCs w:val="20"/>
              </w:rPr>
              <w:t>(antes DERMPATH CALI S.A.S.)</w:t>
            </w:r>
            <w:r w:rsidRPr="00F91F0A">
              <w:rPr>
                <w:rFonts w:ascii="Arial" w:hAnsi="Arial" w:cs="Arial"/>
                <w:iCs/>
                <w:sz w:val="20"/>
                <w:szCs w:val="20"/>
              </w:rPr>
              <w:t xml:space="preserve"> – NIT: 900.411.167</w:t>
            </w:r>
          </w:p>
        </w:tc>
      </w:tr>
      <w:tr w:rsidR="00954C7D" w:rsidRPr="00F91F0A" w14:paraId="3184660E" w14:textId="77777777" w:rsidTr="008F3801">
        <w:trPr>
          <w:trHeight w:val="545"/>
        </w:trPr>
        <w:tc>
          <w:tcPr>
            <w:tcW w:w="2338" w:type="dxa"/>
            <w:shd w:val="clear" w:color="auto" w:fill="0033A0"/>
            <w:vAlign w:val="center"/>
          </w:tcPr>
          <w:p w14:paraId="1946D0B5" w14:textId="1E747231" w:rsidR="00954C7D" w:rsidRPr="00F91F0A" w:rsidRDefault="00954C7D" w:rsidP="00452DC5">
            <w:pPr>
              <w:spacing w:line="276" w:lineRule="auto"/>
              <w:rPr>
                <w:rFonts w:ascii="Arial" w:hAnsi="Arial" w:cs="Arial"/>
                <w:b/>
                <w:sz w:val="20"/>
                <w:szCs w:val="20"/>
              </w:rPr>
            </w:pPr>
            <w:r w:rsidRPr="00F91F0A">
              <w:rPr>
                <w:rFonts w:ascii="Arial" w:hAnsi="Arial" w:cs="Arial"/>
                <w:b/>
                <w:sz w:val="20"/>
                <w:szCs w:val="20"/>
              </w:rPr>
              <w:t>Demandados</w:t>
            </w:r>
          </w:p>
        </w:tc>
        <w:tc>
          <w:tcPr>
            <w:tcW w:w="7512" w:type="dxa"/>
            <w:gridSpan w:val="3"/>
            <w:vAlign w:val="center"/>
          </w:tcPr>
          <w:p w14:paraId="068F8CD5" w14:textId="6CD82FA6" w:rsidR="002C6436" w:rsidRPr="000E0D4A" w:rsidRDefault="00FB0EB0" w:rsidP="00452DC5">
            <w:pPr>
              <w:pStyle w:val="Prrafodelista"/>
              <w:numPr>
                <w:ilvl w:val="0"/>
                <w:numId w:val="35"/>
              </w:numPr>
              <w:spacing w:line="276" w:lineRule="auto"/>
              <w:jc w:val="both"/>
              <w:rPr>
                <w:rFonts w:ascii="Arial" w:hAnsi="Arial" w:cs="Arial"/>
                <w:iCs/>
                <w:sz w:val="20"/>
                <w:szCs w:val="20"/>
              </w:rPr>
            </w:pPr>
            <w:r w:rsidRPr="000E0D4A">
              <w:rPr>
                <w:rFonts w:ascii="Arial" w:hAnsi="Arial" w:cs="Arial"/>
                <w:iCs/>
                <w:sz w:val="20"/>
                <w:szCs w:val="20"/>
              </w:rPr>
              <w:t>WORLD TRADE CENTER CALI P</w:t>
            </w:r>
            <w:r w:rsidR="000E0D4A">
              <w:rPr>
                <w:rFonts w:ascii="Arial" w:hAnsi="Arial" w:cs="Arial"/>
                <w:iCs/>
                <w:sz w:val="20"/>
                <w:szCs w:val="20"/>
              </w:rPr>
              <w:t xml:space="preserve">ropiedad </w:t>
            </w:r>
            <w:r w:rsidRPr="000E0D4A">
              <w:rPr>
                <w:rFonts w:ascii="Arial" w:hAnsi="Arial" w:cs="Arial"/>
                <w:iCs/>
                <w:sz w:val="20"/>
                <w:szCs w:val="20"/>
              </w:rPr>
              <w:t>H</w:t>
            </w:r>
            <w:r w:rsidR="000E0D4A">
              <w:rPr>
                <w:rFonts w:ascii="Arial" w:hAnsi="Arial" w:cs="Arial"/>
                <w:iCs/>
                <w:sz w:val="20"/>
                <w:szCs w:val="20"/>
              </w:rPr>
              <w:t>orizontal</w:t>
            </w:r>
          </w:p>
          <w:p w14:paraId="7B2762DF" w14:textId="77777777" w:rsidR="00FB0EB0" w:rsidRPr="000E0D4A" w:rsidRDefault="00FB0EB0" w:rsidP="00452DC5">
            <w:pPr>
              <w:pStyle w:val="Prrafodelista"/>
              <w:numPr>
                <w:ilvl w:val="0"/>
                <w:numId w:val="35"/>
              </w:numPr>
              <w:spacing w:line="276" w:lineRule="auto"/>
              <w:jc w:val="both"/>
              <w:rPr>
                <w:rFonts w:ascii="Arial" w:hAnsi="Arial" w:cs="Arial"/>
                <w:iCs/>
                <w:sz w:val="20"/>
                <w:szCs w:val="20"/>
              </w:rPr>
            </w:pPr>
            <w:r w:rsidRPr="000E0D4A">
              <w:rPr>
                <w:rFonts w:ascii="Arial" w:hAnsi="Arial" w:cs="Arial"/>
                <w:iCs/>
                <w:sz w:val="20"/>
                <w:szCs w:val="20"/>
              </w:rPr>
              <w:t>SBS SEGUROS COLOMBIA S.A.</w:t>
            </w:r>
          </w:p>
          <w:p w14:paraId="45173E3D" w14:textId="77777777" w:rsidR="00770AB6" w:rsidRDefault="00770AB6" w:rsidP="00770AB6">
            <w:pPr>
              <w:pStyle w:val="Prrafodelista"/>
              <w:numPr>
                <w:ilvl w:val="0"/>
                <w:numId w:val="35"/>
              </w:numPr>
              <w:spacing w:line="276" w:lineRule="auto"/>
              <w:jc w:val="both"/>
              <w:rPr>
                <w:rFonts w:ascii="Arial" w:hAnsi="Arial" w:cs="Arial"/>
                <w:iCs/>
                <w:sz w:val="20"/>
                <w:szCs w:val="20"/>
              </w:rPr>
            </w:pPr>
            <w:r w:rsidRPr="0099676D">
              <w:rPr>
                <w:rFonts w:ascii="Arial" w:hAnsi="Arial" w:cs="Arial"/>
                <w:iCs/>
                <w:sz w:val="20"/>
                <w:szCs w:val="20"/>
              </w:rPr>
              <w:t>SEGUROS GENERALES SURAMERICANA S.A.</w:t>
            </w:r>
          </w:p>
          <w:p w14:paraId="6209B3CA" w14:textId="77777777" w:rsidR="00FB0EB0" w:rsidRPr="000E0D4A" w:rsidRDefault="00FB0EB0" w:rsidP="00452DC5">
            <w:pPr>
              <w:pStyle w:val="Prrafodelista"/>
              <w:numPr>
                <w:ilvl w:val="0"/>
                <w:numId w:val="35"/>
              </w:numPr>
              <w:spacing w:line="276" w:lineRule="auto"/>
              <w:jc w:val="both"/>
              <w:rPr>
                <w:rFonts w:ascii="Arial" w:hAnsi="Arial" w:cs="Arial"/>
                <w:iCs/>
                <w:sz w:val="20"/>
                <w:szCs w:val="20"/>
              </w:rPr>
            </w:pPr>
            <w:r w:rsidRPr="000E0D4A">
              <w:rPr>
                <w:rFonts w:ascii="Arial" w:hAnsi="Arial" w:cs="Arial"/>
                <w:iCs/>
                <w:sz w:val="20"/>
                <w:szCs w:val="20"/>
              </w:rPr>
              <w:t>PAOLA ANDREA SÁNCHEZ TROCHEZ</w:t>
            </w:r>
          </w:p>
          <w:p w14:paraId="4CC15FC8" w14:textId="6AEAFB2F" w:rsidR="000E0D4A" w:rsidRPr="000E0D4A" w:rsidRDefault="00452DC5" w:rsidP="00452DC5">
            <w:pPr>
              <w:pStyle w:val="Prrafodelista"/>
              <w:numPr>
                <w:ilvl w:val="0"/>
                <w:numId w:val="35"/>
              </w:numPr>
              <w:spacing w:line="276" w:lineRule="auto"/>
              <w:jc w:val="both"/>
              <w:rPr>
                <w:rFonts w:ascii="Arial" w:hAnsi="Arial" w:cs="Arial"/>
                <w:iCs/>
                <w:sz w:val="20"/>
                <w:szCs w:val="20"/>
              </w:rPr>
            </w:pPr>
            <w:r>
              <w:rPr>
                <w:rFonts w:ascii="Arial" w:hAnsi="Arial" w:cs="Arial"/>
                <w:iCs/>
                <w:sz w:val="20"/>
                <w:szCs w:val="20"/>
              </w:rPr>
              <w:t>MARÍO GERMAN SALCEDO</w:t>
            </w:r>
          </w:p>
        </w:tc>
      </w:tr>
      <w:tr w:rsidR="00954C7D" w:rsidRPr="00F91F0A" w14:paraId="45AB4561" w14:textId="77777777" w:rsidTr="008F3801">
        <w:trPr>
          <w:trHeight w:val="545"/>
        </w:trPr>
        <w:tc>
          <w:tcPr>
            <w:tcW w:w="2338" w:type="dxa"/>
            <w:shd w:val="clear" w:color="auto" w:fill="0033A0"/>
            <w:vAlign w:val="center"/>
          </w:tcPr>
          <w:p w14:paraId="0220664F" w14:textId="74168ED4" w:rsidR="00954C7D" w:rsidRPr="00F91F0A" w:rsidRDefault="00954C7D" w:rsidP="00452DC5">
            <w:pPr>
              <w:spacing w:line="276" w:lineRule="auto"/>
              <w:rPr>
                <w:rFonts w:ascii="Arial" w:hAnsi="Arial" w:cs="Arial"/>
                <w:b/>
                <w:sz w:val="20"/>
                <w:szCs w:val="20"/>
              </w:rPr>
            </w:pPr>
            <w:r w:rsidRPr="00F91F0A">
              <w:rPr>
                <w:rFonts w:ascii="Arial" w:hAnsi="Arial" w:cs="Arial"/>
                <w:b/>
                <w:sz w:val="20"/>
                <w:szCs w:val="20"/>
              </w:rPr>
              <w:t>Llamante en garantía</w:t>
            </w:r>
          </w:p>
        </w:tc>
        <w:tc>
          <w:tcPr>
            <w:tcW w:w="7512" w:type="dxa"/>
            <w:gridSpan w:val="3"/>
            <w:vAlign w:val="center"/>
          </w:tcPr>
          <w:p w14:paraId="3001872B" w14:textId="1DDD27A5" w:rsidR="00954C7D" w:rsidRPr="00F91F0A" w:rsidRDefault="006F3FB0" w:rsidP="00452DC5">
            <w:pPr>
              <w:spacing w:line="276" w:lineRule="auto"/>
              <w:jc w:val="both"/>
              <w:rPr>
                <w:rFonts w:ascii="Arial" w:hAnsi="Arial" w:cs="Arial"/>
                <w:iCs/>
                <w:sz w:val="20"/>
                <w:szCs w:val="20"/>
              </w:rPr>
            </w:pPr>
            <w:r>
              <w:rPr>
                <w:rFonts w:ascii="Arial" w:hAnsi="Arial" w:cs="Arial"/>
                <w:iCs/>
                <w:sz w:val="20"/>
                <w:szCs w:val="20"/>
              </w:rPr>
              <w:t>N/A</w:t>
            </w:r>
          </w:p>
        </w:tc>
      </w:tr>
      <w:tr w:rsidR="00954C7D" w:rsidRPr="00F91F0A" w14:paraId="5BFE20EE" w14:textId="77777777" w:rsidTr="00FB0EB0">
        <w:trPr>
          <w:cantSplit/>
          <w:trHeight w:val="566"/>
        </w:trPr>
        <w:tc>
          <w:tcPr>
            <w:tcW w:w="2338" w:type="dxa"/>
            <w:shd w:val="clear" w:color="auto" w:fill="0033A0"/>
            <w:vAlign w:val="center"/>
          </w:tcPr>
          <w:p w14:paraId="3F4BFE3A" w14:textId="14FECE14" w:rsidR="00954C7D" w:rsidRPr="00F91F0A" w:rsidRDefault="00954C7D" w:rsidP="00452DC5">
            <w:pPr>
              <w:spacing w:line="276" w:lineRule="auto"/>
              <w:rPr>
                <w:rFonts w:ascii="Arial" w:hAnsi="Arial" w:cs="Arial"/>
                <w:b/>
                <w:sz w:val="20"/>
                <w:szCs w:val="20"/>
              </w:rPr>
            </w:pPr>
            <w:r w:rsidRPr="00F91F0A">
              <w:rPr>
                <w:rFonts w:ascii="Arial" w:hAnsi="Arial" w:cs="Arial"/>
                <w:b/>
                <w:sz w:val="20"/>
                <w:szCs w:val="20"/>
              </w:rPr>
              <w:t>Autoridad de conocimiento</w:t>
            </w:r>
          </w:p>
        </w:tc>
        <w:tc>
          <w:tcPr>
            <w:tcW w:w="3543" w:type="dxa"/>
            <w:vAlign w:val="center"/>
          </w:tcPr>
          <w:p w14:paraId="52AE397D" w14:textId="239C366D" w:rsidR="00954C7D" w:rsidRPr="00F91F0A" w:rsidRDefault="00FB0EB0" w:rsidP="00452DC5">
            <w:pPr>
              <w:spacing w:line="276" w:lineRule="auto"/>
              <w:jc w:val="both"/>
              <w:rPr>
                <w:rFonts w:ascii="Arial" w:hAnsi="Arial" w:cs="Arial"/>
                <w:iCs/>
                <w:sz w:val="20"/>
                <w:szCs w:val="20"/>
              </w:rPr>
            </w:pPr>
            <w:r w:rsidRPr="00F91F0A">
              <w:rPr>
                <w:rFonts w:ascii="Arial" w:hAnsi="Arial" w:cs="Arial"/>
                <w:iCs/>
                <w:sz w:val="20"/>
                <w:szCs w:val="20"/>
              </w:rPr>
              <w:t>Juzgado 18 Civil del Circuito de Cali</w:t>
            </w:r>
            <w:r w:rsidR="004B709D" w:rsidRPr="00F91F0A">
              <w:rPr>
                <w:rFonts w:ascii="Arial" w:hAnsi="Arial" w:cs="Arial"/>
                <w:iCs/>
                <w:sz w:val="20"/>
                <w:szCs w:val="20"/>
              </w:rPr>
              <w:t xml:space="preserve"> </w:t>
            </w:r>
          </w:p>
        </w:tc>
        <w:tc>
          <w:tcPr>
            <w:tcW w:w="1276" w:type="dxa"/>
            <w:shd w:val="clear" w:color="auto" w:fill="0033A0"/>
            <w:vAlign w:val="center"/>
          </w:tcPr>
          <w:p w14:paraId="6164DA6C" w14:textId="179A804C" w:rsidR="00954C7D" w:rsidRPr="00F91F0A" w:rsidRDefault="00954C7D" w:rsidP="00452DC5">
            <w:pPr>
              <w:spacing w:line="276" w:lineRule="auto"/>
              <w:jc w:val="both"/>
              <w:rPr>
                <w:rFonts w:ascii="Arial" w:hAnsi="Arial" w:cs="Arial"/>
                <w:b/>
                <w:bCs/>
                <w:sz w:val="20"/>
                <w:szCs w:val="20"/>
              </w:rPr>
            </w:pPr>
            <w:r w:rsidRPr="00F91F0A">
              <w:rPr>
                <w:rFonts w:ascii="Arial" w:hAnsi="Arial" w:cs="Arial"/>
                <w:b/>
                <w:bCs/>
                <w:sz w:val="20"/>
                <w:szCs w:val="20"/>
              </w:rPr>
              <w:t>Radicado</w:t>
            </w:r>
          </w:p>
        </w:tc>
        <w:tc>
          <w:tcPr>
            <w:tcW w:w="2693" w:type="dxa"/>
            <w:vAlign w:val="center"/>
          </w:tcPr>
          <w:p w14:paraId="751C5BE4" w14:textId="4982D098" w:rsidR="00954C7D" w:rsidRPr="00F91F0A" w:rsidRDefault="00FB0EB0" w:rsidP="00452DC5">
            <w:pPr>
              <w:spacing w:line="276" w:lineRule="auto"/>
              <w:jc w:val="both"/>
              <w:rPr>
                <w:rFonts w:ascii="Arial" w:hAnsi="Arial" w:cs="Arial"/>
                <w:sz w:val="20"/>
                <w:szCs w:val="20"/>
              </w:rPr>
            </w:pPr>
            <w:r w:rsidRPr="00F91F0A">
              <w:rPr>
                <w:rFonts w:ascii="Arial" w:hAnsi="Arial" w:cs="Arial"/>
                <w:iCs/>
                <w:sz w:val="20"/>
                <w:szCs w:val="20"/>
              </w:rPr>
              <w:t>760013103018-2025-00195-00</w:t>
            </w:r>
          </w:p>
        </w:tc>
      </w:tr>
      <w:tr w:rsidR="00954C7D" w:rsidRPr="00F91F0A" w14:paraId="2335A9D5" w14:textId="77777777" w:rsidTr="008F3801">
        <w:trPr>
          <w:trHeight w:val="516"/>
        </w:trPr>
        <w:tc>
          <w:tcPr>
            <w:tcW w:w="2338" w:type="dxa"/>
            <w:shd w:val="clear" w:color="auto" w:fill="0033A0"/>
            <w:vAlign w:val="center"/>
          </w:tcPr>
          <w:p w14:paraId="3F4221E7" w14:textId="120AFAC3" w:rsidR="00954C7D" w:rsidRPr="00F91F0A" w:rsidRDefault="00954C7D" w:rsidP="00452DC5">
            <w:pPr>
              <w:pStyle w:val="Ttulo7"/>
              <w:spacing w:line="276" w:lineRule="auto"/>
              <w:rPr>
                <w:rFonts w:ascii="Arial" w:hAnsi="Arial" w:cs="Arial"/>
                <w:sz w:val="20"/>
              </w:rPr>
            </w:pPr>
            <w:r w:rsidRPr="00F91F0A">
              <w:rPr>
                <w:rFonts w:ascii="Arial" w:hAnsi="Arial" w:cs="Arial"/>
                <w:sz w:val="20"/>
              </w:rPr>
              <w:lastRenderedPageBreak/>
              <w:t>Pretensiones solicitadas</w:t>
            </w:r>
          </w:p>
        </w:tc>
        <w:tc>
          <w:tcPr>
            <w:tcW w:w="7512" w:type="dxa"/>
            <w:gridSpan w:val="3"/>
            <w:vAlign w:val="center"/>
          </w:tcPr>
          <w:p w14:paraId="120FC37F" w14:textId="13FE0730" w:rsidR="000A0A02" w:rsidRPr="00F91F0A" w:rsidRDefault="00FB0EB0"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DERMATÓLOGA ERIKA ANDREA PEÑA MUÑOZ S.A.S., antes DERMPATH CALI S.A.S., prest</w:t>
            </w:r>
            <w:r w:rsidR="00FC61AE">
              <w:rPr>
                <w:rFonts w:ascii="Arial" w:hAnsi="Arial" w:cs="Arial"/>
                <w:sz w:val="20"/>
                <w:szCs w:val="20"/>
              </w:rPr>
              <w:t>ó</w:t>
            </w:r>
            <w:r w:rsidRPr="00F91F0A">
              <w:rPr>
                <w:rFonts w:ascii="Arial" w:hAnsi="Arial" w:cs="Arial"/>
                <w:sz w:val="20"/>
                <w:szCs w:val="20"/>
              </w:rPr>
              <w:t xml:space="preserve"> servicio de atención en salud, en el Centro Comercial </w:t>
            </w:r>
            <w:proofErr w:type="spellStart"/>
            <w:r w:rsidRPr="00F91F0A">
              <w:rPr>
                <w:rFonts w:ascii="Arial" w:hAnsi="Arial" w:cs="Arial"/>
                <w:sz w:val="20"/>
                <w:szCs w:val="20"/>
              </w:rPr>
              <w:t>World</w:t>
            </w:r>
            <w:proofErr w:type="spellEnd"/>
            <w:r w:rsidRPr="00F91F0A">
              <w:rPr>
                <w:rFonts w:ascii="Arial" w:hAnsi="Arial" w:cs="Arial"/>
                <w:sz w:val="20"/>
                <w:szCs w:val="20"/>
              </w:rPr>
              <w:t xml:space="preserve"> </w:t>
            </w:r>
            <w:proofErr w:type="spellStart"/>
            <w:r w:rsidRPr="00F91F0A">
              <w:rPr>
                <w:rFonts w:ascii="Arial" w:hAnsi="Arial" w:cs="Arial"/>
                <w:sz w:val="20"/>
                <w:szCs w:val="20"/>
              </w:rPr>
              <w:t>Trade</w:t>
            </w:r>
            <w:proofErr w:type="spellEnd"/>
            <w:r w:rsidRPr="00F91F0A">
              <w:rPr>
                <w:rFonts w:ascii="Arial" w:hAnsi="Arial" w:cs="Arial"/>
                <w:sz w:val="20"/>
                <w:szCs w:val="20"/>
              </w:rPr>
              <w:t xml:space="preserve"> Center Cali PH, en el local 311.</w:t>
            </w:r>
          </w:p>
          <w:p w14:paraId="29DD54E5" w14:textId="5252B4C9" w:rsidR="00FB0EB0" w:rsidRPr="00F91F0A" w:rsidRDefault="00FB0EB0"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 xml:space="preserve">La propietaria del local 311, es la Constructora Colpatria S.A., con quien la sociedad </w:t>
            </w:r>
            <w:proofErr w:type="spellStart"/>
            <w:r w:rsidRPr="00F91F0A">
              <w:rPr>
                <w:rFonts w:ascii="Arial" w:hAnsi="Arial" w:cs="Arial"/>
                <w:sz w:val="20"/>
                <w:szCs w:val="20"/>
              </w:rPr>
              <w:t>Demapath</w:t>
            </w:r>
            <w:proofErr w:type="spellEnd"/>
            <w:r w:rsidRPr="00F91F0A">
              <w:rPr>
                <w:rFonts w:ascii="Arial" w:hAnsi="Arial" w:cs="Arial"/>
                <w:sz w:val="20"/>
                <w:szCs w:val="20"/>
              </w:rPr>
              <w:t xml:space="preserve"> Cali SAS, suscribió contrato de arrendamiento.</w:t>
            </w:r>
          </w:p>
          <w:p w14:paraId="5B419501" w14:textId="17449B16" w:rsidR="00FB0EB0" w:rsidRPr="00F91F0A" w:rsidRDefault="00FB0EB0"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La sociedad demandante, realizó inve</w:t>
            </w:r>
            <w:r w:rsidR="00FC61AE">
              <w:rPr>
                <w:rFonts w:ascii="Arial" w:hAnsi="Arial" w:cs="Arial"/>
                <w:sz w:val="20"/>
                <w:szCs w:val="20"/>
              </w:rPr>
              <w:t>rs</w:t>
            </w:r>
            <w:r w:rsidRPr="00F91F0A">
              <w:rPr>
                <w:rFonts w:ascii="Arial" w:hAnsi="Arial" w:cs="Arial"/>
                <w:sz w:val="20"/>
                <w:szCs w:val="20"/>
              </w:rPr>
              <w:t>iones para la adecuación del local 311, para poder prestar el servicio de salud dermatológico. Una de las inversiones realizadas, fue la compra del equipo</w:t>
            </w:r>
            <w:r w:rsidR="00B80ADC" w:rsidRPr="00F91F0A">
              <w:rPr>
                <w:rFonts w:ascii="Arial" w:hAnsi="Arial" w:cs="Arial"/>
                <w:sz w:val="20"/>
                <w:szCs w:val="20"/>
              </w:rPr>
              <w:t xml:space="preserve"> identificado como ECO 2 PLUS, por valor de $176.219.065.</w:t>
            </w:r>
          </w:p>
          <w:p w14:paraId="49EEC47B" w14:textId="77777777" w:rsidR="00775AA0" w:rsidRPr="00F91F0A" w:rsidRDefault="00775AA0"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El 03 de noviembre de 2023, en el local 419 de la PH, se presentó una filtración, debido a las adecuaciones físicas para el funcionamiento del consultorio odontológico de la señora Paola Andrea Sánchez y Mario German Salcedo.</w:t>
            </w:r>
          </w:p>
          <w:p w14:paraId="5223D99A" w14:textId="0B78D3B9" w:rsidR="00B80ADC" w:rsidRPr="00F91F0A" w:rsidRDefault="00775AA0"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Como consecuencia de la filtración, el cielo falso del local 311, sufrió una humedad</w:t>
            </w:r>
            <w:r w:rsidR="006355B6" w:rsidRPr="00F91F0A">
              <w:rPr>
                <w:rFonts w:ascii="Arial" w:hAnsi="Arial" w:cs="Arial"/>
                <w:sz w:val="20"/>
                <w:szCs w:val="20"/>
              </w:rPr>
              <w:t>, situación que fue informada a la administración de la PH. Sin embargo, hasta la fecha no tienen respuesta por parte de la administración del Centro Comercial.</w:t>
            </w:r>
          </w:p>
          <w:p w14:paraId="248381AF" w14:textId="1A10F449" w:rsidR="006355B6" w:rsidRPr="00F91F0A" w:rsidRDefault="006355B6"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El 23 de noviembre de 2023, el señor Pablo Bernate, se comunic</w:t>
            </w:r>
            <w:r w:rsidR="00FC61AE">
              <w:rPr>
                <w:rFonts w:ascii="Arial" w:hAnsi="Arial" w:cs="Arial"/>
                <w:sz w:val="20"/>
                <w:szCs w:val="20"/>
              </w:rPr>
              <w:t>ó</w:t>
            </w:r>
            <w:r w:rsidRPr="00F91F0A">
              <w:rPr>
                <w:rFonts w:ascii="Arial" w:hAnsi="Arial" w:cs="Arial"/>
                <w:sz w:val="20"/>
                <w:szCs w:val="20"/>
              </w:rPr>
              <w:t xml:space="preserve"> con la R</w:t>
            </w:r>
            <w:r w:rsidR="00FC61AE">
              <w:rPr>
                <w:rFonts w:ascii="Arial" w:hAnsi="Arial" w:cs="Arial"/>
                <w:sz w:val="20"/>
                <w:szCs w:val="20"/>
              </w:rPr>
              <w:t>epresentante legal</w:t>
            </w:r>
            <w:r w:rsidRPr="00F91F0A">
              <w:rPr>
                <w:rFonts w:ascii="Arial" w:hAnsi="Arial" w:cs="Arial"/>
                <w:sz w:val="20"/>
                <w:szCs w:val="20"/>
              </w:rPr>
              <w:t xml:space="preserve"> de la sociedad Dermatóloga Erika Andrea Peña Muñoz, vía telefónica le informa que el local 311 est</w:t>
            </w:r>
            <w:r w:rsidR="00FC61AE">
              <w:rPr>
                <w:rFonts w:ascii="Arial" w:hAnsi="Arial" w:cs="Arial"/>
                <w:sz w:val="20"/>
                <w:szCs w:val="20"/>
              </w:rPr>
              <w:t>á</w:t>
            </w:r>
            <w:r w:rsidRPr="00F91F0A">
              <w:rPr>
                <w:rFonts w:ascii="Arial" w:hAnsi="Arial" w:cs="Arial"/>
                <w:sz w:val="20"/>
                <w:szCs w:val="20"/>
              </w:rPr>
              <w:t xml:space="preserve"> sufriendo una inundación proveniente del local 419, situación que la hoy demandante debió atender de manera prioritaria.</w:t>
            </w:r>
          </w:p>
          <w:p w14:paraId="61DE71C1" w14:textId="17784CDE" w:rsidR="006355B6" w:rsidRPr="00F91F0A" w:rsidRDefault="006355B6"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 xml:space="preserve">La demandante al arribar al local 311, encontró todos los enseres y herramientas de trabajo afectados, al igual que las propias instalaciones del local, debido a la inundación. Una de las afectaciones más importantes, fue el ECO 2 PLUS, </w:t>
            </w:r>
            <w:r w:rsidR="008D583D" w:rsidRPr="00F91F0A">
              <w:rPr>
                <w:rFonts w:ascii="Arial" w:hAnsi="Arial" w:cs="Arial"/>
                <w:sz w:val="20"/>
                <w:szCs w:val="20"/>
              </w:rPr>
              <w:t>declarado como p</w:t>
            </w:r>
            <w:r w:rsidR="00FC61AE">
              <w:rPr>
                <w:rFonts w:ascii="Arial" w:hAnsi="Arial" w:cs="Arial"/>
                <w:sz w:val="20"/>
                <w:szCs w:val="20"/>
              </w:rPr>
              <w:t>é</w:t>
            </w:r>
            <w:r w:rsidR="008D583D" w:rsidRPr="00F91F0A">
              <w:rPr>
                <w:rFonts w:ascii="Arial" w:hAnsi="Arial" w:cs="Arial"/>
                <w:sz w:val="20"/>
                <w:szCs w:val="20"/>
              </w:rPr>
              <w:t>rdida total, por el mismo vendedor.</w:t>
            </w:r>
          </w:p>
          <w:p w14:paraId="348426ED" w14:textId="005A773D" w:rsidR="008D583D" w:rsidRPr="00F91F0A" w:rsidRDefault="008D583D"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El 25 de noviembre de 2023, la hoy demandante, envía comunicado nuevamente a la administración de la PH, a los propietarios del local 419 y al arquitecto de ese mismo local, solicitando información de la causa de la inundación.</w:t>
            </w:r>
          </w:p>
          <w:p w14:paraId="09C40A2F" w14:textId="461C3F96" w:rsidR="008D583D" w:rsidRPr="00F91F0A" w:rsidRDefault="008D583D"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La inundación impidió que la demandante prestara el servicio durante el 23 de noviembre de 2023 hasta el 15 de diciembre de 2023.</w:t>
            </w:r>
          </w:p>
          <w:p w14:paraId="1D20292A" w14:textId="0C453999" w:rsidR="008D583D" w:rsidRPr="00F91F0A" w:rsidRDefault="008D583D"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Según el reporte elaborado por el jefe de Operaciones de la Propiedad Horizontal, WORLD TRADE CENTER CALI, la causa del daño obedece a la fisura de un tapón de PVC instalado en la tubería galvanizada del local 419.</w:t>
            </w:r>
          </w:p>
          <w:p w14:paraId="031C28BB" w14:textId="15D7FA49" w:rsidR="008D583D" w:rsidRPr="00F91F0A" w:rsidRDefault="008D583D" w:rsidP="00452DC5">
            <w:pPr>
              <w:pStyle w:val="Sinespaciado"/>
              <w:numPr>
                <w:ilvl w:val="0"/>
                <w:numId w:val="33"/>
              </w:numPr>
              <w:spacing w:line="276" w:lineRule="auto"/>
              <w:jc w:val="both"/>
              <w:rPr>
                <w:rFonts w:ascii="Arial" w:hAnsi="Arial" w:cs="Arial"/>
                <w:i/>
                <w:iCs/>
                <w:sz w:val="20"/>
                <w:szCs w:val="20"/>
              </w:rPr>
            </w:pPr>
            <w:r w:rsidRPr="00F91F0A">
              <w:rPr>
                <w:rFonts w:ascii="Arial" w:hAnsi="Arial" w:cs="Arial"/>
                <w:sz w:val="20"/>
                <w:szCs w:val="20"/>
              </w:rPr>
              <w:t xml:space="preserve">El Ingeniero Román Andrés Vásquez Vélez, presentó un estudio complementario, donde concluyó que </w:t>
            </w:r>
            <w:r w:rsidRPr="00F91F0A">
              <w:rPr>
                <w:rFonts w:ascii="Arial" w:hAnsi="Arial" w:cs="Arial"/>
                <w:i/>
                <w:iCs/>
                <w:sz w:val="20"/>
                <w:szCs w:val="20"/>
              </w:rPr>
              <w:t>“4.1La Fisura del Tapón PVC presión se dio por una mala práctica de instalación, lo que ocasionó el daño del elemento, que se generará la inundación en el local 419.”</w:t>
            </w:r>
          </w:p>
          <w:p w14:paraId="388C8A6E" w14:textId="4B7631BC" w:rsidR="008D583D" w:rsidRPr="00F91F0A" w:rsidRDefault="008D583D" w:rsidP="00452DC5">
            <w:pPr>
              <w:pStyle w:val="Sinespaciado"/>
              <w:numPr>
                <w:ilvl w:val="0"/>
                <w:numId w:val="33"/>
              </w:numPr>
              <w:spacing w:line="276" w:lineRule="auto"/>
              <w:jc w:val="both"/>
              <w:rPr>
                <w:rFonts w:ascii="Arial" w:hAnsi="Arial" w:cs="Arial"/>
                <w:sz w:val="20"/>
                <w:szCs w:val="20"/>
              </w:rPr>
            </w:pPr>
            <w:r w:rsidRPr="00F91F0A">
              <w:rPr>
                <w:rFonts w:ascii="Arial" w:hAnsi="Arial" w:cs="Arial"/>
                <w:sz w:val="20"/>
                <w:szCs w:val="20"/>
              </w:rPr>
              <w:t>Con el fin de trasladar el riesgo que podría devenir de la responsabilidad civil, WORLD TRADE CENTER CALI P.H.-, contrató en coaseguro con SBS SEGUROS COLOMBIA S.A. y SEGUROS GENERALES SURAMERICANA S.A.-, la póliza No. 1000257, la cual contempla los amparos de Responsabilidad Predios Labores y Operaciones (PLO) y el opcional de “RCE CRUZADA DE CONTRATISTAS Y/O SUBCONTRATISTAS ENTRE SI Y/O FRENTE A TERCEROS”</w:t>
            </w:r>
            <w:r w:rsidR="00FC61AE">
              <w:rPr>
                <w:rFonts w:ascii="Arial" w:hAnsi="Arial" w:cs="Arial"/>
                <w:sz w:val="20"/>
                <w:szCs w:val="20"/>
              </w:rPr>
              <w:t>.</w:t>
            </w:r>
          </w:p>
          <w:p w14:paraId="22A3622A" w14:textId="77777777" w:rsidR="00484071" w:rsidRPr="00F91F0A" w:rsidRDefault="00484071" w:rsidP="00452DC5">
            <w:pPr>
              <w:spacing w:line="276" w:lineRule="auto"/>
              <w:ind w:right="375"/>
              <w:jc w:val="both"/>
              <w:rPr>
                <w:rFonts w:ascii="Arial" w:hAnsi="Arial" w:cs="Arial"/>
                <w:b/>
                <w:sz w:val="20"/>
                <w:szCs w:val="20"/>
              </w:rPr>
            </w:pPr>
          </w:p>
          <w:p w14:paraId="72D4F5B5" w14:textId="5CA62AF8" w:rsidR="00B6358F" w:rsidRPr="00F91F0A" w:rsidRDefault="00B6358F" w:rsidP="00452DC5">
            <w:pPr>
              <w:autoSpaceDE w:val="0"/>
              <w:autoSpaceDN w:val="0"/>
              <w:adjustRightInd w:val="0"/>
              <w:spacing w:line="276" w:lineRule="auto"/>
              <w:jc w:val="both"/>
              <w:rPr>
                <w:rFonts w:ascii="Arial" w:hAnsi="Arial" w:cs="Arial"/>
                <w:b/>
                <w:sz w:val="20"/>
                <w:szCs w:val="20"/>
              </w:rPr>
            </w:pPr>
            <w:r w:rsidRPr="00F91F0A">
              <w:rPr>
                <w:rFonts w:ascii="Arial" w:hAnsi="Arial" w:cs="Arial"/>
                <w:b/>
                <w:sz w:val="20"/>
                <w:szCs w:val="20"/>
              </w:rPr>
              <w:t>VALOR TOTAL DE LAS PRETENSIONES: $</w:t>
            </w:r>
            <w:r w:rsidR="008D583D" w:rsidRPr="00452DC5">
              <w:rPr>
                <w:rFonts w:ascii="Arial" w:hAnsi="Arial" w:cs="Arial"/>
                <w:sz w:val="20"/>
                <w:szCs w:val="20"/>
              </w:rPr>
              <w:t xml:space="preserve"> </w:t>
            </w:r>
            <w:r w:rsidR="008D583D" w:rsidRPr="00F91F0A">
              <w:rPr>
                <w:rFonts w:ascii="Arial" w:hAnsi="Arial" w:cs="Arial"/>
                <w:b/>
                <w:sz w:val="20"/>
                <w:szCs w:val="20"/>
              </w:rPr>
              <w:t xml:space="preserve">1.221.409.251 </w:t>
            </w:r>
            <w:r w:rsidRPr="00F91F0A">
              <w:rPr>
                <w:rFonts w:ascii="Arial" w:hAnsi="Arial" w:cs="Arial"/>
                <w:b/>
                <w:sz w:val="20"/>
                <w:szCs w:val="20"/>
              </w:rPr>
              <w:t>(</w:t>
            </w:r>
            <w:r w:rsidRPr="00F91F0A">
              <w:rPr>
                <w:rFonts w:ascii="Arial" w:eastAsiaTheme="minorHAnsi" w:hAnsi="Arial" w:cs="Arial"/>
                <w:b/>
                <w:sz w:val="20"/>
                <w:szCs w:val="20"/>
                <w:lang w:eastAsia="en-US"/>
              </w:rPr>
              <w:t xml:space="preserve">Mil </w:t>
            </w:r>
            <w:r w:rsidR="008D583D" w:rsidRPr="00F91F0A">
              <w:rPr>
                <w:rFonts w:ascii="Arial" w:eastAsiaTheme="minorHAnsi" w:hAnsi="Arial" w:cs="Arial"/>
                <w:b/>
                <w:sz w:val="20"/>
                <w:szCs w:val="20"/>
                <w:lang w:eastAsia="en-US"/>
              </w:rPr>
              <w:t>Doscientos veintiún millones cuatrocientos nueve mil doscientos cincuenta y un pesos</w:t>
            </w:r>
            <w:r w:rsidRPr="00F91F0A">
              <w:rPr>
                <w:rFonts w:ascii="Arial" w:eastAsiaTheme="minorHAnsi" w:hAnsi="Arial" w:cs="Arial"/>
                <w:b/>
                <w:sz w:val="20"/>
                <w:szCs w:val="20"/>
                <w:lang w:eastAsia="en-US"/>
              </w:rPr>
              <w:t>)</w:t>
            </w:r>
          </w:p>
          <w:p w14:paraId="671B73C8" w14:textId="49DE5E50" w:rsidR="00B6358F" w:rsidRPr="00F91F0A" w:rsidRDefault="00B6358F" w:rsidP="00452DC5">
            <w:pPr>
              <w:autoSpaceDE w:val="0"/>
              <w:autoSpaceDN w:val="0"/>
              <w:adjustRightInd w:val="0"/>
              <w:spacing w:line="276" w:lineRule="auto"/>
              <w:rPr>
                <w:rFonts w:ascii="Arial" w:hAnsi="Arial" w:cs="Arial"/>
                <w:b/>
                <w:sz w:val="20"/>
                <w:szCs w:val="20"/>
              </w:rPr>
            </w:pPr>
          </w:p>
        </w:tc>
      </w:tr>
      <w:tr w:rsidR="00954C7D" w:rsidRPr="00F91F0A" w14:paraId="2CCDBF49" w14:textId="77777777" w:rsidTr="008F3801">
        <w:trPr>
          <w:trHeight w:val="340"/>
        </w:trPr>
        <w:tc>
          <w:tcPr>
            <w:tcW w:w="2338" w:type="dxa"/>
            <w:shd w:val="clear" w:color="auto" w:fill="0033A0"/>
            <w:vAlign w:val="center"/>
          </w:tcPr>
          <w:p w14:paraId="5CC1129D" w14:textId="03354AA7" w:rsidR="00954C7D" w:rsidRPr="00F91F0A" w:rsidRDefault="00954C7D" w:rsidP="00452DC5">
            <w:pPr>
              <w:pStyle w:val="Ttulo7"/>
              <w:spacing w:line="276" w:lineRule="auto"/>
              <w:rPr>
                <w:rFonts w:ascii="Arial" w:hAnsi="Arial" w:cs="Arial"/>
                <w:sz w:val="20"/>
              </w:rPr>
            </w:pPr>
            <w:r w:rsidRPr="00F91F0A">
              <w:rPr>
                <w:rFonts w:ascii="Arial" w:hAnsi="Arial" w:cs="Arial"/>
                <w:sz w:val="20"/>
              </w:rPr>
              <w:t>Pretensiones objetivadas</w:t>
            </w:r>
          </w:p>
        </w:tc>
        <w:tc>
          <w:tcPr>
            <w:tcW w:w="7512" w:type="dxa"/>
            <w:gridSpan w:val="3"/>
            <w:vAlign w:val="center"/>
          </w:tcPr>
          <w:p w14:paraId="7FB0A0F7" w14:textId="1A523DBE" w:rsidR="00AA1753" w:rsidRPr="00F91F0A" w:rsidRDefault="003824B0" w:rsidP="00452DC5">
            <w:pPr>
              <w:pStyle w:val="Sangra2detindependiente"/>
              <w:spacing w:after="0" w:line="276" w:lineRule="auto"/>
              <w:ind w:left="0"/>
              <w:jc w:val="both"/>
              <w:rPr>
                <w:rFonts w:ascii="Arial" w:hAnsi="Arial" w:cs="Arial"/>
                <w:sz w:val="20"/>
                <w:szCs w:val="20"/>
              </w:rPr>
            </w:pPr>
            <w:r w:rsidRPr="00F91F0A">
              <w:rPr>
                <w:rFonts w:ascii="Arial" w:hAnsi="Arial" w:cs="Arial"/>
                <w:sz w:val="20"/>
                <w:szCs w:val="20"/>
              </w:rPr>
              <w:t xml:space="preserve">Se </w:t>
            </w:r>
            <w:r w:rsidR="00657799" w:rsidRPr="00F91F0A">
              <w:rPr>
                <w:rFonts w:ascii="Arial" w:hAnsi="Arial" w:cs="Arial"/>
                <w:sz w:val="20"/>
                <w:szCs w:val="20"/>
              </w:rPr>
              <w:t>liquida</w:t>
            </w:r>
            <w:r w:rsidRPr="00F91F0A">
              <w:rPr>
                <w:rFonts w:ascii="Arial" w:hAnsi="Arial" w:cs="Arial"/>
                <w:sz w:val="20"/>
                <w:szCs w:val="20"/>
              </w:rPr>
              <w:t xml:space="preserve"> objetivamente las pretensiones de la demanda, en el valor de: $176.219.065, bajo los siguientes conceptos:</w:t>
            </w:r>
          </w:p>
          <w:p w14:paraId="7147D1CF" w14:textId="77777777" w:rsidR="003824B0" w:rsidRPr="00F91F0A" w:rsidRDefault="003824B0" w:rsidP="00452DC5">
            <w:pPr>
              <w:pStyle w:val="Sangra2detindependiente"/>
              <w:spacing w:after="0" w:line="276" w:lineRule="auto"/>
              <w:ind w:left="0"/>
              <w:jc w:val="both"/>
              <w:rPr>
                <w:rFonts w:ascii="Arial" w:hAnsi="Arial" w:cs="Arial"/>
                <w:sz w:val="20"/>
                <w:szCs w:val="20"/>
              </w:rPr>
            </w:pPr>
          </w:p>
          <w:p w14:paraId="20C590B3" w14:textId="0989AC51" w:rsidR="003824B0" w:rsidRPr="00F91F0A" w:rsidRDefault="003824B0" w:rsidP="00452DC5">
            <w:pPr>
              <w:pStyle w:val="Sangra2detindependiente"/>
              <w:numPr>
                <w:ilvl w:val="0"/>
                <w:numId w:val="34"/>
              </w:numPr>
              <w:spacing w:after="0" w:line="276" w:lineRule="auto"/>
              <w:jc w:val="both"/>
              <w:rPr>
                <w:rFonts w:ascii="Arial" w:hAnsi="Arial" w:cs="Arial"/>
                <w:b/>
                <w:bCs/>
                <w:sz w:val="20"/>
                <w:szCs w:val="20"/>
              </w:rPr>
            </w:pPr>
            <w:r w:rsidRPr="00452DC5">
              <w:rPr>
                <w:rFonts w:ascii="Arial" w:hAnsi="Arial" w:cs="Arial"/>
                <w:b/>
                <w:sz w:val="20"/>
                <w:szCs w:val="20"/>
              </w:rPr>
              <w:t>Daño emergente: $176.219.065.</w:t>
            </w:r>
            <w:r w:rsidRPr="00F91F0A">
              <w:rPr>
                <w:rFonts w:ascii="Arial" w:hAnsi="Arial" w:cs="Arial"/>
                <w:sz w:val="20"/>
                <w:szCs w:val="20"/>
              </w:rPr>
              <w:t xml:space="preserve"> Se encuentra dentro del plenario una factura de compra, relacionada con la maquina ECO 2 PLUS, por el valor de $176.219.065, de fecha 29 de abril de 2022. Así mismo, si bien se aporta una cotización sobre una serie de mueble, lo cierto es que la misma data de julio de 2022, es decir antes de la ocurrencia de la inundación, desconociendo si efectivamente esos enseres se vieron afectados en su totalidad o no.</w:t>
            </w:r>
            <w:r w:rsidR="005D0B44" w:rsidRPr="00F91F0A">
              <w:rPr>
                <w:rFonts w:ascii="Arial" w:hAnsi="Arial" w:cs="Arial"/>
                <w:sz w:val="20"/>
                <w:szCs w:val="20"/>
              </w:rPr>
              <w:t xml:space="preserve"> Así mismo, no se reconoce ninguna suma por la maquina denominada ESTABILIZADOR, pues de acuerdo con lo narrado en la demanda, dicho instrumento no se encontraba dentro de las </w:t>
            </w:r>
            <w:r w:rsidR="00ED7710" w:rsidRPr="00F91F0A">
              <w:rPr>
                <w:rFonts w:ascii="Arial" w:hAnsi="Arial" w:cs="Arial"/>
                <w:sz w:val="20"/>
                <w:szCs w:val="20"/>
              </w:rPr>
              <w:t>instalaciones</w:t>
            </w:r>
            <w:r w:rsidR="005D0B44" w:rsidRPr="00F91F0A">
              <w:rPr>
                <w:rFonts w:ascii="Arial" w:hAnsi="Arial" w:cs="Arial"/>
                <w:sz w:val="20"/>
                <w:szCs w:val="20"/>
              </w:rPr>
              <w:t xml:space="preserve"> del local 311 para la fecha de la inundación, </w:t>
            </w:r>
            <w:r w:rsidR="00ED7710" w:rsidRPr="00F91F0A">
              <w:rPr>
                <w:rFonts w:ascii="Arial" w:hAnsi="Arial" w:cs="Arial"/>
                <w:sz w:val="20"/>
                <w:szCs w:val="20"/>
              </w:rPr>
              <w:t xml:space="preserve">pues el mismo sería entregado el 23/11/2023. Por lo dicho, es </w:t>
            </w:r>
            <w:r w:rsidR="005D0B44" w:rsidRPr="00F91F0A">
              <w:rPr>
                <w:rFonts w:ascii="Arial" w:hAnsi="Arial" w:cs="Arial"/>
                <w:sz w:val="20"/>
                <w:szCs w:val="20"/>
              </w:rPr>
              <w:t>claro que la misma no se vio afectada.</w:t>
            </w:r>
            <w:r w:rsidRPr="00F91F0A">
              <w:rPr>
                <w:rFonts w:ascii="Arial" w:hAnsi="Arial" w:cs="Arial"/>
                <w:sz w:val="20"/>
                <w:szCs w:val="20"/>
              </w:rPr>
              <w:t xml:space="preserve"> De cara a ello, y tal como lo expone la demanda, se reconocerá únicamente la suma de $176.219.065 relacionada con el valor de la maquina ECO 2 PLUS, la cual se vio afectada por la inundación.</w:t>
            </w:r>
          </w:p>
          <w:p w14:paraId="59459CDB" w14:textId="77777777" w:rsidR="003824B0" w:rsidRPr="00F91F0A" w:rsidRDefault="003824B0" w:rsidP="00452DC5">
            <w:pPr>
              <w:pStyle w:val="Sangra2detindependiente"/>
              <w:spacing w:after="0" w:line="276" w:lineRule="auto"/>
              <w:ind w:left="720"/>
              <w:jc w:val="both"/>
              <w:rPr>
                <w:rFonts w:ascii="Arial" w:hAnsi="Arial" w:cs="Arial"/>
                <w:b/>
                <w:bCs/>
                <w:sz w:val="20"/>
                <w:szCs w:val="20"/>
              </w:rPr>
            </w:pPr>
          </w:p>
          <w:p w14:paraId="4326DD4D" w14:textId="44A2C300" w:rsidR="00E1323B" w:rsidRDefault="003824B0" w:rsidP="00E1323B">
            <w:pPr>
              <w:pStyle w:val="Sangra2detindependiente"/>
              <w:numPr>
                <w:ilvl w:val="0"/>
                <w:numId w:val="34"/>
              </w:numPr>
              <w:spacing w:after="0" w:line="276" w:lineRule="auto"/>
              <w:jc w:val="both"/>
              <w:rPr>
                <w:rFonts w:ascii="Arial" w:hAnsi="Arial" w:cs="Arial"/>
                <w:sz w:val="20"/>
                <w:szCs w:val="20"/>
              </w:rPr>
            </w:pPr>
            <w:r w:rsidRPr="00E1323B">
              <w:rPr>
                <w:rFonts w:ascii="Arial" w:hAnsi="Arial" w:cs="Arial"/>
                <w:b/>
                <w:sz w:val="20"/>
                <w:szCs w:val="20"/>
              </w:rPr>
              <w:t>Lucro cesante</w:t>
            </w:r>
            <w:r w:rsidRPr="00E1323B">
              <w:rPr>
                <w:rFonts w:ascii="Arial" w:hAnsi="Arial" w:cs="Arial"/>
                <w:sz w:val="20"/>
                <w:szCs w:val="20"/>
              </w:rPr>
              <w:t>:</w:t>
            </w:r>
            <w:r w:rsidR="00FC61AE" w:rsidRPr="00E1323B">
              <w:rPr>
                <w:rFonts w:ascii="Arial" w:hAnsi="Arial" w:cs="Arial"/>
                <w:sz w:val="20"/>
                <w:szCs w:val="20"/>
              </w:rPr>
              <w:t xml:space="preserve"> </w:t>
            </w:r>
            <w:r w:rsidR="00FC61AE" w:rsidRPr="00E1323B">
              <w:rPr>
                <w:rFonts w:ascii="Arial" w:hAnsi="Arial" w:cs="Arial"/>
                <w:b/>
                <w:sz w:val="20"/>
                <w:szCs w:val="20"/>
              </w:rPr>
              <w:t>$0</w:t>
            </w:r>
            <w:r w:rsidR="00FC61AE" w:rsidRPr="00E1323B">
              <w:rPr>
                <w:rFonts w:ascii="Arial" w:hAnsi="Arial" w:cs="Arial"/>
                <w:sz w:val="20"/>
                <w:szCs w:val="20"/>
              </w:rPr>
              <w:t>.</w:t>
            </w:r>
            <w:r w:rsidRPr="00E1323B">
              <w:rPr>
                <w:rFonts w:ascii="Arial" w:hAnsi="Arial" w:cs="Arial"/>
                <w:sz w:val="20"/>
                <w:szCs w:val="20"/>
              </w:rPr>
              <w:t xml:space="preserve"> Bajo este concepto no se hace ningún reconocimiento, comoquiera que, si bien dentro de la demanda se anuncia el hecho de que la demandante dejo de trabajar desde el 23 de noviembre de 2023 hasta el 15 de diciembre de 2023, lo cierto es </w:t>
            </w:r>
            <w:r w:rsidR="005D0B44" w:rsidRPr="00E1323B">
              <w:rPr>
                <w:rFonts w:ascii="Arial" w:hAnsi="Arial" w:cs="Arial"/>
                <w:sz w:val="20"/>
                <w:szCs w:val="20"/>
              </w:rPr>
              <w:t>que,</w:t>
            </w:r>
            <w:r w:rsidRPr="00E1323B">
              <w:rPr>
                <w:rFonts w:ascii="Arial" w:hAnsi="Arial" w:cs="Arial"/>
                <w:sz w:val="20"/>
                <w:szCs w:val="20"/>
              </w:rPr>
              <w:t xml:space="preserve"> dentro del mismo escrito genitor, se confiesa que la activa no dejó </w:t>
            </w:r>
            <w:r w:rsidR="00CA6CE2" w:rsidRPr="00E1323B">
              <w:rPr>
                <w:rFonts w:ascii="Arial" w:hAnsi="Arial" w:cs="Arial"/>
                <w:sz w:val="20"/>
                <w:szCs w:val="20"/>
              </w:rPr>
              <w:t xml:space="preserve">de </w:t>
            </w:r>
            <w:r w:rsidRPr="00E1323B">
              <w:rPr>
                <w:rFonts w:ascii="Arial" w:hAnsi="Arial" w:cs="Arial"/>
                <w:sz w:val="20"/>
                <w:szCs w:val="20"/>
              </w:rPr>
              <w:t xml:space="preserve">trabajar, comoquiera que varios de sus vecinos o locales aledaños le brindaron un espacio para atender a sus pacientes. </w:t>
            </w:r>
          </w:p>
          <w:p w14:paraId="4CDC1EB9" w14:textId="77777777" w:rsidR="00E1323B" w:rsidRPr="00F91F0A" w:rsidRDefault="00E1323B" w:rsidP="00E1323B">
            <w:pPr>
              <w:pStyle w:val="Sangra2detindependiente"/>
              <w:spacing w:after="0" w:line="276" w:lineRule="auto"/>
              <w:ind w:left="360"/>
              <w:jc w:val="both"/>
              <w:rPr>
                <w:rFonts w:ascii="Arial" w:hAnsi="Arial" w:cs="Arial"/>
                <w:b/>
                <w:bCs/>
                <w:sz w:val="20"/>
                <w:szCs w:val="20"/>
              </w:rPr>
            </w:pPr>
          </w:p>
          <w:p w14:paraId="7EA0F7A6" w14:textId="11D3B430" w:rsidR="005D0B44" w:rsidRPr="00E1323B" w:rsidRDefault="00E1323B" w:rsidP="00E1323B">
            <w:pPr>
              <w:pStyle w:val="Sangra2detindependiente"/>
              <w:spacing w:after="0" w:line="276" w:lineRule="auto"/>
              <w:ind w:left="0"/>
              <w:jc w:val="both"/>
              <w:rPr>
                <w:rFonts w:ascii="Arial" w:hAnsi="Arial" w:cs="Arial"/>
                <w:b/>
                <w:bCs/>
                <w:sz w:val="20"/>
                <w:szCs w:val="20"/>
              </w:rPr>
            </w:pPr>
            <w:r>
              <w:rPr>
                <w:rFonts w:ascii="Arial" w:hAnsi="Arial" w:cs="Arial"/>
                <w:sz w:val="20"/>
                <w:szCs w:val="20"/>
              </w:rPr>
              <w:t>Se precisa que la estimación aquí señalada es preliminar, comoquiera que no contamos con la póliza, por lo que no podemos constatar el monto asegurado, el deducible y el coaseguro, información requerida para poder definir la exposición económica de SURA dentro del proceso.</w:t>
            </w:r>
          </w:p>
          <w:p w14:paraId="130DF96B" w14:textId="25BF087C" w:rsidR="00FC61AE" w:rsidRPr="00FC61AE" w:rsidRDefault="00FC61AE" w:rsidP="00E1323B">
            <w:pPr>
              <w:spacing w:line="276" w:lineRule="auto"/>
              <w:rPr>
                <w:rFonts w:ascii="Arial" w:hAnsi="Arial" w:cs="Arial"/>
                <w:b/>
                <w:bCs/>
                <w:sz w:val="20"/>
                <w:szCs w:val="20"/>
              </w:rPr>
            </w:pPr>
          </w:p>
          <w:p w14:paraId="75F400C0" w14:textId="413EF76C" w:rsidR="005D0B44" w:rsidRPr="00F91F0A" w:rsidRDefault="005D0B44" w:rsidP="00452DC5">
            <w:pPr>
              <w:pStyle w:val="Sangra2detindependiente"/>
              <w:spacing w:after="0" w:line="276" w:lineRule="auto"/>
              <w:ind w:left="720"/>
              <w:jc w:val="both"/>
              <w:rPr>
                <w:rFonts w:ascii="Arial" w:hAnsi="Arial" w:cs="Arial"/>
                <w:b/>
                <w:bCs/>
                <w:sz w:val="20"/>
                <w:szCs w:val="20"/>
              </w:rPr>
            </w:pPr>
          </w:p>
        </w:tc>
      </w:tr>
      <w:tr w:rsidR="00954C7D" w:rsidRPr="00F91F0A" w14:paraId="47F9AB40" w14:textId="77777777" w:rsidTr="008F3801">
        <w:trPr>
          <w:trHeight w:val="1657"/>
        </w:trPr>
        <w:tc>
          <w:tcPr>
            <w:tcW w:w="2338" w:type="dxa"/>
            <w:shd w:val="clear" w:color="auto" w:fill="0033A0"/>
            <w:vAlign w:val="center"/>
          </w:tcPr>
          <w:p w14:paraId="6C301EF8" w14:textId="77D2D7C3" w:rsidR="00954C7D" w:rsidRPr="00F91F0A" w:rsidRDefault="00954C7D" w:rsidP="00452DC5">
            <w:pPr>
              <w:pStyle w:val="Ttulo7"/>
              <w:spacing w:line="276" w:lineRule="auto"/>
              <w:rPr>
                <w:rFonts w:ascii="Arial" w:hAnsi="Arial" w:cs="Arial"/>
                <w:sz w:val="20"/>
              </w:rPr>
            </w:pPr>
            <w:r w:rsidRPr="00F91F0A">
              <w:rPr>
                <w:rFonts w:ascii="Arial" w:hAnsi="Arial" w:cs="Arial"/>
                <w:sz w:val="20"/>
              </w:rPr>
              <w:t>Resumen del proceso</w:t>
            </w:r>
          </w:p>
        </w:tc>
        <w:tc>
          <w:tcPr>
            <w:tcW w:w="7512" w:type="dxa"/>
            <w:gridSpan w:val="3"/>
            <w:vAlign w:val="center"/>
          </w:tcPr>
          <w:p w14:paraId="0D210CED" w14:textId="7D29AAE6" w:rsidR="00954C7D" w:rsidRPr="00F91F0A" w:rsidRDefault="002513CE" w:rsidP="00452DC5">
            <w:pPr>
              <w:spacing w:line="276" w:lineRule="auto"/>
              <w:jc w:val="both"/>
              <w:rPr>
                <w:rFonts w:ascii="Arial" w:hAnsi="Arial" w:cs="Arial"/>
                <w:iCs/>
                <w:sz w:val="20"/>
                <w:szCs w:val="20"/>
              </w:rPr>
            </w:pPr>
            <w:r w:rsidRPr="00F91F0A">
              <w:rPr>
                <w:rFonts w:ascii="Arial" w:hAnsi="Arial" w:cs="Arial"/>
                <w:sz w:val="20"/>
                <w:szCs w:val="20"/>
              </w:rPr>
              <w:t>Proceso en el</w:t>
            </w:r>
            <w:r w:rsidR="00824DA6" w:rsidRPr="00F91F0A">
              <w:rPr>
                <w:rFonts w:ascii="Arial" w:hAnsi="Arial" w:cs="Arial"/>
                <w:sz w:val="20"/>
                <w:szCs w:val="20"/>
              </w:rPr>
              <w:t xml:space="preserve"> que se pretende declarar </w:t>
            </w:r>
            <w:r w:rsidR="00CA6CE2" w:rsidRPr="00F91F0A">
              <w:rPr>
                <w:rFonts w:ascii="Arial" w:hAnsi="Arial" w:cs="Arial"/>
                <w:sz w:val="20"/>
                <w:szCs w:val="20"/>
              </w:rPr>
              <w:t xml:space="preserve">la responsabilidad civil extracontractual, de los demandados con ocasión a la inundación que sufrió el local 311 el 23 de noviembre de 2023, por un problema generado por el local 419, cuando en este </w:t>
            </w:r>
            <w:r w:rsidR="00FC61AE">
              <w:rPr>
                <w:rFonts w:ascii="Arial" w:hAnsi="Arial" w:cs="Arial"/>
                <w:sz w:val="20"/>
                <w:szCs w:val="20"/>
              </w:rPr>
              <w:t>ú</w:t>
            </w:r>
            <w:r w:rsidR="00CA6CE2" w:rsidRPr="00F91F0A">
              <w:rPr>
                <w:rFonts w:ascii="Arial" w:hAnsi="Arial" w:cs="Arial"/>
                <w:sz w:val="20"/>
                <w:szCs w:val="20"/>
              </w:rPr>
              <w:t>ltimo se estaban haciendo adecuaciones de tubería para la adecuación de un consultorio odontológico, los cuales quedaron mal realizados, generando la filtración del agua y los daños materiales a la demandante.</w:t>
            </w:r>
          </w:p>
        </w:tc>
      </w:tr>
      <w:tr w:rsidR="00954C7D" w:rsidRPr="00F91F0A" w14:paraId="51B3F58B" w14:textId="77777777" w:rsidTr="008F3801">
        <w:trPr>
          <w:trHeight w:val="559"/>
        </w:trPr>
        <w:tc>
          <w:tcPr>
            <w:tcW w:w="2338" w:type="dxa"/>
            <w:shd w:val="clear" w:color="auto" w:fill="0033A0"/>
            <w:vAlign w:val="center"/>
          </w:tcPr>
          <w:p w14:paraId="502B9735" w14:textId="77777777" w:rsidR="00954C7D" w:rsidRPr="00F91F0A" w:rsidRDefault="00954C7D" w:rsidP="00452DC5">
            <w:pPr>
              <w:spacing w:line="276" w:lineRule="auto"/>
              <w:rPr>
                <w:rFonts w:ascii="Arial" w:hAnsi="Arial" w:cs="Arial"/>
                <w:b/>
                <w:sz w:val="20"/>
                <w:szCs w:val="20"/>
              </w:rPr>
            </w:pPr>
            <w:r w:rsidRPr="00F91F0A">
              <w:rPr>
                <w:rFonts w:ascii="Arial" w:hAnsi="Arial" w:cs="Arial"/>
                <w:b/>
                <w:sz w:val="20"/>
                <w:szCs w:val="20"/>
              </w:rPr>
              <w:t>Calificación de la Contingencia</w:t>
            </w:r>
          </w:p>
        </w:tc>
        <w:tc>
          <w:tcPr>
            <w:tcW w:w="7512" w:type="dxa"/>
            <w:gridSpan w:val="3"/>
            <w:vAlign w:val="center"/>
          </w:tcPr>
          <w:p w14:paraId="3354A7BE" w14:textId="462D6470" w:rsidR="00954C7D" w:rsidRPr="00F91F0A" w:rsidRDefault="00E96647" w:rsidP="00452DC5">
            <w:pPr>
              <w:spacing w:line="276" w:lineRule="auto"/>
              <w:jc w:val="both"/>
              <w:rPr>
                <w:rFonts w:ascii="Arial" w:hAnsi="Arial" w:cs="Arial"/>
                <w:b/>
                <w:iCs/>
                <w:sz w:val="20"/>
                <w:szCs w:val="20"/>
              </w:rPr>
            </w:pPr>
            <w:r w:rsidRPr="00F91F0A">
              <w:rPr>
                <w:rFonts w:ascii="Arial" w:hAnsi="Arial" w:cs="Arial"/>
                <w:b/>
                <w:iCs/>
                <w:sz w:val="20"/>
                <w:szCs w:val="20"/>
              </w:rPr>
              <w:t>EVENTUAL</w:t>
            </w:r>
          </w:p>
        </w:tc>
      </w:tr>
      <w:tr w:rsidR="00954C7D" w:rsidRPr="00F91F0A" w14:paraId="3816128F" w14:textId="77777777" w:rsidTr="008F3801">
        <w:trPr>
          <w:trHeight w:val="836"/>
        </w:trPr>
        <w:tc>
          <w:tcPr>
            <w:tcW w:w="2338" w:type="dxa"/>
            <w:shd w:val="clear" w:color="auto" w:fill="0033A0"/>
            <w:vAlign w:val="center"/>
          </w:tcPr>
          <w:p w14:paraId="7FDFC74F" w14:textId="7C9CBE7F" w:rsidR="00954C7D" w:rsidRPr="00F91F0A" w:rsidRDefault="00954C7D" w:rsidP="00452DC5">
            <w:pPr>
              <w:spacing w:line="276" w:lineRule="auto"/>
              <w:rPr>
                <w:rFonts w:ascii="Arial" w:hAnsi="Arial" w:cs="Arial"/>
                <w:b/>
                <w:sz w:val="20"/>
                <w:szCs w:val="20"/>
              </w:rPr>
            </w:pPr>
            <w:r w:rsidRPr="00F91F0A">
              <w:rPr>
                <w:rFonts w:ascii="Arial" w:hAnsi="Arial" w:cs="Arial"/>
                <w:b/>
                <w:sz w:val="20"/>
                <w:szCs w:val="20"/>
              </w:rPr>
              <w:t>Fundamento de la calificación</w:t>
            </w:r>
          </w:p>
        </w:tc>
        <w:tc>
          <w:tcPr>
            <w:tcW w:w="7512" w:type="dxa"/>
            <w:gridSpan w:val="3"/>
            <w:vAlign w:val="center"/>
          </w:tcPr>
          <w:p w14:paraId="40907B53" w14:textId="428E39FB" w:rsidR="00954C7D" w:rsidRDefault="005E58EC" w:rsidP="00452DC5">
            <w:pPr>
              <w:spacing w:line="276" w:lineRule="auto"/>
              <w:jc w:val="both"/>
              <w:rPr>
                <w:rFonts w:ascii="Arial" w:hAnsi="Arial" w:cs="Arial"/>
                <w:sz w:val="20"/>
                <w:szCs w:val="20"/>
                <w:lang w:val="es-ES"/>
              </w:rPr>
            </w:pPr>
            <w:r>
              <w:rPr>
                <w:rFonts w:ascii="Arial" w:hAnsi="Arial" w:cs="Arial"/>
                <w:sz w:val="20"/>
                <w:szCs w:val="20"/>
                <w:lang w:val="es-ES"/>
              </w:rPr>
              <w:t>De forma provisional s</w:t>
            </w:r>
            <w:r w:rsidR="00E96647" w:rsidRPr="00F91F0A">
              <w:rPr>
                <w:rFonts w:ascii="Arial" w:hAnsi="Arial" w:cs="Arial"/>
                <w:sz w:val="20"/>
                <w:szCs w:val="20"/>
                <w:lang w:val="es-ES"/>
              </w:rPr>
              <w:t>e califica el asunto como eventual, en atención a que el proceso, dependerá del análisis que se haga a la póliza, las condiciones y los documentos que se remitan por parte de la compañía.</w:t>
            </w:r>
          </w:p>
          <w:p w14:paraId="5427A913" w14:textId="77777777" w:rsidR="005E58EC" w:rsidRDefault="005E58EC" w:rsidP="00452DC5">
            <w:pPr>
              <w:spacing w:line="276" w:lineRule="auto"/>
              <w:jc w:val="both"/>
              <w:rPr>
                <w:rFonts w:ascii="Arial" w:hAnsi="Arial" w:cs="Arial"/>
                <w:sz w:val="20"/>
                <w:szCs w:val="20"/>
                <w:lang w:val="es-ES"/>
              </w:rPr>
            </w:pPr>
          </w:p>
          <w:p w14:paraId="5A417714" w14:textId="28AFFE86" w:rsidR="005E58EC" w:rsidRDefault="005E58EC" w:rsidP="00C230E6">
            <w:pPr>
              <w:spacing w:line="276" w:lineRule="auto"/>
              <w:jc w:val="both"/>
              <w:rPr>
                <w:rFonts w:ascii="Arial" w:hAnsi="Arial" w:cs="Arial"/>
                <w:sz w:val="20"/>
                <w:szCs w:val="20"/>
                <w:lang w:val="es-ES"/>
              </w:rPr>
            </w:pPr>
            <w:r>
              <w:rPr>
                <w:rFonts w:ascii="Arial" w:hAnsi="Arial" w:cs="Arial"/>
                <w:sz w:val="20"/>
                <w:szCs w:val="20"/>
                <w:lang w:val="es-ES"/>
              </w:rPr>
              <w:t xml:space="preserve">En lo que atañe a la responsabilidad del asegurado, </w:t>
            </w:r>
            <w:r w:rsidR="00452DC5">
              <w:rPr>
                <w:rFonts w:ascii="Arial" w:hAnsi="Arial" w:cs="Arial"/>
                <w:sz w:val="20"/>
                <w:szCs w:val="20"/>
                <w:lang w:val="es-ES"/>
              </w:rPr>
              <w:t xml:space="preserve">debe decirse que la misma hasta el momento esta acreditada, comoquiera que la demandante, con anterioridad al 23 de noviembre de 2023, </w:t>
            </w:r>
            <w:r w:rsidR="00E1323B">
              <w:rPr>
                <w:rFonts w:ascii="Arial" w:hAnsi="Arial" w:cs="Arial"/>
                <w:sz w:val="20"/>
                <w:szCs w:val="20"/>
                <w:lang w:val="es-ES"/>
              </w:rPr>
              <w:t xml:space="preserve">fecha de la inundación, </w:t>
            </w:r>
            <w:r w:rsidR="00452DC5">
              <w:rPr>
                <w:rFonts w:ascii="Arial" w:hAnsi="Arial" w:cs="Arial"/>
                <w:sz w:val="20"/>
                <w:szCs w:val="20"/>
                <w:lang w:val="es-ES"/>
              </w:rPr>
              <w:t>había enviado comunicación a la administración de la PH, informando de la humedad y los problemas que estaba presentando su local</w:t>
            </w:r>
            <w:r w:rsidR="00E1323B">
              <w:rPr>
                <w:rFonts w:ascii="Arial" w:hAnsi="Arial" w:cs="Arial"/>
                <w:sz w:val="20"/>
                <w:szCs w:val="20"/>
                <w:lang w:val="es-ES"/>
              </w:rPr>
              <w:t xml:space="preserve"> (311)</w:t>
            </w:r>
            <w:r w:rsidR="00452DC5">
              <w:rPr>
                <w:rFonts w:ascii="Arial" w:hAnsi="Arial" w:cs="Arial"/>
                <w:sz w:val="20"/>
                <w:szCs w:val="20"/>
                <w:lang w:val="es-ES"/>
              </w:rPr>
              <w:t xml:space="preserve">, con ocasión a las reparaciones y adecuaciones del local 419. Pese a ello, no se evidencia ninguna respuesta o acto de seguimiento </w:t>
            </w:r>
            <w:r w:rsidR="00E1323B">
              <w:rPr>
                <w:rFonts w:ascii="Arial" w:hAnsi="Arial" w:cs="Arial"/>
                <w:sz w:val="20"/>
                <w:szCs w:val="20"/>
                <w:lang w:val="es-ES"/>
              </w:rPr>
              <w:t xml:space="preserve">por parte del asegurado. Así mismo, </w:t>
            </w:r>
            <w:r w:rsidR="000A00EA">
              <w:rPr>
                <w:rFonts w:ascii="Arial" w:hAnsi="Arial" w:cs="Arial"/>
                <w:sz w:val="20"/>
                <w:szCs w:val="20"/>
                <w:lang w:val="es-ES"/>
              </w:rPr>
              <w:t xml:space="preserve">se debe precisar que, de acuerdo a la poca información del reglamento de la PH, se tiene que la administración del centro comercial, es la encargada de dar el visto bueno y hacer el seguimiento frente a las adecuaciones y mejoras de los bienes privados o locales del centro comercial. </w:t>
            </w:r>
            <w:r w:rsidR="00C230E6">
              <w:rPr>
                <w:rFonts w:ascii="Arial" w:hAnsi="Arial" w:cs="Arial"/>
                <w:sz w:val="20"/>
                <w:szCs w:val="20"/>
                <w:lang w:val="es-ES"/>
              </w:rPr>
              <w:t xml:space="preserve">Así mismo, existe un correo electrónico remitido por el centro comercial, de fecha 27 de noviembre de 2023, donde exponen que efectivamente el 23 de noviembre de 2023 se presentó una inundación en el local 311, el cual es proveniente del local 419, donde se identifica una filtración en la tubería del agua. Finalmente, el 12 de diciembre de 2023, el Ingeniero Ramón Vasques, realiza un informe técnico sobre la falla local 419 y las afectaciones del 311, donde concluyó que </w:t>
            </w:r>
            <w:r w:rsidR="00C230E6" w:rsidRPr="00976AFA">
              <w:rPr>
                <w:rFonts w:ascii="Arial" w:hAnsi="Arial" w:cs="Arial"/>
                <w:i/>
                <w:iCs/>
                <w:sz w:val="20"/>
                <w:szCs w:val="20"/>
                <w:lang w:val="es-ES"/>
              </w:rPr>
              <w:t>la fuga de agua se filtró por los pases de las tuberías, del descolgado sanitario del local 419</w:t>
            </w:r>
            <w:r w:rsidR="00C230E6" w:rsidRPr="00976AFA">
              <w:rPr>
                <w:rFonts w:ascii="Arial" w:hAnsi="Arial" w:cs="Arial"/>
                <w:i/>
                <w:iCs/>
                <w:sz w:val="20"/>
                <w:szCs w:val="20"/>
                <w:lang w:val="es-ES"/>
              </w:rPr>
              <w:t xml:space="preserve"> </w:t>
            </w:r>
            <w:r w:rsidR="00C230E6" w:rsidRPr="00976AFA">
              <w:rPr>
                <w:rFonts w:ascii="Arial" w:hAnsi="Arial" w:cs="Arial"/>
                <w:i/>
                <w:iCs/>
                <w:sz w:val="20"/>
                <w:szCs w:val="20"/>
                <w:lang w:val="es-ES"/>
              </w:rPr>
              <w:t>lo que da como conclusión que este piso no contaba con impermeabilización de los pases</w:t>
            </w:r>
            <w:r w:rsidR="00C230E6" w:rsidRPr="00976AFA">
              <w:rPr>
                <w:rFonts w:ascii="Arial" w:hAnsi="Arial" w:cs="Arial"/>
                <w:i/>
                <w:iCs/>
                <w:sz w:val="20"/>
                <w:szCs w:val="20"/>
                <w:lang w:val="es-ES"/>
              </w:rPr>
              <w:t xml:space="preserve"> </w:t>
            </w:r>
            <w:r w:rsidR="00C230E6" w:rsidRPr="00976AFA">
              <w:rPr>
                <w:rFonts w:ascii="Arial" w:hAnsi="Arial" w:cs="Arial"/>
                <w:i/>
                <w:iCs/>
                <w:sz w:val="20"/>
                <w:szCs w:val="20"/>
                <w:lang w:val="es-ES"/>
              </w:rPr>
              <w:t>sanitarios y esto generó afectaciones graves al local 311</w:t>
            </w:r>
            <w:r w:rsidR="00C230E6">
              <w:rPr>
                <w:rFonts w:ascii="Arial" w:hAnsi="Arial" w:cs="Arial"/>
                <w:sz w:val="20"/>
                <w:szCs w:val="20"/>
                <w:lang w:val="es-ES"/>
              </w:rPr>
              <w:t>.</w:t>
            </w:r>
            <w:r w:rsidR="00976AFA">
              <w:rPr>
                <w:rFonts w:ascii="Arial" w:hAnsi="Arial" w:cs="Arial"/>
                <w:sz w:val="20"/>
                <w:szCs w:val="20"/>
                <w:lang w:val="es-ES"/>
              </w:rPr>
              <w:t xml:space="preserve"> De dicho informe se extrae una serie de fotografías que da cuenta, efectivamente que el local 311 se vio afectado por la filtración del agua, generando daños a enseres y maquinas que estaban en ese local.</w:t>
            </w:r>
          </w:p>
          <w:p w14:paraId="28AB0932" w14:textId="77777777" w:rsidR="00976AFA" w:rsidRDefault="00976AFA" w:rsidP="00C230E6">
            <w:pPr>
              <w:spacing w:line="276" w:lineRule="auto"/>
              <w:jc w:val="both"/>
              <w:rPr>
                <w:rFonts w:ascii="Arial" w:hAnsi="Arial" w:cs="Arial"/>
                <w:sz w:val="20"/>
                <w:szCs w:val="20"/>
                <w:lang w:val="es-ES"/>
              </w:rPr>
            </w:pPr>
          </w:p>
          <w:p w14:paraId="46EE1E88" w14:textId="6C105D44" w:rsidR="00976AFA" w:rsidRPr="00C230E6" w:rsidRDefault="00976AFA" w:rsidP="00C230E6">
            <w:pPr>
              <w:spacing w:line="276" w:lineRule="auto"/>
              <w:jc w:val="both"/>
              <w:rPr>
                <w:rFonts w:ascii="Arial" w:hAnsi="Arial" w:cs="Arial"/>
                <w:sz w:val="20"/>
                <w:szCs w:val="20"/>
                <w:lang w:val="es-ES"/>
              </w:rPr>
            </w:pPr>
            <w:r>
              <w:rPr>
                <w:rFonts w:ascii="Arial" w:hAnsi="Arial" w:cs="Arial"/>
                <w:sz w:val="20"/>
                <w:szCs w:val="20"/>
                <w:lang w:val="es-ES"/>
              </w:rPr>
              <w:t>Lo expuesto, sin el carácter contingente del proceso.</w:t>
            </w:r>
          </w:p>
        </w:tc>
      </w:tr>
      <w:tr w:rsidR="00954C7D" w:rsidRPr="00F91F0A" w14:paraId="423EF0FF" w14:textId="77777777" w:rsidTr="008F3801">
        <w:trPr>
          <w:trHeight w:val="478"/>
        </w:trPr>
        <w:tc>
          <w:tcPr>
            <w:tcW w:w="2338" w:type="dxa"/>
            <w:shd w:val="clear" w:color="auto" w:fill="0033A0"/>
            <w:vAlign w:val="center"/>
          </w:tcPr>
          <w:p w14:paraId="2F9F4436" w14:textId="77777777" w:rsidR="00954C7D" w:rsidRPr="00F91F0A" w:rsidRDefault="00954C7D" w:rsidP="00452DC5">
            <w:pPr>
              <w:spacing w:line="276" w:lineRule="auto"/>
              <w:rPr>
                <w:rFonts w:ascii="Arial" w:hAnsi="Arial" w:cs="Arial"/>
                <w:b/>
                <w:sz w:val="20"/>
                <w:szCs w:val="20"/>
              </w:rPr>
            </w:pPr>
            <w:r w:rsidRPr="00F91F0A">
              <w:rPr>
                <w:rFonts w:ascii="Arial" w:hAnsi="Arial" w:cs="Arial"/>
                <w:b/>
                <w:sz w:val="20"/>
                <w:szCs w:val="20"/>
              </w:rPr>
              <w:t>Observaciones</w:t>
            </w:r>
          </w:p>
        </w:tc>
        <w:tc>
          <w:tcPr>
            <w:tcW w:w="7512" w:type="dxa"/>
            <w:gridSpan w:val="3"/>
            <w:vAlign w:val="center"/>
          </w:tcPr>
          <w:p w14:paraId="0C08A217" w14:textId="35CDB379" w:rsidR="00954C7D" w:rsidRPr="00F91F0A" w:rsidRDefault="00954C7D" w:rsidP="00452DC5">
            <w:pPr>
              <w:spacing w:line="276" w:lineRule="auto"/>
              <w:jc w:val="both"/>
              <w:rPr>
                <w:rFonts w:ascii="Arial" w:hAnsi="Arial" w:cs="Arial"/>
                <w:iCs/>
                <w:sz w:val="20"/>
                <w:szCs w:val="20"/>
                <w:lang w:val="es-ES"/>
              </w:rPr>
            </w:pPr>
          </w:p>
        </w:tc>
      </w:tr>
    </w:tbl>
    <w:p w14:paraId="03B039A9" w14:textId="77777777" w:rsidR="00247E08" w:rsidRPr="00F91F0A" w:rsidRDefault="00247E08" w:rsidP="00452DC5">
      <w:pPr>
        <w:spacing w:line="276" w:lineRule="auto"/>
        <w:rPr>
          <w:rFonts w:ascii="Arial" w:hAnsi="Arial" w:cs="Arial"/>
          <w:b/>
          <w:sz w:val="20"/>
          <w:szCs w:val="20"/>
          <w:u w:val="single"/>
        </w:rPr>
      </w:pPr>
    </w:p>
    <w:p w14:paraId="7C1537B2" w14:textId="77777777" w:rsidR="0096555E" w:rsidRPr="00F91F0A" w:rsidRDefault="0096555E" w:rsidP="00452DC5">
      <w:pPr>
        <w:spacing w:line="276" w:lineRule="auto"/>
        <w:rPr>
          <w:rFonts w:ascii="Arial" w:hAnsi="Arial" w:cs="Arial"/>
          <w:b/>
          <w:sz w:val="20"/>
          <w:szCs w:val="20"/>
        </w:rPr>
      </w:pPr>
    </w:p>
    <w:p w14:paraId="1AA0C5C3" w14:textId="2FE4EAEC" w:rsidR="00247E08" w:rsidRPr="00F91F0A" w:rsidRDefault="00E7768D" w:rsidP="00452DC5">
      <w:pPr>
        <w:spacing w:line="276" w:lineRule="auto"/>
        <w:rPr>
          <w:rFonts w:ascii="Arial" w:hAnsi="Arial" w:cs="Arial"/>
          <w:b/>
          <w:sz w:val="20"/>
          <w:szCs w:val="20"/>
        </w:rPr>
      </w:pPr>
      <w:r w:rsidRPr="00F91F0A">
        <w:rPr>
          <w:rFonts w:ascii="Arial" w:hAnsi="Arial" w:cs="Arial"/>
          <w:b/>
          <w:sz w:val="20"/>
          <w:szCs w:val="20"/>
        </w:rPr>
        <w:t>Datos abogado interno</w:t>
      </w:r>
    </w:p>
    <w:p w14:paraId="30A5C309" w14:textId="62380A42" w:rsidR="00E7768D" w:rsidRPr="00F91F0A" w:rsidRDefault="00E7768D" w:rsidP="00452DC5">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F91F0A" w14:paraId="6E3C6E8A" w14:textId="77777777" w:rsidTr="008F3801">
        <w:trPr>
          <w:trHeight w:val="340"/>
        </w:trPr>
        <w:tc>
          <w:tcPr>
            <w:tcW w:w="2353" w:type="dxa"/>
            <w:shd w:val="clear" w:color="auto" w:fill="0033A0"/>
            <w:vAlign w:val="center"/>
          </w:tcPr>
          <w:p w14:paraId="72BAF282" w14:textId="216ED2CA" w:rsidR="00527AC1" w:rsidRPr="00F91F0A" w:rsidRDefault="00670B1C" w:rsidP="00452DC5">
            <w:pPr>
              <w:spacing w:line="276" w:lineRule="auto"/>
              <w:jc w:val="both"/>
              <w:rPr>
                <w:rFonts w:ascii="Arial" w:hAnsi="Arial" w:cs="Arial"/>
                <w:b/>
                <w:bCs/>
                <w:sz w:val="20"/>
                <w:szCs w:val="20"/>
              </w:rPr>
            </w:pPr>
            <w:r w:rsidRPr="00F91F0A">
              <w:rPr>
                <w:rFonts w:ascii="Arial" w:hAnsi="Arial" w:cs="Arial"/>
                <w:b/>
                <w:bCs/>
                <w:sz w:val="20"/>
                <w:szCs w:val="20"/>
              </w:rPr>
              <w:t>Requiere siniestro</w:t>
            </w:r>
          </w:p>
        </w:tc>
        <w:tc>
          <w:tcPr>
            <w:tcW w:w="1260" w:type="dxa"/>
            <w:vAlign w:val="center"/>
          </w:tcPr>
          <w:p w14:paraId="7944CF82" w14:textId="77777777" w:rsidR="00527AC1" w:rsidRPr="00F91F0A" w:rsidRDefault="00527AC1" w:rsidP="00452DC5">
            <w:pPr>
              <w:spacing w:line="276" w:lineRule="auto"/>
              <w:jc w:val="both"/>
              <w:rPr>
                <w:rFonts w:ascii="Arial" w:hAnsi="Arial" w:cs="Arial"/>
                <w:sz w:val="20"/>
                <w:szCs w:val="20"/>
              </w:rPr>
            </w:pPr>
          </w:p>
        </w:tc>
        <w:tc>
          <w:tcPr>
            <w:tcW w:w="2127" w:type="dxa"/>
            <w:shd w:val="clear" w:color="auto" w:fill="0033A0"/>
            <w:vAlign w:val="center"/>
          </w:tcPr>
          <w:p w14:paraId="5FD9B59F" w14:textId="57D650C4" w:rsidR="00527AC1" w:rsidRPr="00F91F0A" w:rsidRDefault="00670B1C" w:rsidP="00452DC5">
            <w:pPr>
              <w:spacing w:line="276" w:lineRule="auto"/>
              <w:jc w:val="both"/>
              <w:rPr>
                <w:rFonts w:ascii="Arial" w:hAnsi="Arial" w:cs="Arial"/>
                <w:b/>
                <w:bCs/>
                <w:sz w:val="20"/>
                <w:szCs w:val="20"/>
              </w:rPr>
            </w:pPr>
            <w:r w:rsidRPr="00F91F0A">
              <w:rPr>
                <w:rFonts w:ascii="Arial" w:hAnsi="Arial" w:cs="Arial"/>
                <w:b/>
                <w:bCs/>
                <w:sz w:val="20"/>
                <w:szCs w:val="20"/>
              </w:rPr>
              <w:t>Número de siniestro</w:t>
            </w:r>
          </w:p>
        </w:tc>
        <w:tc>
          <w:tcPr>
            <w:tcW w:w="4110" w:type="dxa"/>
            <w:vAlign w:val="center"/>
          </w:tcPr>
          <w:p w14:paraId="08F65C37" w14:textId="536588FA" w:rsidR="00527AC1" w:rsidRPr="00F91F0A" w:rsidRDefault="00527AC1" w:rsidP="00452DC5">
            <w:pPr>
              <w:spacing w:line="276" w:lineRule="auto"/>
              <w:jc w:val="both"/>
              <w:rPr>
                <w:rFonts w:ascii="Arial" w:hAnsi="Arial" w:cs="Arial"/>
                <w:sz w:val="20"/>
                <w:szCs w:val="20"/>
              </w:rPr>
            </w:pPr>
          </w:p>
        </w:tc>
      </w:tr>
      <w:tr w:rsidR="00670B1C" w:rsidRPr="00F91F0A" w14:paraId="02724D2B" w14:textId="77777777" w:rsidTr="008F3801">
        <w:trPr>
          <w:cantSplit/>
          <w:trHeight w:val="340"/>
        </w:trPr>
        <w:tc>
          <w:tcPr>
            <w:tcW w:w="2353" w:type="dxa"/>
            <w:shd w:val="clear" w:color="auto" w:fill="0033A0"/>
            <w:vAlign w:val="center"/>
          </w:tcPr>
          <w:p w14:paraId="712D0A9F" w14:textId="4E0FB124" w:rsidR="00670B1C" w:rsidRPr="00F91F0A" w:rsidRDefault="004C53EC" w:rsidP="00452DC5">
            <w:pPr>
              <w:spacing w:line="276" w:lineRule="auto"/>
              <w:rPr>
                <w:rFonts w:ascii="Arial" w:hAnsi="Arial" w:cs="Arial"/>
                <w:b/>
                <w:sz w:val="20"/>
                <w:szCs w:val="20"/>
              </w:rPr>
            </w:pPr>
            <w:r w:rsidRPr="00F91F0A">
              <w:rPr>
                <w:rFonts w:ascii="Arial" w:hAnsi="Arial" w:cs="Arial"/>
                <w:b/>
                <w:sz w:val="20"/>
                <w:szCs w:val="20"/>
              </w:rPr>
              <w:t>Vinculado</w:t>
            </w:r>
          </w:p>
        </w:tc>
        <w:tc>
          <w:tcPr>
            <w:tcW w:w="1260" w:type="dxa"/>
            <w:vAlign w:val="center"/>
          </w:tcPr>
          <w:p w14:paraId="6EE862B9" w14:textId="77777777" w:rsidR="00670B1C" w:rsidRPr="00F91F0A" w:rsidRDefault="00670B1C" w:rsidP="00452DC5">
            <w:pPr>
              <w:spacing w:line="276" w:lineRule="auto"/>
              <w:jc w:val="both"/>
              <w:rPr>
                <w:rFonts w:ascii="Arial" w:hAnsi="Arial" w:cs="Arial"/>
                <w:sz w:val="20"/>
                <w:szCs w:val="20"/>
              </w:rPr>
            </w:pPr>
          </w:p>
        </w:tc>
        <w:tc>
          <w:tcPr>
            <w:tcW w:w="2127" w:type="dxa"/>
            <w:shd w:val="clear" w:color="auto" w:fill="0033A0"/>
            <w:vAlign w:val="center"/>
          </w:tcPr>
          <w:p w14:paraId="64204CF7" w14:textId="26B2CBCA" w:rsidR="00670B1C" w:rsidRPr="00F91F0A" w:rsidRDefault="004C53EC" w:rsidP="00452DC5">
            <w:pPr>
              <w:spacing w:line="276" w:lineRule="auto"/>
              <w:jc w:val="both"/>
              <w:rPr>
                <w:rFonts w:ascii="Arial" w:hAnsi="Arial" w:cs="Arial"/>
                <w:b/>
                <w:sz w:val="20"/>
                <w:szCs w:val="20"/>
              </w:rPr>
            </w:pPr>
            <w:r w:rsidRPr="00F91F0A">
              <w:rPr>
                <w:rFonts w:ascii="Arial" w:hAnsi="Arial" w:cs="Arial"/>
                <w:b/>
                <w:sz w:val="20"/>
                <w:szCs w:val="20"/>
              </w:rPr>
              <w:t>Asunto</w:t>
            </w:r>
          </w:p>
        </w:tc>
        <w:tc>
          <w:tcPr>
            <w:tcW w:w="4110" w:type="dxa"/>
            <w:vAlign w:val="center"/>
          </w:tcPr>
          <w:p w14:paraId="67FD7B5B" w14:textId="578D9DB7" w:rsidR="00670B1C" w:rsidRPr="00F91F0A" w:rsidRDefault="00670B1C" w:rsidP="00452DC5">
            <w:pPr>
              <w:spacing w:line="276" w:lineRule="auto"/>
              <w:jc w:val="both"/>
              <w:rPr>
                <w:rFonts w:ascii="Arial" w:hAnsi="Arial" w:cs="Arial"/>
                <w:sz w:val="20"/>
                <w:szCs w:val="20"/>
              </w:rPr>
            </w:pPr>
          </w:p>
        </w:tc>
      </w:tr>
    </w:tbl>
    <w:p w14:paraId="1AEE6596" w14:textId="77777777" w:rsidR="00E7768D" w:rsidRPr="00F91F0A" w:rsidRDefault="00E7768D" w:rsidP="00452DC5">
      <w:pPr>
        <w:spacing w:line="276" w:lineRule="auto"/>
        <w:rPr>
          <w:rFonts w:ascii="Arial" w:hAnsi="Arial" w:cs="Arial"/>
          <w:b/>
          <w:sz w:val="20"/>
          <w:szCs w:val="20"/>
          <w:u w:val="single"/>
        </w:rPr>
      </w:pPr>
    </w:p>
    <w:sectPr w:rsidR="00E7768D" w:rsidRPr="00F91F0A"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9B40" w14:textId="77777777" w:rsidR="007413F8" w:rsidRDefault="007413F8" w:rsidP="00114170">
      <w:r>
        <w:separator/>
      </w:r>
    </w:p>
  </w:endnote>
  <w:endnote w:type="continuationSeparator" w:id="0">
    <w:p w14:paraId="1D355420" w14:textId="77777777" w:rsidR="007413F8" w:rsidRDefault="007413F8"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589A" w14:textId="77777777" w:rsidR="007413F8" w:rsidRDefault="007413F8" w:rsidP="00114170">
      <w:r>
        <w:separator/>
      </w:r>
    </w:p>
  </w:footnote>
  <w:footnote w:type="continuationSeparator" w:id="0">
    <w:p w14:paraId="70430DEB" w14:textId="77777777" w:rsidR="007413F8" w:rsidRDefault="007413F8"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D7153"/>
    <w:multiLevelType w:val="hybridMultilevel"/>
    <w:tmpl w:val="86C4939E"/>
    <w:lvl w:ilvl="0" w:tplc="A15000F4">
      <w:start w:val="1"/>
      <w:numFmt w:val="decimal"/>
      <w:lvlText w:val="%1."/>
      <w:lvlJc w:val="left"/>
      <w:pPr>
        <w:ind w:left="502" w:hanging="360"/>
      </w:pPr>
      <w:rPr>
        <w:rFonts w:hint="default"/>
        <w:i w:val="0"/>
        <w:iCs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96ED3"/>
    <w:multiLevelType w:val="hybridMultilevel"/>
    <w:tmpl w:val="1B2EFB30"/>
    <w:lvl w:ilvl="0" w:tplc="6A5A8168">
      <w:start w:val="3"/>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9486C"/>
    <w:multiLevelType w:val="hybridMultilevel"/>
    <w:tmpl w:val="3D5C81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4"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139699">
    <w:abstractNumId w:val="21"/>
  </w:num>
  <w:num w:numId="2" w16cid:durableId="1741127230">
    <w:abstractNumId w:val="19"/>
  </w:num>
  <w:num w:numId="3" w16cid:durableId="1695156417">
    <w:abstractNumId w:val="24"/>
  </w:num>
  <w:num w:numId="4" w16cid:durableId="413288280">
    <w:abstractNumId w:val="22"/>
  </w:num>
  <w:num w:numId="5" w16cid:durableId="517039102">
    <w:abstractNumId w:val="15"/>
  </w:num>
  <w:num w:numId="6" w16cid:durableId="142427441">
    <w:abstractNumId w:val="30"/>
  </w:num>
  <w:num w:numId="7" w16cid:durableId="1242177286">
    <w:abstractNumId w:val="11"/>
  </w:num>
  <w:num w:numId="8" w16cid:durableId="1886402269">
    <w:abstractNumId w:val="4"/>
  </w:num>
  <w:num w:numId="9" w16cid:durableId="125002794">
    <w:abstractNumId w:val="33"/>
  </w:num>
  <w:num w:numId="10" w16cid:durableId="467091644">
    <w:abstractNumId w:val="13"/>
  </w:num>
  <w:num w:numId="11" w16cid:durableId="1017544234">
    <w:abstractNumId w:val="1"/>
  </w:num>
  <w:num w:numId="12" w16cid:durableId="905841859">
    <w:abstractNumId w:val="29"/>
  </w:num>
  <w:num w:numId="13" w16cid:durableId="689141015">
    <w:abstractNumId w:val="12"/>
  </w:num>
  <w:num w:numId="14" w16cid:durableId="727612360">
    <w:abstractNumId w:val="5"/>
  </w:num>
  <w:num w:numId="15" w16cid:durableId="458957346">
    <w:abstractNumId w:val="20"/>
  </w:num>
  <w:num w:numId="16" w16cid:durableId="1447575350">
    <w:abstractNumId w:val="32"/>
  </w:num>
  <w:num w:numId="17" w16cid:durableId="329215498">
    <w:abstractNumId w:val="28"/>
  </w:num>
  <w:num w:numId="18" w16cid:durableId="1807770022">
    <w:abstractNumId w:val="27"/>
  </w:num>
  <w:num w:numId="19" w16cid:durableId="449013791">
    <w:abstractNumId w:val="10"/>
  </w:num>
  <w:num w:numId="20" w16cid:durableId="2038240317">
    <w:abstractNumId w:val="23"/>
  </w:num>
  <w:num w:numId="21" w16cid:durableId="1817263055">
    <w:abstractNumId w:val="8"/>
  </w:num>
  <w:num w:numId="22" w16cid:durableId="2059625236">
    <w:abstractNumId w:val="34"/>
  </w:num>
  <w:num w:numId="23" w16cid:durableId="1255239479">
    <w:abstractNumId w:val="14"/>
  </w:num>
  <w:num w:numId="24" w16cid:durableId="805009855">
    <w:abstractNumId w:val="17"/>
  </w:num>
  <w:num w:numId="25" w16cid:durableId="1840269701">
    <w:abstractNumId w:val="26"/>
  </w:num>
  <w:num w:numId="26" w16cid:durableId="2020112686">
    <w:abstractNumId w:val="16"/>
  </w:num>
  <w:num w:numId="27" w16cid:durableId="1270550278">
    <w:abstractNumId w:val="18"/>
  </w:num>
  <w:num w:numId="28" w16cid:durableId="529951600">
    <w:abstractNumId w:val="25"/>
  </w:num>
  <w:num w:numId="29" w16cid:durableId="264310169">
    <w:abstractNumId w:val="7"/>
  </w:num>
  <w:num w:numId="30" w16cid:durableId="1626424404">
    <w:abstractNumId w:val="6"/>
  </w:num>
  <w:num w:numId="31" w16cid:durableId="703286365">
    <w:abstractNumId w:val="0"/>
  </w:num>
  <w:num w:numId="32" w16cid:durableId="1245915797">
    <w:abstractNumId w:val="2"/>
  </w:num>
  <w:num w:numId="33" w16cid:durableId="1536310841">
    <w:abstractNumId w:val="3"/>
  </w:num>
  <w:num w:numId="34" w16cid:durableId="1113674724">
    <w:abstractNumId w:val="9"/>
  </w:num>
  <w:num w:numId="35" w16cid:durableId="20762696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1D90"/>
    <w:rsid w:val="00090D76"/>
    <w:rsid w:val="0009260D"/>
    <w:rsid w:val="00094F3F"/>
    <w:rsid w:val="000A00EA"/>
    <w:rsid w:val="000A0A02"/>
    <w:rsid w:val="000C1B02"/>
    <w:rsid w:val="000C26D4"/>
    <w:rsid w:val="000D4CF1"/>
    <w:rsid w:val="000E0D4A"/>
    <w:rsid w:val="000E47B9"/>
    <w:rsid w:val="000E7522"/>
    <w:rsid w:val="000F3BCA"/>
    <w:rsid w:val="00114170"/>
    <w:rsid w:val="00123760"/>
    <w:rsid w:val="001253CC"/>
    <w:rsid w:val="0013149B"/>
    <w:rsid w:val="00135B35"/>
    <w:rsid w:val="00184BEB"/>
    <w:rsid w:val="00190D99"/>
    <w:rsid w:val="00197AE5"/>
    <w:rsid w:val="001B5C91"/>
    <w:rsid w:val="001C281E"/>
    <w:rsid w:val="001C4AB7"/>
    <w:rsid w:val="001D5B1E"/>
    <w:rsid w:val="00205973"/>
    <w:rsid w:val="00207388"/>
    <w:rsid w:val="00212C67"/>
    <w:rsid w:val="00213571"/>
    <w:rsid w:val="00216E9C"/>
    <w:rsid w:val="0022045B"/>
    <w:rsid w:val="00221F8F"/>
    <w:rsid w:val="002277B8"/>
    <w:rsid w:val="002311CE"/>
    <w:rsid w:val="0023279C"/>
    <w:rsid w:val="002422AF"/>
    <w:rsid w:val="00247E08"/>
    <w:rsid w:val="002513CE"/>
    <w:rsid w:val="00255339"/>
    <w:rsid w:val="002554FB"/>
    <w:rsid w:val="00263159"/>
    <w:rsid w:val="00265B8B"/>
    <w:rsid w:val="00285038"/>
    <w:rsid w:val="00292B7E"/>
    <w:rsid w:val="002958C0"/>
    <w:rsid w:val="002A58E2"/>
    <w:rsid w:val="002B706B"/>
    <w:rsid w:val="002B7B35"/>
    <w:rsid w:val="002C2E84"/>
    <w:rsid w:val="002C48B4"/>
    <w:rsid w:val="002C6436"/>
    <w:rsid w:val="002D5CC7"/>
    <w:rsid w:val="0030784C"/>
    <w:rsid w:val="00314784"/>
    <w:rsid w:val="00316B10"/>
    <w:rsid w:val="00326883"/>
    <w:rsid w:val="00337E0F"/>
    <w:rsid w:val="00346423"/>
    <w:rsid w:val="00354234"/>
    <w:rsid w:val="00373807"/>
    <w:rsid w:val="00374C2E"/>
    <w:rsid w:val="00380545"/>
    <w:rsid w:val="003810F4"/>
    <w:rsid w:val="003824B0"/>
    <w:rsid w:val="00392D26"/>
    <w:rsid w:val="003A17AC"/>
    <w:rsid w:val="003A4737"/>
    <w:rsid w:val="003A544A"/>
    <w:rsid w:val="003A5FDC"/>
    <w:rsid w:val="003D1FDE"/>
    <w:rsid w:val="003D20D7"/>
    <w:rsid w:val="003E240E"/>
    <w:rsid w:val="003E59C2"/>
    <w:rsid w:val="003F2547"/>
    <w:rsid w:val="00407B3B"/>
    <w:rsid w:val="004113B5"/>
    <w:rsid w:val="00413CBB"/>
    <w:rsid w:val="0042254E"/>
    <w:rsid w:val="004252B9"/>
    <w:rsid w:val="0043197D"/>
    <w:rsid w:val="00447AE4"/>
    <w:rsid w:val="004526CC"/>
    <w:rsid w:val="00452DC5"/>
    <w:rsid w:val="00454945"/>
    <w:rsid w:val="00456680"/>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676FE"/>
    <w:rsid w:val="005700BC"/>
    <w:rsid w:val="00577E84"/>
    <w:rsid w:val="00596831"/>
    <w:rsid w:val="005A6258"/>
    <w:rsid w:val="005D0B44"/>
    <w:rsid w:val="005E58EC"/>
    <w:rsid w:val="00611F74"/>
    <w:rsid w:val="00615F8B"/>
    <w:rsid w:val="00623929"/>
    <w:rsid w:val="00632829"/>
    <w:rsid w:val="006355B6"/>
    <w:rsid w:val="00642A17"/>
    <w:rsid w:val="00657799"/>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F1BB7"/>
    <w:rsid w:val="006F3FB0"/>
    <w:rsid w:val="006F4FE6"/>
    <w:rsid w:val="006F6152"/>
    <w:rsid w:val="00703C75"/>
    <w:rsid w:val="00724202"/>
    <w:rsid w:val="00734BD8"/>
    <w:rsid w:val="007413F8"/>
    <w:rsid w:val="00741D06"/>
    <w:rsid w:val="0074603F"/>
    <w:rsid w:val="00770AB6"/>
    <w:rsid w:val="00775AA0"/>
    <w:rsid w:val="00781F87"/>
    <w:rsid w:val="0079796A"/>
    <w:rsid w:val="007A3BF4"/>
    <w:rsid w:val="007B6543"/>
    <w:rsid w:val="007C75A6"/>
    <w:rsid w:val="007F4341"/>
    <w:rsid w:val="00817E08"/>
    <w:rsid w:val="00824DA6"/>
    <w:rsid w:val="0082787A"/>
    <w:rsid w:val="0083094B"/>
    <w:rsid w:val="00833C2B"/>
    <w:rsid w:val="00840314"/>
    <w:rsid w:val="00881BE6"/>
    <w:rsid w:val="00892A21"/>
    <w:rsid w:val="00894EBE"/>
    <w:rsid w:val="008C5FF9"/>
    <w:rsid w:val="008D583D"/>
    <w:rsid w:val="008D6AFB"/>
    <w:rsid w:val="008F10F0"/>
    <w:rsid w:val="008F3801"/>
    <w:rsid w:val="0091430C"/>
    <w:rsid w:val="00926FCC"/>
    <w:rsid w:val="0094361E"/>
    <w:rsid w:val="009534D1"/>
    <w:rsid w:val="00954C7D"/>
    <w:rsid w:val="00955F5A"/>
    <w:rsid w:val="009572C0"/>
    <w:rsid w:val="0096555E"/>
    <w:rsid w:val="009666D9"/>
    <w:rsid w:val="00976AFA"/>
    <w:rsid w:val="009A3E8D"/>
    <w:rsid w:val="009C5F90"/>
    <w:rsid w:val="009E6A05"/>
    <w:rsid w:val="009E7D3B"/>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80ADC"/>
    <w:rsid w:val="00B937A0"/>
    <w:rsid w:val="00B949AF"/>
    <w:rsid w:val="00B977DA"/>
    <w:rsid w:val="00BC0395"/>
    <w:rsid w:val="00BF75F6"/>
    <w:rsid w:val="00C031BC"/>
    <w:rsid w:val="00C230E6"/>
    <w:rsid w:val="00C26408"/>
    <w:rsid w:val="00C4710B"/>
    <w:rsid w:val="00C55D97"/>
    <w:rsid w:val="00C57A64"/>
    <w:rsid w:val="00C65D73"/>
    <w:rsid w:val="00C803D5"/>
    <w:rsid w:val="00C84F6C"/>
    <w:rsid w:val="00CA6CE2"/>
    <w:rsid w:val="00CC2635"/>
    <w:rsid w:val="00CD2308"/>
    <w:rsid w:val="00CD6E45"/>
    <w:rsid w:val="00CE2626"/>
    <w:rsid w:val="00D06467"/>
    <w:rsid w:val="00D17D49"/>
    <w:rsid w:val="00D228D7"/>
    <w:rsid w:val="00D24F6F"/>
    <w:rsid w:val="00D252A8"/>
    <w:rsid w:val="00D3438F"/>
    <w:rsid w:val="00D454F1"/>
    <w:rsid w:val="00D6573A"/>
    <w:rsid w:val="00D84690"/>
    <w:rsid w:val="00D87E0E"/>
    <w:rsid w:val="00DC492A"/>
    <w:rsid w:val="00DE3986"/>
    <w:rsid w:val="00DE51B7"/>
    <w:rsid w:val="00DE5A62"/>
    <w:rsid w:val="00E028BD"/>
    <w:rsid w:val="00E1323B"/>
    <w:rsid w:val="00E15C4C"/>
    <w:rsid w:val="00E16566"/>
    <w:rsid w:val="00E171AF"/>
    <w:rsid w:val="00E22AE6"/>
    <w:rsid w:val="00E52842"/>
    <w:rsid w:val="00E55821"/>
    <w:rsid w:val="00E62DC0"/>
    <w:rsid w:val="00E7062F"/>
    <w:rsid w:val="00E76ABC"/>
    <w:rsid w:val="00E7768D"/>
    <w:rsid w:val="00E96647"/>
    <w:rsid w:val="00EB2CAD"/>
    <w:rsid w:val="00EC1321"/>
    <w:rsid w:val="00EC7AD8"/>
    <w:rsid w:val="00ED1342"/>
    <w:rsid w:val="00ED6DFF"/>
    <w:rsid w:val="00ED7710"/>
    <w:rsid w:val="00F165E5"/>
    <w:rsid w:val="00F256B0"/>
    <w:rsid w:val="00F6228C"/>
    <w:rsid w:val="00F67FE4"/>
    <w:rsid w:val="00F77CBB"/>
    <w:rsid w:val="00F84E5B"/>
    <w:rsid w:val="00F91F0A"/>
    <w:rsid w:val="00F94E43"/>
    <w:rsid w:val="00FA1BED"/>
    <w:rsid w:val="00FB0EB0"/>
    <w:rsid w:val="00FC61AE"/>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styleId="Refdecomentario">
    <w:name w:val="annotation reference"/>
    <w:basedOn w:val="Fuentedeprrafopredeter"/>
    <w:uiPriority w:val="99"/>
    <w:semiHidden/>
    <w:unhideWhenUsed/>
    <w:rsid w:val="000E0D4A"/>
    <w:rPr>
      <w:sz w:val="16"/>
      <w:szCs w:val="16"/>
    </w:rPr>
  </w:style>
  <w:style w:type="paragraph" w:styleId="Textocomentario">
    <w:name w:val="annotation text"/>
    <w:basedOn w:val="Normal"/>
    <w:link w:val="TextocomentarioCar"/>
    <w:uiPriority w:val="99"/>
    <w:semiHidden/>
    <w:unhideWhenUsed/>
    <w:rsid w:val="000E0D4A"/>
    <w:rPr>
      <w:sz w:val="20"/>
      <w:szCs w:val="20"/>
    </w:rPr>
  </w:style>
  <w:style w:type="character" w:customStyle="1" w:styleId="TextocomentarioCar">
    <w:name w:val="Texto comentario Car"/>
    <w:basedOn w:val="Fuentedeprrafopredeter"/>
    <w:link w:val="Textocomentario"/>
    <w:uiPriority w:val="99"/>
    <w:semiHidden/>
    <w:rsid w:val="000E0D4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E0D4A"/>
    <w:rPr>
      <w:b/>
      <w:bCs/>
    </w:rPr>
  </w:style>
  <w:style w:type="character" w:customStyle="1" w:styleId="AsuntodelcomentarioCar">
    <w:name w:val="Asunto del comentario Car"/>
    <w:basedOn w:val="TextocomentarioCar"/>
    <w:link w:val="Asuntodelcomentario"/>
    <w:uiPriority w:val="99"/>
    <w:semiHidden/>
    <w:rsid w:val="000E0D4A"/>
    <w:rPr>
      <w:rFonts w:ascii="Times New Roman" w:eastAsia="Times New Roman" w:hAnsi="Times New Roman" w:cs="Times New Roman"/>
      <w:b/>
      <w:bCs/>
      <w:sz w:val="20"/>
      <w:szCs w:val="20"/>
      <w:lang w:eastAsia="es-ES"/>
    </w:rPr>
  </w:style>
  <w:style w:type="paragraph" w:styleId="Revisin">
    <w:name w:val="Revision"/>
    <w:hidden/>
    <w:uiPriority w:val="99"/>
    <w:semiHidden/>
    <w:rsid w:val="00452DC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BE6C22D2-B314-4AA4-8AB0-3BACEC22DF02}">
  <ds:schemaRefs>
    <ds:schemaRef ds:uri="http://schemas.openxmlformats.org/officeDocument/2006/bibliography"/>
  </ds:schemaRefs>
</ds:datastoreItem>
</file>

<file path=customXml/itemProps4.xml><?xml version="1.0" encoding="utf-8"?>
<ds:datastoreItem xmlns:ds="http://schemas.openxmlformats.org/officeDocument/2006/customXml" ds:itemID="{5183627C-A1B9-4180-AA95-EAB291A50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Maria Fernanda Jimenez Piarpusan</cp:lastModifiedBy>
  <cp:revision>6</cp:revision>
  <cp:lastPrinted>2019-03-04T21:06:00Z</cp:lastPrinted>
  <dcterms:created xsi:type="dcterms:W3CDTF">2025-07-23T19:26:00Z</dcterms:created>
  <dcterms:modified xsi:type="dcterms:W3CDTF">2025-07-24T01:39:00Z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