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D40BEB" w:rsidRDefault="003314A2" w:rsidP="00F73943">
      <w:pPr>
        <w:spacing w:line="276" w:lineRule="auto"/>
        <w:rPr>
          <w:rFonts w:ascii="Century Gothic" w:hAnsi="Century Gothic"/>
          <w:sz w:val="22"/>
          <w:szCs w:val="22"/>
        </w:rPr>
      </w:pPr>
      <w:r w:rsidRPr="00D40BEB">
        <w:rPr>
          <w:rFonts w:ascii="Century Gothic" w:hAnsi="Century Gothic"/>
          <w:noProof/>
          <w:sz w:val="22"/>
          <w:szCs w:val="22"/>
          <w:lang w:val="es-CO"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D40BEB" w:rsidRDefault="00F67EF8" w:rsidP="00F73943">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D40BEB" w14:paraId="077F9E4D" w14:textId="77777777" w:rsidTr="003827E1">
        <w:trPr>
          <w:trHeight w:val="454"/>
        </w:trPr>
        <w:tc>
          <w:tcPr>
            <w:tcW w:w="4537" w:type="dxa"/>
            <w:vAlign w:val="center"/>
          </w:tcPr>
          <w:p w14:paraId="239BC5A7" w14:textId="7E10D35F" w:rsidR="00F67EF8" w:rsidRPr="00D40BEB" w:rsidRDefault="00F67EF8" w:rsidP="00F73943">
            <w:pPr>
              <w:spacing w:line="276" w:lineRule="auto"/>
              <w:rPr>
                <w:rFonts w:ascii="Century Gothic" w:hAnsi="Century Gothic"/>
                <w:b/>
                <w:bCs/>
                <w:sz w:val="22"/>
                <w:szCs w:val="22"/>
              </w:rPr>
            </w:pPr>
            <w:r w:rsidRPr="00D40BEB">
              <w:rPr>
                <w:rFonts w:ascii="Century Gothic" w:hAnsi="Century Gothic"/>
                <w:b/>
                <w:bCs/>
                <w:sz w:val="22"/>
                <w:szCs w:val="22"/>
              </w:rPr>
              <w:t>Fecha de presentación</w:t>
            </w:r>
          </w:p>
        </w:tc>
        <w:tc>
          <w:tcPr>
            <w:tcW w:w="5670" w:type="dxa"/>
          </w:tcPr>
          <w:p w14:paraId="29FA6EF6" w14:textId="0A81586B" w:rsidR="00F67EF8" w:rsidRPr="00D40BEB" w:rsidRDefault="00595FD0" w:rsidP="00F73943">
            <w:pPr>
              <w:spacing w:line="276" w:lineRule="auto"/>
              <w:jc w:val="both"/>
              <w:rPr>
                <w:rFonts w:ascii="Century Gothic" w:hAnsi="Century Gothic"/>
                <w:sz w:val="22"/>
                <w:szCs w:val="22"/>
              </w:rPr>
            </w:pPr>
            <w:r>
              <w:rPr>
                <w:rFonts w:ascii="Century Gothic" w:hAnsi="Century Gothic"/>
                <w:sz w:val="22"/>
                <w:szCs w:val="22"/>
              </w:rPr>
              <w:t>25</w:t>
            </w:r>
            <w:r w:rsidR="00C82CA9" w:rsidRPr="00D40BEB">
              <w:rPr>
                <w:rFonts w:ascii="Century Gothic" w:hAnsi="Century Gothic"/>
                <w:sz w:val="22"/>
                <w:szCs w:val="22"/>
              </w:rPr>
              <w:t>/0</w:t>
            </w:r>
            <w:r w:rsidR="00976F3D">
              <w:rPr>
                <w:rFonts w:ascii="Century Gothic" w:hAnsi="Century Gothic"/>
                <w:sz w:val="22"/>
                <w:szCs w:val="22"/>
              </w:rPr>
              <w:t>7</w:t>
            </w:r>
            <w:r w:rsidR="003B21D3" w:rsidRPr="00D40BEB">
              <w:rPr>
                <w:rFonts w:ascii="Century Gothic" w:hAnsi="Century Gothic"/>
                <w:sz w:val="22"/>
                <w:szCs w:val="22"/>
              </w:rPr>
              <w:t>/2025</w:t>
            </w:r>
          </w:p>
        </w:tc>
      </w:tr>
      <w:tr w:rsidR="00F67EF8" w:rsidRPr="00D40BEB" w14:paraId="6959AD48" w14:textId="77777777" w:rsidTr="003827E1">
        <w:trPr>
          <w:trHeight w:val="454"/>
        </w:trPr>
        <w:tc>
          <w:tcPr>
            <w:tcW w:w="4537" w:type="dxa"/>
            <w:vAlign w:val="center"/>
          </w:tcPr>
          <w:p w14:paraId="45E895A9" w14:textId="1E20E681" w:rsidR="00F67EF8" w:rsidRPr="00D40BEB" w:rsidRDefault="00F67EF8" w:rsidP="00F73943">
            <w:pPr>
              <w:spacing w:line="276" w:lineRule="auto"/>
              <w:rPr>
                <w:rFonts w:ascii="Century Gothic" w:hAnsi="Century Gothic"/>
                <w:b/>
                <w:bCs/>
                <w:sz w:val="22"/>
                <w:szCs w:val="22"/>
              </w:rPr>
            </w:pPr>
            <w:r w:rsidRPr="00D40BEB">
              <w:rPr>
                <w:rFonts w:ascii="Century Gothic" w:hAnsi="Century Gothic"/>
                <w:b/>
                <w:bCs/>
                <w:sz w:val="22"/>
                <w:szCs w:val="22"/>
              </w:rPr>
              <w:t>Tipo de abogado</w:t>
            </w:r>
          </w:p>
        </w:tc>
        <w:tc>
          <w:tcPr>
            <w:tcW w:w="5670" w:type="dxa"/>
          </w:tcPr>
          <w:p w14:paraId="06C25C40" w14:textId="49AD72D2" w:rsidR="00F67EF8" w:rsidRPr="00D40BEB" w:rsidRDefault="003B21D3" w:rsidP="00F73943">
            <w:pPr>
              <w:spacing w:line="276" w:lineRule="auto"/>
              <w:jc w:val="both"/>
              <w:rPr>
                <w:rFonts w:ascii="Century Gothic" w:hAnsi="Century Gothic"/>
                <w:sz w:val="22"/>
                <w:szCs w:val="22"/>
              </w:rPr>
            </w:pPr>
            <w:r w:rsidRPr="00D40BEB">
              <w:rPr>
                <w:rFonts w:ascii="Century Gothic" w:hAnsi="Century Gothic"/>
                <w:sz w:val="22"/>
                <w:szCs w:val="22"/>
              </w:rPr>
              <w:t xml:space="preserve">EXTERNO </w:t>
            </w:r>
          </w:p>
        </w:tc>
      </w:tr>
      <w:tr w:rsidR="00F67EF8" w:rsidRPr="00D40BEB" w14:paraId="2F6DA3B0" w14:textId="77777777" w:rsidTr="003827E1">
        <w:trPr>
          <w:trHeight w:val="454"/>
        </w:trPr>
        <w:tc>
          <w:tcPr>
            <w:tcW w:w="4537" w:type="dxa"/>
            <w:vAlign w:val="center"/>
          </w:tcPr>
          <w:p w14:paraId="30599F8A" w14:textId="674A8832" w:rsidR="00F67EF8" w:rsidRPr="00D40BEB" w:rsidRDefault="00F67EF8" w:rsidP="00F73943">
            <w:pPr>
              <w:spacing w:line="276" w:lineRule="auto"/>
              <w:rPr>
                <w:rFonts w:ascii="Century Gothic" w:hAnsi="Century Gothic"/>
                <w:sz w:val="22"/>
                <w:szCs w:val="22"/>
              </w:rPr>
            </w:pPr>
            <w:r w:rsidRPr="00D40BEB">
              <w:rPr>
                <w:rFonts w:ascii="Century Gothic" w:hAnsi="Century Gothic"/>
                <w:b/>
                <w:bCs/>
                <w:sz w:val="22"/>
                <w:szCs w:val="22"/>
              </w:rPr>
              <w:t>Aseguradora vinculada al proceso</w:t>
            </w:r>
          </w:p>
        </w:tc>
        <w:tc>
          <w:tcPr>
            <w:tcW w:w="5670" w:type="dxa"/>
          </w:tcPr>
          <w:p w14:paraId="794A38B0" w14:textId="5D2C22E0" w:rsidR="00F67EF8" w:rsidRPr="00D40BEB" w:rsidRDefault="003B21D3" w:rsidP="00F73943">
            <w:pPr>
              <w:spacing w:line="276" w:lineRule="auto"/>
              <w:jc w:val="both"/>
              <w:rPr>
                <w:rFonts w:ascii="Century Gothic" w:hAnsi="Century Gothic"/>
                <w:sz w:val="22"/>
                <w:szCs w:val="22"/>
              </w:rPr>
            </w:pPr>
            <w:r w:rsidRPr="00D40BEB">
              <w:rPr>
                <w:rFonts w:ascii="Century Gothic" w:hAnsi="Century Gothic"/>
                <w:sz w:val="22"/>
                <w:szCs w:val="22"/>
              </w:rPr>
              <w:t xml:space="preserve">LA EQUIDAD SEGUROS </w:t>
            </w:r>
            <w:r w:rsidR="00595FD0">
              <w:rPr>
                <w:rFonts w:ascii="Century Gothic" w:hAnsi="Century Gothic"/>
                <w:sz w:val="22"/>
                <w:szCs w:val="22"/>
              </w:rPr>
              <w:t>VIDA</w:t>
            </w:r>
          </w:p>
        </w:tc>
      </w:tr>
      <w:tr w:rsidR="00F67EF8" w:rsidRPr="00D40BEB" w14:paraId="490540BB" w14:textId="77777777" w:rsidTr="003827E1">
        <w:trPr>
          <w:trHeight w:val="454"/>
        </w:trPr>
        <w:tc>
          <w:tcPr>
            <w:tcW w:w="4537" w:type="dxa"/>
            <w:vAlign w:val="center"/>
          </w:tcPr>
          <w:p w14:paraId="1C2D5235" w14:textId="2B4007F3" w:rsidR="00F67EF8" w:rsidRPr="00D40BEB" w:rsidRDefault="00992368" w:rsidP="00F73943">
            <w:pPr>
              <w:spacing w:line="276" w:lineRule="auto"/>
              <w:rPr>
                <w:rFonts w:ascii="Century Gothic" w:hAnsi="Century Gothic"/>
                <w:b/>
                <w:bCs/>
                <w:sz w:val="22"/>
                <w:szCs w:val="22"/>
              </w:rPr>
            </w:pPr>
            <w:r w:rsidRPr="00D40BEB">
              <w:rPr>
                <w:rFonts w:ascii="Century Gothic" w:hAnsi="Century Gothic"/>
                <w:b/>
                <w:bCs/>
                <w:sz w:val="22"/>
                <w:szCs w:val="22"/>
              </w:rPr>
              <w:t>SGC</w:t>
            </w:r>
          </w:p>
        </w:tc>
        <w:tc>
          <w:tcPr>
            <w:tcW w:w="5670" w:type="dxa"/>
          </w:tcPr>
          <w:p w14:paraId="11B788BC" w14:textId="59C57410" w:rsidR="00F67EF8" w:rsidRPr="00D40BEB" w:rsidRDefault="006C63BB" w:rsidP="00F73943">
            <w:pPr>
              <w:spacing w:line="276" w:lineRule="auto"/>
              <w:jc w:val="both"/>
              <w:rPr>
                <w:rFonts w:ascii="Century Gothic" w:hAnsi="Century Gothic"/>
                <w:sz w:val="22"/>
                <w:szCs w:val="22"/>
              </w:rPr>
            </w:pPr>
            <w:r>
              <w:rPr>
                <w:rFonts w:ascii="Century Gothic" w:hAnsi="Century Gothic"/>
                <w:sz w:val="22"/>
                <w:szCs w:val="22"/>
              </w:rPr>
              <w:t>11163</w:t>
            </w:r>
          </w:p>
        </w:tc>
      </w:tr>
      <w:tr w:rsidR="00F67EF8" w:rsidRPr="00D40BEB" w14:paraId="1D86DF69" w14:textId="77777777" w:rsidTr="003827E1">
        <w:trPr>
          <w:trHeight w:val="454"/>
        </w:trPr>
        <w:tc>
          <w:tcPr>
            <w:tcW w:w="4537" w:type="dxa"/>
            <w:vAlign w:val="center"/>
          </w:tcPr>
          <w:p w14:paraId="699114C2" w14:textId="0BB9EC2F" w:rsidR="00F67EF8" w:rsidRPr="00D40BEB" w:rsidRDefault="00992368" w:rsidP="00F73943">
            <w:pPr>
              <w:spacing w:line="276" w:lineRule="auto"/>
              <w:rPr>
                <w:rFonts w:ascii="Century Gothic" w:hAnsi="Century Gothic"/>
                <w:b/>
                <w:bCs/>
                <w:sz w:val="22"/>
                <w:szCs w:val="22"/>
              </w:rPr>
            </w:pPr>
            <w:r w:rsidRPr="00D40BEB">
              <w:rPr>
                <w:rFonts w:ascii="Century Gothic" w:hAnsi="Century Gothic"/>
                <w:b/>
                <w:bCs/>
                <w:sz w:val="22"/>
                <w:szCs w:val="22"/>
              </w:rPr>
              <w:t>Despacho/Juzgado/ Tribunal</w:t>
            </w:r>
          </w:p>
        </w:tc>
        <w:tc>
          <w:tcPr>
            <w:tcW w:w="5670" w:type="dxa"/>
          </w:tcPr>
          <w:p w14:paraId="7DD6339C" w14:textId="49FCECF3" w:rsidR="00F67EF8" w:rsidRPr="00D40BEB" w:rsidRDefault="006C63BB" w:rsidP="00F73943">
            <w:pPr>
              <w:spacing w:line="276" w:lineRule="auto"/>
              <w:jc w:val="both"/>
              <w:rPr>
                <w:rFonts w:ascii="Century Gothic" w:hAnsi="Century Gothic"/>
                <w:sz w:val="22"/>
                <w:szCs w:val="22"/>
              </w:rPr>
            </w:pPr>
            <w:r>
              <w:rPr>
                <w:rFonts w:ascii="Century Gothic" w:hAnsi="Century Gothic"/>
                <w:sz w:val="22"/>
                <w:szCs w:val="22"/>
              </w:rPr>
              <w:t>SUPERINTENDENCIA FINANCIERA DE COLOMBIA</w:t>
            </w:r>
          </w:p>
        </w:tc>
      </w:tr>
      <w:tr w:rsidR="00F67EF8" w:rsidRPr="00D40BEB" w14:paraId="54742FD8" w14:textId="77777777" w:rsidTr="003827E1">
        <w:trPr>
          <w:trHeight w:val="454"/>
        </w:trPr>
        <w:tc>
          <w:tcPr>
            <w:tcW w:w="4537" w:type="dxa"/>
            <w:vAlign w:val="center"/>
          </w:tcPr>
          <w:p w14:paraId="5A357CCF" w14:textId="3C7FFC83" w:rsidR="00F67EF8" w:rsidRPr="00D40BEB" w:rsidRDefault="00992368" w:rsidP="00F73943">
            <w:pPr>
              <w:spacing w:line="276" w:lineRule="auto"/>
              <w:rPr>
                <w:rFonts w:ascii="Century Gothic" w:hAnsi="Century Gothic"/>
                <w:b/>
                <w:bCs/>
                <w:sz w:val="22"/>
                <w:szCs w:val="22"/>
              </w:rPr>
            </w:pPr>
            <w:r w:rsidRPr="00D40BEB">
              <w:rPr>
                <w:rFonts w:ascii="Century Gothic" w:hAnsi="Century Gothic"/>
                <w:b/>
                <w:bCs/>
                <w:sz w:val="22"/>
                <w:szCs w:val="22"/>
              </w:rPr>
              <w:t xml:space="preserve">Ciudad </w:t>
            </w:r>
          </w:p>
        </w:tc>
        <w:tc>
          <w:tcPr>
            <w:tcW w:w="5670" w:type="dxa"/>
          </w:tcPr>
          <w:p w14:paraId="5101FDD8" w14:textId="0089A4EF" w:rsidR="00F67EF8" w:rsidRPr="00D40BEB" w:rsidRDefault="006C63BB" w:rsidP="00F73943">
            <w:pPr>
              <w:spacing w:line="276" w:lineRule="auto"/>
              <w:jc w:val="both"/>
              <w:rPr>
                <w:rFonts w:ascii="Century Gothic" w:hAnsi="Century Gothic"/>
                <w:sz w:val="22"/>
                <w:szCs w:val="22"/>
              </w:rPr>
            </w:pPr>
            <w:r>
              <w:rPr>
                <w:rFonts w:ascii="Century Gothic" w:hAnsi="Century Gothic"/>
                <w:sz w:val="22"/>
                <w:szCs w:val="22"/>
              </w:rPr>
              <w:t>BOGOTÁ</w:t>
            </w:r>
          </w:p>
        </w:tc>
      </w:tr>
      <w:tr w:rsidR="00992368" w:rsidRPr="00D40BEB" w14:paraId="3983A9CE" w14:textId="77777777" w:rsidTr="003827E1">
        <w:trPr>
          <w:trHeight w:val="454"/>
        </w:trPr>
        <w:tc>
          <w:tcPr>
            <w:tcW w:w="4537" w:type="dxa"/>
            <w:vAlign w:val="center"/>
          </w:tcPr>
          <w:p w14:paraId="7EC7EF81" w14:textId="3CF9A0A9" w:rsidR="00992368" w:rsidRPr="00D40BEB" w:rsidRDefault="008E249B" w:rsidP="00F73943">
            <w:pPr>
              <w:spacing w:line="276" w:lineRule="auto"/>
              <w:rPr>
                <w:rFonts w:ascii="Century Gothic" w:hAnsi="Century Gothic"/>
                <w:b/>
                <w:bCs/>
                <w:sz w:val="22"/>
                <w:szCs w:val="22"/>
              </w:rPr>
            </w:pPr>
            <w:r w:rsidRPr="00D40BEB">
              <w:rPr>
                <w:rFonts w:ascii="Century Gothic" w:hAnsi="Century Gothic"/>
                <w:b/>
                <w:bCs/>
                <w:sz w:val="22"/>
                <w:szCs w:val="22"/>
              </w:rPr>
              <w:t>Radicado completo 23 dígitos</w:t>
            </w:r>
          </w:p>
        </w:tc>
        <w:tc>
          <w:tcPr>
            <w:tcW w:w="5670" w:type="dxa"/>
          </w:tcPr>
          <w:p w14:paraId="573C25D1" w14:textId="0A310C16" w:rsidR="00992368" w:rsidRPr="00D40BEB" w:rsidRDefault="004024F5" w:rsidP="00F73943">
            <w:pPr>
              <w:spacing w:line="276" w:lineRule="auto"/>
              <w:jc w:val="both"/>
              <w:rPr>
                <w:rFonts w:ascii="Century Gothic" w:hAnsi="Century Gothic"/>
                <w:sz w:val="22"/>
                <w:szCs w:val="22"/>
              </w:rPr>
            </w:pPr>
            <w:r w:rsidRPr="004024F5">
              <w:rPr>
                <w:rFonts w:ascii="Century Gothic" w:hAnsi="Century Gothic"/>
                <w:sz w:val="22"/>
                <w:szCs w:val="22"/>
              </w:rPr>
              <w:t>2025077796</w:t>
            </w:r>
          </w:p>
        </w:tc>
      </w:tr>
      <w:tr w:rsidR="00992368" w:rsidRPr="00D40BEB" w14:paraId="4A0D8041" w14:textId="77777777" w:rsidTr="003827E1">
        <w:trPr>
          <w:trHeight w:val="454"/>
        </w:trPr>
        <w:tc>
          <w:tcPr>
            <w:tcW w:w="4537" w:type="dxa"/>
            <w:vAlign w:val="center"/>
          </w:tcPr>
          <w:p w14:paraId="6BA2EEB5" w14:textId="7369F36B" w:rsidR="00992368" w:rsidRPr="00D40BEB" w:rsidRDefault="00B2787D" w:rsidP="00F73943">
            <w:pPr>
              <w:spacing w:line="276" w:lineRule="auto"/>
              <w:rPr>
                <w:rFonts w:ascii="Century Gothic" w:hAnsi="Century Gothic"/>
                <w:b/>
                <w:bCs/>
                <w:sz w:val="22"/>
                <w:szCs w:val="22"/>
              </w:rPr>
            </w:pPr>
            <w:r w:rsidRPr="00D40BEB">
              <w:rPr>
                <w:rFonts w:ascii="Century Gothic" w:hAnsi="Century Gothic"/>
                <w:b/>
                <w:bCs/>
                <w:sz w:val="22"/>
                <w:szCs w:val="22"/>
              </w:rPr>
              <w:t>Fecha de notificación</w:t>
            </w:r>
          </w:p>
        </w:tc>
        <w:tc>
          <w:tcPr>
            <w:tcW w:w="5670" w:type="dxa"/>
          </w:tcPr>
          <w:p w14:paraId="64AC88EB" w14:textId="76FD6741" w:rsidR="00992368" w:rsidRPr="00D40BEB" w:rsidRDefault="004C63BD" w:rsidP="00F73943">
            <w:pPr>
              <w:spacing w:line="276" w:lineRule="auto"/>
              <w:jc w:val="both"/>
              <w:rPr>
                <w:rFonts w:ascii="Century Gothic" w:hAnsi="Century Gothic"/>
                <w:sz w:val="22"/>
                <w:szCs w:val="22"/>
              </w:rPr>
            </w:pPr>
            <w:r>
              <w:rPr>
                <w:rFonts w:ascii="Century Gothic" w:hAnsi="Century Gothic"/>
                <w:sz w:val="22"/>
                <w:szCs w:val="22"/>
              </w:rPr>
              <w:t>12/06/2025</w:t>
            </w:r>
          </w:p>
        </w:tc>
      </w:tr>
      <w:tr w:rsidR="00992368" w:rsidRPr="00D40BEB" w14:paraId="028BDD81" w14:textId="77777777" w:rsidTr="003827E1">
        <w:trPr>
          <w:trHeight w:val="454"/>
        </w:trPr>
        <w:tc>
          <w:tcPr>
            <w:tcW w:w="4537" w:type="dxa"/>
            <w:vAlign w:val="center"/>
          </w:tcPr>
          <w:p w14:paraId="74AA3CB7" w14:textId="0154798B" w:rsidR="00992368" w:rsidRPr="00D40BEB" w:rsidRDefault="00B2787D" w:rsidP="00F73943">
            <w:pPr>
              <w:spacing w:line="276" w:lineRule="auto"/>
              <w:rPr>
                <w:rFonts w:ascii="Century Gothic" w:hAnsi="Century Gothic"/>
                <w:b/>
                <w:bCs/>
                <w:sz w:val="22"/>
                <w:szCs w:val="22"/>
              </w:rPr>
            </w:pPr>
            <w:r w:rsidRPr="00D40BEB">
              <w:rPr>
                <w:rFonts w:ascii="Century Gothic" w:hAnsi="Century Gothic"/>
                <w:b/>
                <w:bCs/>
                <w:sz w:val="22"/>
                <w:szCs w:val="22"/>
              </w:rPr>
              <w:t>Fecha vencimiento del término</w:t>
            </w:r>
          </w:p>
        </w:tc>
        <w:tc>
          <w:tcPr>
            <w:tcW w:w="5670" w:type="dxa"/>
          </w:tcPr>
          <w:p w14:paraId="41E82979" w14:textId="4DC715BF" w:rsidR="00992368" w:rsidRPr="00D40BEB" w:rsidRDefault="00937455" w:rsidP="00F73943">
            <w:pPr>
              <w:spacing w:line="276" w:lineRule="auto"/>
              <w:jc w:val="both"/>
              <w:rPr>
                <w:rFonts w:ascii="Century Gothic" w:hAnsi="Century Gothic"/>
                <w:sz w:val="22"/>
                <w:szCs w:val="22"/>
              </w:rPr>
            </w:pPr>
            <w:r>
              <w:rPr>
                <w:rFonts w:ascii="Century Gothic" w:hAnsi="Century Gothic"/>
                <w:sz w:val="22"/>
                <w:szCs w:val="22"/>
              </w:rPr>
              <w:t>14/07/20</w:t>
            </w:r>
            <w:r w:rsidR="00BF634A">
              <w:rPr>
                <w:rFonts w:ascii="Century Gothic" w:hAnsi="Century Gothic"/>
                <w:sz w:val="22"/>
                <w:szCs w:val="22"/>
              </w:rPr>
              <w:t>25</w:t>
            </w:r>
          </w:p>
        </w:tc>
      </w:tr>
    </w:tbl>
    <w:p w14:paraId="619AE562" w14:textId="77777777" w:rsidR="00BA1E5F" w:rsidRPr="00A877D3" w:rsidRDefault="00BA1E5F" w:rsidP="00F73943">
      <w:pPr>
        <w:spacing w:line="276" w:lineRule="auto"/>
        <w:rPr>
          <w:rFonts w:ascii="Century Gothic" w:hAnsi="Century Gothic"/>
          <w:sz w:val="22"/>
          <w:szCs w:val="22"/>
        </w:rPr>
      </w:pPr>
    </w:p>
    <w:p w14:paraId="64A76143" w14:textId="77777777" w:rsidR="00BA1E5F" w:rsidRPr="00A877D3" w:rsidRDefault="00BA1E5F" w:rsidP="00F73943">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D40BEB" w14:paraId="55765E90" w14:textId="77777777" w:rsidTr="0095378E">
        <w:tc>
          <w:tcPr>
            <w:tcW w:w="10207" w:type="dxa"/>
            <w:shd w:val="clear" w:color="auto" w:fill="C5E0B3" w:themeFill="accent6" w:themeFillTint="66"/>
            <w:vAlign w:val="center"/>
          </w:tcPr>
          <w:p w14:paraId="7B465D4D" w14:textId="5CAE6B68" w:rsidR="00B2787D" w:rsidRPr="00D40BEB" w:rsidRDefault="00B2787D" w:rsidP="00F73943">
            <w:pPr>
              <w:spacing w:line="276" w:lineRule="auto"/>
              <w:jc w:val="center"/>
              <w:rPr>
                <w:rFonts w:ascii="Century Gothic" w:hAnsi="Century Gothic"/>
                <w:sz w:val="22"/>
                <w:szCs w:val="22"/>
              </w:rPr>
            </w:pPr>
            <w:r w:rsidRPr="00D40BEB">
              <w:rPr>
                <w:rFonts w:ascii="Century Gothic" w:hAnsi="Century Gothic"/>
                <w:b/>
                <w:bCs/>
                <w:sz w:val="22"/>
                <w:szCs w:val="22"/>
              </w:rPr>
              <w:t>Hechos</w:t>
            </w:r>
            <w:r w:rsidR="007C37D7" w:rsidRPr="00D40BEB">
              <w:rPr>
                <w:rFonts w:ascii="Century Gothic" w:hAnsi="Century Gothic"/>
                <w:b/>
                <w:bCs/>
                <w:sz w:val="22"/>
                <w:szCs w:val="22"/>
              </w:rPr>
              <w:t xml:space="preserve"> </w:t>
            </w:r>
            <w:r w:rsidR="007C37D7" w:rsidRPr="00D40BEB">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D40BEB" w14:paraId="59EA92D0" w14:textId="77777777" w:rsidTr="006056E7">
        <w:tc>
          <w:tcPr>
            <w:tcW w:w="10207" w:type="dxa"/>
            <w:vAlign w:val="center"/>
          </w:tcPr>
          <w:p w14:paraId="7D5C850F" w14:textId="77777777" w:rsidR="00B2787D" w:rsidRPr="00D40BEB" w:rsidRDefault="00B2787D" w:rsidP="00F73943">
            <w:pPr>
              <w:pStyle w:val="Prrafodelista"/>
              <w:spacing w:line="276" w:lineRule="auto"/>
              <w:rPr>
                <w:rFonts w:ascii="Century Gothic" w:hAnsi="Century Gothic"/>
                <w:sz w:val="22"/>
                <w:szCs w:val="22"/>
              </w:rPr>
            </w:pPr>
          </w:p>
          <w:p w14:paraId="72B4B12A" w14:textId="4BCCDC2D" w:rsidR="00F800B4" w:rsidRPr="00F800B4" w:rsidRDefault="00F800B4" w:rsidP="00F73943">
            <w:pPr>
              <w:pStyle w:val="Prrafodelista"/>
              <w:numPr>
                <w:ilvl w:val="0"/>
                <w:numId w:val="9"/>
              </w:numPr>
              <w:spacing w:line="276" w:lineRule="auto"/>
              <w:jc w:val="both"/>
              <w:rPr>
                <w:rFonts w:ascii="Century Gothic" w:hAnsi="Century Gothic"/>
                <w:sz w:val="22"/>
                <w:szCs w:val="22"/>
              </w:rPr>
            </w:pPr>
            <w:r w:rsidRPr="00F800B4">
              <w:rPr>
                <w:rFonts w:ascii="Century Gothic" w:hAnsi="Century Gothic"/>
                <w:sz w:val="22"/>
                <w:szCs w:val="22"/>
              </w:rPr>
              <w:t xml:space="preserve">El día 17 de mayo de 2022, el señor Pedro Hernández acudió a las instalaciones de la cooperativa </w:t>
            </w:r>
            <w:proofErr w:type="spellStart"/>
            <w:r w:rsidRPr="00F800B4">
              <w:rPr>
                <w:rFonts w:ascii="Century Gothic" w:hAnsi="Century Gothic"/>
                <w:sz w:val="22"/>
                <w:szCs w:val="22"/>
              </w:rPr>
              <w:t>C</w:t>
            </w:r>
            <w:r w:rsidR="006F721F" w:rsidRPr="00F800B4">
              <w:rPr>
                <w:rFonts w:ascii="Century Gothic" w:hAnsi="Century Gothic"/>
                <w:sz w:val="22"/>
                <w:szCs w:val="22"/>
              </w:rPr>
              <w:t>ooprofesores</w:t>
            </w:r>
            <w:proofErr w:type="spellEnd"/>
            <w:r w:rsidRPr="00F800B4">
              <w:rPr>
                <w:rFonts w:ascii="Century Gothic" w:hAnsi="Century Gothic"/>
                <w:sz w:val="22"/>
                <w:szCs w:val="22"/>
              </w:rPr>
              <w:t xml:space="preserve"> para solicitar un crédito por valor de $61.000.000.</w:t>
            </w:r>
          </w:p>
          <w:p w14:paraId="18FD9CA9" w14:textId="77777777" w:rsidR="00F800B4" w:rsidRPr="00F800B4" w:rsidRDefault="00F800B4" w:rsidP="00F73943">
            <w:pPr>
              <w:spacing w:line="276" w:lineRule="auto"/>
              <w:ind w:left="360"/>
              <w:jc w:val="both"/>
              <w:rPr>
                <w:rFonts w:ascii="Century Gothic" w:hAnsi="Century Gothic"/>
                <w:sz w:val="22"/>
                <w:szCs w:val="22"/>
              </w:rPr>
            </w:pPr>
          </w:p>
          <w:p w14:paraId="546FB15F" w14:textId="50D762EA" w:rsidR="00F800B4" w:rsidRPr="00F800B4" w:rsidRDefault="00F800B4" w:rsidP="00F73943">
            <w:pPr>
              <w:pStyle w:val="Prrafodelista"/>
              <w:numPr>
                <w:ilvl w:val="0"/>
                <w:numId w:val="9"/>
              </w:numPr>
              <w:spacing w:line="276" w:lineRule="auto"/>
              <w:jc w:val="both"/>
              <w:rPr>
                <w:rFonts w:ascii="Century Gothic" w:hAnsi="Century Gothic"/>
                <w:sz w:val="22"/>
                <w:szCs w:val="22"/>
              </w:rPr>
            </w:pPr>
            <w:r w:rsidRPr="00F800B4">
              <w:rPr>
                <w:rFonts w:ascii="Century Gothic" w:hAnsi="Century Gothic"/>
                <w:sz w:val="22"/>
                <w:szCs w:val="22"/>
              </w:rPr>
              <w:t>Según el relato del demandante, ese mismo día fue atendido por un funcionario de la cooperativa, quien lo asesoró y le indicó qué información debía diligenciar y en qué formularios, con el fin de cumplir los requisitos para la aprobación del crédito No. 81-005514-8.</w:t>
            </w:r>
          </w:p>
          <w:p w14:paraId="5BF46945" w14:textId="77777777" w:rsidR="00F800B4" w:rsidRPr="00F800B4" w:rsidRDefault="00F800B4" w:rsidP="00F73943">
            <w:pPr>
              <w:spacing w:line="276" w:lineRule="auto"/>
              <w:ind w:left="360"/>
              <w:jc w:val="both"/>
              <w:rPr>
                <w:rFonts w:ascii="Century Gothic" w:hAnsi="Century Gothic"/>
                <w:sz w:val="22"/>
                <w:szCs w:val="22"/>
              </w:rPr>
            </w:pPr>
          </w:p>
          <w:p w14:paraId="4A775B26" w14:textId="10F0FE33" w:rsidR="00F800B4" w:rsidRPr="00F800B4" w:rsidRDefault="00F800B4" w:rsidP="00F73943">
            <w:pPr>
              <w:pStyle w:val="Prrafodelista"/>
              <w:numPr>
                <w:ilvl w:val="0"/>
                <w:numId w:val="9"/>
              </w:numPr>
              <w:spacing w:line="276" w:lineRule="auto"/>
              <w:jc w:val="both"/>
              <w:rPr>
                <w:rFonts w:ascii="Century Gothic" w:hAnsi="Century Gothic"/>
                <w:sz w:val="22"/>
                <w:szCs w:val="22"/>
              </w:rPr>
            </w:pPr>
            <w:r w:rsidRPr="00F800B4">
              <w:rPr>
                <w:rFonts w:ascii="Century Gothic" w:hAnsi="Century Gothic"/>
                <w:sz w:val="22"/>
                <w:szCs w:val="22"/>
              </w:rPr>
              <w:t>El día 15 de septiembre de 2023, a Pedro Hernández le fue calificada la pérdida de capacidad laboral en un 58.88%, con fecha de estructuración el 14 de julio de 2022, mediante dictamen No. J.N 202322504 de la Junta Regional de Calificación de Invalidez del Norte de Santander.</w:t>
            </w:r>
          </w:p>
          <w:p w14:paraId="5FF0ADE6" w14:textId="77777777" w:rsidR="00F800B4" w:rsidRPr="00F800B4" w:rsidRDefault="00F800B4" w:rsidP="00F73943">
            <w:pPr>
              <w:pStyle w:val="Prrafodelista"/>
              <w:spacing w:line="276" w:lineRule="auto"/>
              <w:jc w:val="both"/>
              <w:rPr>
                <w:rFonts w:ascii="Century Gothic" w:hAnsi="Century Gothic"/>
                <w:sz w:val="22"/>
                <w:szCs w:val="22"/>
              </w:rPr>
            </w:pPr>
          </w:p>
          <w:p w14:paraId="2F4C3C61" w14:textId="3FB39ADC" w:rsidR="00F800B4" w:rsidRPr="00F800B4" w:rsidRDefault="00F800B4" w:rsidP="00F73943">
            <w:pPr>
              <w:pStyle w:val="Prrafodelista"/>
              <w:numPr>
                <w:ilvl w:val="0"/>
                <w:numId w:val="9"/>
              </w:numPr>
              <w:spacing w:line="276" w:lineRule="auto"/>
              <w:jc w:val="both"/>
              <w:rPr>
                <w:rFonts w:ascii="Century Gothic" w:hAnsi="Century Gothic"/>
                <w:sz w:val="22"/>
                <w:szCs w:val="22"/>
              </w:rPr>
            </w:pPr>
            <w:r w:rsidRPr="00F800B4">
              <w:rPr>
                <w:rFonts w:ascii="Century Gothic" w:hAnsi="Century Gothic"/>
                <w:sz w:val="22"/>
                <w:szCs w:val="22"/>
              </w:rPr>
              <w:t xml:space="preserve">El día 29 de septiembre de 2023, el señor Pedro Hernández solicitó a </w:t>
            </w:r>
            <w:proofErr w:type="spellStart"/>
            <w:r w:rsidRPr="00F800B4">
              <w:rPr>
                <w:rFonts w:ascii="Century Gothic" w:hAnsi="Century Gothic"/>
                <w:sz w:val="22"/>
                <w:szCs w:val="22"/>
              </w:rPr>
              <w:t>C</w:t>
            </w:r>
            <w:r w:rsidR="006F721F" w:rsidRPr="00F800B4">
              <w:rPr>
                <w:rFonts w:ascii="Century Gothic" w:hAnsi="Century Gothic"/>
                <w:sz w:val="22"/>
                <w:szCs w:val="22"/>
              </w:rPr>
              <w:t>ooprofesores</w:t>
            </w:r>
            <w:proofErr w:type="spellEnd"/>
            <w:r w:rsidRPr="00F800B4">
              <w:rPr>
                <w:rFonts w:ascii="Century Gothic" w:hAnsi="Century Gothic"/>
                <w:sz w:val="22"/>
                <w:szCs w:val="22"/>
              </w:rPr>
              <w:t xml:space="preserve"> la afectación de la póliza de seguro de vida grupo deudores, anexando copia del dictamen de invalidez.</w:t>
            </w:r>
          </w:p>
          <w:p w14:paraId="1AB51754" w14:textId="77777777" w:rsidR="00F800B4" w:rsidRPr="00F800B4" w:rsidRDefault="00F800B4" w:rsidP="00F73943">
            <w:pPr>
              <w:pStyle w:val="Prrafodelista"/>
              <w:spacing w:line="276" w:lineRule="auto"/>
              <w:jc w:val="both"/>
              <w:rPr>
                <w:rFonts w:ascii="Century Gothic" w:hAnsi="Century Gothic"/>
                <w:sz w:val="22"/>
                <w:szCs w:val="22"/>
              </w:rPr>
            </w:pPr>
          </w:p>
          <w:p w14:paraId="304CACEF" w14:textId="757AAC5B" w:rsidR="00F800B4" w:rsidRPr="00F800B4" w:rsidRDefault="00F800B4" w:rsidP="00F73943">
            <w:pPr>
              <w:pStyle w:val="Prrafodelista"/>
              <w:numPr>
                <w:ilvl w:val="0"/>
                <w:numId w:val="9"/>
              </w:numPr>
              <w:spacing w:line="276" w:lineRule="auto"/>
              <w:jc w:val="both"/>
              <w:rPr>
                <w:rFonts w:ascii="Century Gothic" w:hAnsi="Century Gothic"/>
                <w:sz w:val="22"/>
                <w:szCs w:val="22"/>
              </w:rPr>
            </w:pPr>
            <w:r w:rsidRPr="00F800B4">
              <w:rPr>
                <w:rFonts w:ascii="Century Gothic" w:hAnsi="Century Gothic"/>
                <w:sz w:val="22"/>
                <w:szCs w:val="22"/>
              </w:rPr>
              <w:t xml:space="preserve">El día 6 de diciembre de 2023, la aseguradora </w:t>
            </w:r>
            <w:r w:rsidR="00573C90" w:rsidRPr="00F800B4">
              <w:rPr>
                <w:rFonts w:ascii="Century Gothic" w:hAnsi="Century Gothic"/>
                <w:sz w:val="22"/>
                <w:szCs w:val="22"/>
              </w:rPr>
              <w:t xml:space="preserve">Equidad Seguros </w:t>
            </w:r>
            <w:r w:rsidRPr="00F800B4">
              <w:rPr>
                <w:rFonts w:ascii="Century Gothic" w:hAnsi="Century Gothic"/>
                <w:sz w:val="22"/>
                <w:szCs w:val="22"/>
              </w:rPr>
              <w:t xml:space="preserve">emitió un comunicado al representante legal de </w:t>
            </w:r>
            <w:proofErr w:type="spellStart"/>
            <w:r w:rsidR="00573C90" w:rsidRPr="00F800B4">
              <w:rPr>
                <w:rFonts w:ascii="Century Gothic" w:hAnsi="Century Gothic"/>
                <w:sz w:val="22"/>
                <w:szCs w:val="22"/>
              </w:rPr>
              <w:t>Cooprofesores</w:t>
            </w:r>
            <w:proofErr w:type="spellEnd"/>
            <w:r w:rsidRPr="00F800B4">
              <w:rPr>
                <w:rFonts w:ascii="Century Gothic" w:hAnsi="Century Gothic"/>
                <w:sz w:val="22"/>
                <w:szCs w:val="22"/>
              </w:rPr>
              <w:t>, objetando el siniestro No. 10289337, argumentando que el asegurado incurrió en reticencia al no declarar condiciones médicas preexistentes como insuficiencia renal crónica, depresión y ansiedad.</w:t>
            </w:r>
          </w:p>
          <w:p w14:paraId="0893283E" w14:textId="77777777" w:rsidR="00F800B4" w:rsidRPr="00F800B4" w:rsidRDefault="00F800B4" w:rsidP="00F73943">
            <w:pPr>
              <w:pStyle w:val="Prrafodelista"/>
              <w:spacing w:line="276" w:lineRule="auto"/>
              <w:jc w:val="both"/>
              <w:rPr>
                <w:rFonts w:ascii="Century Gothic" w:hAnsi="Century Gothic"/>
                <w:sz w:val="22"/>
                <w:szCs w:val="22"/>
              </w:rPr>
            </w:pPr>
          </w:p>
          <w:p w14:paraId="107B76B8" w14:textId="0BA4AF42" w:rsidR="00F800B4" w:rsidRPr="00F800B4" w:rsidRDefault="00F800B4" w:rsidP="00F73943">
            <w:pPr>
              <w:pStyle w:val="Prrafodelista"/>
              <w:numPr>
                <w:ilvl w:val="0"/>
                <w:numId w:val="9"/>
              </w:numPr>
              <w:spacing w:line="276" w:lineRule="auto"/>
              <w:jc w:val="both"/>
              <w:rPr>
                <w:rFonts w:ascii="Century Gothic" w:hAnsi="Century Gothic"/>
                <w:sz w:val="22"/>
                <w:szCs w:val="22"/>
              </w:rPr>
            </w:pPr>
            <w:r w:rsidRPr="00F800B4">
              <w:rPr>
                <w:rFonts w:ascii="Century Gothic" w:hAnsi="Century Gothic"/>
                <w:sz w:val="22"/>
                <w:szCs w:val="22"/>
              </w:rPr>
              <w:t xml:space="preserve">El día 20 de marzo de 2024, el señor Pedro Hernández presentó derecho de petición a </w:t>
            </w:r>
            <w:r w:rsidR="00573C90" w:rsidRPr="00F800B4">
              <w:rPr>
                <w:rFonts w:ascii="Century Gothic" w:hAnsi="Century Gothic"/>
                <w:sz w:val="22"/>
                <w:szCs w:val="22"/>
              </w:rPr>
              <w:t xml:space="preserve">Equidad Seguros </w:t>
            </w:r>
            <w:r w:rsidRPr="00F800B4">
              <w:rPr>
                <w:rFonts w:ascii="Century Gothic" w:hAnsi="Century Gothic"/>
                <w:sz w:val="22"/>
                <w:szCs w:val="22"/>
              </w:rPr>
              <w:t>solicitando información sobre la forma de adquisición de la póliza y copia del formato de asegurabilidad correspondiente.</w:t>
            </w:r>
          </w:p>
          <w:p w14:paraId="6B861A0D" w14:textId="77777777" w:rsidR="00F800B4" w:rsidRPr="00F800B4" w:rsidRDefault="00F800B4" w:rsidP="00F73943">
            <w:pPr>
              <w:pStyle w:val="Prrafodelista"/>
              <w:spacing w:line="276" w:lineRule="auto"/>
              <w:jc w:val="both"/>
              <w:rPr>
                <w:rFonts w:ascii="Century Gothic" w:hAnsi="Century Gothic"/>
                <w:sz w:val="22"/>
                <w:szCs w:val="22"/>
              </w:rPr>
            </w:pPr>
          </w:p>
          <w:p w14:paraId="285181BA" w14:textId="33A4B635" w:rsidR="00B2787D" w:rsidRPr="00D40BEB" w:rsidRDefault="00F800B4" w:rsidP="00F73943">
            <w:pPr>
              <w:pStyle w:val="Prrafodelista"/>
              <w:numPr>
                <w:ilvl w:val="0"/>
                <w:numId w:val="9"/>
              </w:numPr>
              <w:spacing w:line="276" w:lineRule="auto"/>
              <w:jc w:val="both"/>
              <w:rPr>
                <w:rFonts w:ascii="Century Gothic" w:hAnsi="Century Gothic"/>
                <w:sz w:val="22"/>
                <w:szCs w:val="22"/>
              </w:rPr>
            </w:pPr>
            <w:r w:rsidRPr="00F800B4">
              <w:rPr>
                <w:rFonts w:ascii="Century Gothic" w:hAnsi="Century Gothic"/>
                <w:sz w:val="22"/>
                <w:szCs w:val="22"/>
              </w:rPr>
              <w:t xml:space="preserve">En respuesta fechada el 12 de abril de 2024, </w:t>
            </w:r>
            <w:r w:rsidR="00EF72A8" w:rsidRPr="00F800B4">
              <w:rPr>
                <w:rFonts w:ascii="Century Gothic" w:hAnsi="Century Gothic"/>
                <w:sz w:val="22"/>
                <w:szCs w:val="22"/>
              </w:rPr>
              <w:t xml:space="preserve">Equidad Seguros </w:t>
            </w:r>
            <w:r w:rsidRPr="00F800B4">
              <w:rPr>
                <w:rFonts w:ascii="Century Gothic" w:hAnsi="Century Gothic"/>
                <w:sz w:val="22"/>
                <w:szCs w:val="22"/>
              </w:rPr>
              <w:t xml:space="preserve">manifestó que no procedía la indemnización por invalidez, por valor de $62.448.115, alegando causales de inexistencia de cobertura y reticencia. La aseguradora indicó que no tiene conocimiento de la oficina de </w:t>
            </w:r>
            <w:proofErr w:type="spellStart"/>
            <w:r w:rsidR="00EF72A8" w:rsidRPr="00F800B4">
              <w:rPr>
                <w:rFonts w:ascii="Century Gothic" w:hAnsi="Century Gothic"/>
                <w:sz w:val="22"/>
                <w:szCs w:val="22"/>
              </w:rPr>
              <w:t>Cooprofesores</w:t>
            </w:r>
            <w:proofErr w:type="spellEnd"/>
            <w:r w:rsidR="00EF72A8" w:rsidRPr="00F800B4">
              <w:rPr>
                <w:rFonts w:ascii="Century Gothic" w:hAnsi="Century Gothic"/>
                <w:sz w:val="22"/>
                <w:szCs w:val="22"/>
              </w:rPr>
              <w:t xml:space="preserve"> </w:t>
            </w:r>
            <w:r w:rsidRPr="00F800B4">
              <w:rPr>
                <w:rFonts w:ascii="Century Gothic" w:hAnsi="Century Gothic"/>
                <w:sz w:val="22"/>
                <w:szCs w:val="22"/>
              </w:rPr>
              <w:t>en la que se tramitó el crédito, y afirmó que el funcionario comercial de la cooperativa es quien diligencia la solicitud de ingreso a la póliza, por lo cual no se identifica al responsable del trámite inicial. Finalmente, E</w:t>
            </w:r>
            <w:r w:rsidR="000A42F3" w:rsidRPr="00F800B4">
              <w:rPr>
                <w:rFonts w:ascii="Century Gothic" w:hAnsi="Century Gothic"/>
                <w:sz w:val="22"/>
                <w:szCs w:val="22"/>
              </w:rPr>
              <w:t>quidad</w:t>
            </w:r>
            <w:r w:rsidR="000A42F3">
              <w:rPr>
                <w:rFonts w:ascii="Century Gothic" w:hAnsi="Century Gothic"/>
                <w:sz w:val="22"/>
                <w:szCs w:val="22"/>
              </w:rPr>
              <w:t xml:space="preserve"> </w:t>
            </w:r>
            <w:r w:rsidRPr="00F800B4">
              <w:rPr>
                <w:rFonts w:ascii="Century Gothic" w:hAnsi="Century Gothic"/>
                <w:sz w:val="22"/>
                <w:szCs w:val="22"/>
              </w:rPr>
              <w:t xml:space="preserve">anexó copia de la Solicitud de Crédito – Grupo Deudores – </w:t>
            </w:r>
            <w:proofErr w:type="spellStart"/>
            <w:r w:rsidRPr="00F800B4">
              <w:rPr>
                <w:rFonts w:ascii="Century Gothic" w:hAnsi="Century Gothic"/>
                <w:sz w:val="22"/>
                <w:szCs w:val="22"/>
              </w:rPr>
              <w:t>C</w:t>
            </w:r>
            <w:r w:rsidR="000A42F3" w:rsidRPr="00F800B4">
              <w:rPr>
                <w:rFonts w:ascii="Century Gothic" w:hAnsi="Century Gothic"/>
                <w:sz w:val="22"/>
                <w:szCs w:val="22"/>
              </w:rPr>
              <w:t>ooprofesores</w:t>
            </w:r>
            <w:proofErr w:type="spellEnd"/>
            <w:r w:rsidRPr="00F800B4">
              <w:rPr>
                <w:rFonts w:ascii="Century Gothic" w:hAnsi="Century Gothic"/>
                <w:sz w:val="22"/>
                <w:szCs w:val="22"/>
              </w:rPr>
              <w:t>, diligenciada para el otorgamiento del crédito desembolsado el 20 de mayo de 2022.</w:t>
            </w:r>
          </w:p>
        </w:tc>
      </w:tr>
    </w:tbl>
    <w:p w14:paraId="20C76EE3" w14:textId="77777777" w:rsidR="003827E1" w:rsidRPr="00A877D3" w:rsidRDefault="003827E1" w:rsidP="00F73943">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D40BEB" w14:paraId="2BD14B8D" w14:textId="77777777" w:rsidTr="0095378E">
        <w:tc>
          <w:tcPr>
            <w:tcW w:w="10207" w:type="dxa"/>
            <w:gridSpan w:val="2"/>
            <w:shd w:val="clear" w:color="auto" w:fill="C5E0B3" w:themeFill="accent6" w:themeFillTint="66"/>
            <w:vAlign w:val="center"/>
          </w:tcPr>
          <w:p w14:paraId="00111EA5" w14:textId="08575358" w:rsidR="007C37D7" w:rsidRPr="00D40BEB" w:rsidRDefault="007C37D7" w:rsidP="00F73943">
            <w:pPr>
              <w:spacing w:line="276" w:lineRule="auto"/>
              <w:jc w:val="center"/>
              <w:rPr>
                <w:rFonts w:ascii="Century Gothic" w:hAnsi="Century Gothic"/>
                <w:sz w:val="22"/>
                <w:szCs w:val="22"/>
              </w:rPr>
            </w:pPr>
            <w:r w:rsidRPr="00D40BEB">
              <w:rPr>
                <w:rFonts w:ascii="Century Gothic" w:hAnsi="Century Gothic"/>
                <w:b/>
                <w:bCs/>
                <w:sz w:val="22"/>
                <w:szCs w:val="22"/>
              </w:rPr>
              <w:t xml:space="preserve">Pretensiones </w:t>
            </w:r>
            <w:r w:rsidRPr="00D40BEB">
              <w:rPr>
                <w:rFonts w:ascii="Century Gothic" w:hAnsi="Century Gothic"/>
                <w:sz w:val="22"/>
                <w:szCs w:val="22"/>
              </w:rPr>
              <w:t>(haga un relato o enliste las pretensiones de la demanda/llamamiento en garantía)</w:t>
            </w:r>
          </w:p>
        </w:tc>
      </w:tr>
      <w:tr w:rsidR="007C37D7" w:rsidRPr="00D40BEB" w14:paraId="2B7256CB" w14:textId="77777777" w:rsidTr="006056E7">
        <w:tc>
          <w:tcPr>
            <w:tcW w:w="10207" w:type="dxa"/>
            <w:gridSpan w:val="2"/>
            <w:vAlign w:val="center"/>
          </w:tcPr>
          <w:p w14:paraId="11B57CBF" w14:textId="77777777" w:rsidR="007C37D7" w:rsidRPr="00D40BEB" w:rsidRDefault="007C37D7" w:rsidP="00F73943">
            <w:pPr>
              <w:spacing w:line="276" w:lineRule="auto"/>
              <w:rPr>
                <w:rFonts w:ascii="Century Gothic" w:hAnsi="Century Gothic"/>
                <w:sz w:val="22"/>
                <w:szCs w:val="22"/>
              </w:rPr>
            </w:pPr>
          </w:p>
          <w:p w14:paraId="562046FC" w14:textId="521AE9CD" w:rsidR="0050124E" w:rsidRPr="0050124E" w:rsidRDefault="0050124E" w:rsidP="00F73943">
            <w:pPr>
              <w:pStyle w:val="Prrafodelista"/>
              <w:numPr>
                <w:ilvl w:val="0"/>
                <w:numId w:val="5"/>
              </w:numPr>
              <w:spacing w:line="276" w:lineRule="auto"/>
              <w:jc w:val="both"/>
              <w:rPr>
                <w:rFonts w:ascii="Century Gothic" w:hAnsi="Century Gothic"/>
                <w:sz w:val="22"/>
                <w:szCs w:val="22"/>
              </w:rPr>
            </w:pPr>
            <w:r w:rsidRPr="0050124E">
              <w:rPr>
                <w:rFonts w:ascii="Century Gothic" w:hAnsi="Century Gothic"/>
                <w:sz w:val="22"/>
                <w:szCs w:val="22"/>
              </w:rPr>
              <w:t xml:space="preserve">Se ordene a la </w:t>
            </w:r>
            <w:r w:rsidR="00D86289">
              <w:rPr>
                <w:rFonts w:ascii="Century Gothic" w:hAnsi="Century Gothic"/>
                <w:sz w:val="22"/>
                <w:szCs w:val="22"/>
              </w:rPr>
              <w:t>c</w:t>
            </w:r>
            <w:r w:rsidR="00D86289" w:rsidRPr="0050124E">
              <w:rPr>
                <w:rFonts w:ascii="Century Gothic" w:hAnsi="Century Gothic"/>
                <w:sz w:val="22"/>
                <w:szCs w:val="22"/>
              </w:rPr>
              <w:t xml:space="preserve">ompañía </w:t>
            </w:r>
            <w:r w:rsidR="00D86289">
              <w:rPr>
                <w:rFonts w:ascii="Century Gothic" w:hAnsi="Century Gothic"/>
                <w:sz w:val="22"/>
                <w:szCs w:val="22"/>
              </w:rPr>
              <w:t>d</w:t>
            </w:r>
            <w:r w:rsidR="00D86289" w:rsidRPr="0050124E">
              <w:rPr>
                <w:rFonts w:ascii="Century Gothic" w:hAnsi="Century Gothic"/>
                <w:sz w:val="22"/>
                <w:szCs w:val="22"/>
              </w:rPr>
              <w:t xml:space="preserve">e </w:t>
            </w:r>
            <w:r w:rsidR="00D86289">
              <w:rPr>
                <w:rFonts w:ascii="Century Gothic" w:hAnsi="Century Gothic"/>
                <w:sz w:val="22"/>
                <w:szCs w:val="22"/>
              </w:rPr>
              <w:t>s</w:t>
            </w:r>
            <w:r w:rsidR="00D86289" w:rsidRPr="0050124E">
              <w:rPr>
                <w:rFonts w:ascii="Century Gothic" w:hAnsi="Century Gothic"/>
                <w:sz w:val="22"/>
                <w:szCs w:val="22"/>
              </w:rPr>
              <w:t xml:space="preserve">eguros Equidad Seguros S.A., </w:t>
            </w:r>
            <w:r w:rsidRPr="0050124E">
              <w:rPr>
                <w:rFonts w:ascii="Century Gothic" w:hAnsi="Century Gothic"/>
                <w:sz w:val="22"/>
                <w:szCs w:val="22"/>
              </w:rPr>
              <w:t>que se reconozca y pague a favor de mi representada la póliza de seguros No</w:t>
            </w:r>
            <w:r w:rsidR="00481C36">
              <w:rPr>
                <w:rFonts w:ascii="Century Gothic" w:hAnsi="Century Gothic"/>
                <w:sz w:val="22"/>
                <w:szCs w:val="22"/>
              </w:rPr>
              <w:t>.</w:t>
            </w:r>
            <w:r w:rsidRPr="0050124E">
              <w:rPr>
                <w:rFonts w:ascii="Century Gothic" w:hAnsi="Century Gothic"/>
                <w:sz w:val="22"/>
                <w:szCs w:val="22"/>
              </w:rPr>
              <w:t xml:space="preserve"> AA010866 para cobertura saldo insoluto crédito No 81-005514-8.</w:t>
            </w:r>
            <w:r w:rsidR="00481C36">
              <w:rPr>
                <w:rFonts w:ascii="Century Gothic" w:hAnsi="Century Gothic"/>
                <w:sz w:val="22"/>
                <w:szCs w:val="22"/>
              </w:rPr>
              <w:t xml:space="preserve"> </w:t>
            </w:r>
            <w:r w:rsidRPr="0050124E">
              <w:rPr>
                <w:rFonts w:ascii="Century Gothic" w:hAnsi="Century Gothic"/>
                <w:sz w:val="22"/>
                <w:szCs w:val="22"/>
              </w:rPr>
              <w:t>No: 2610300202705 por el riesgo asegurado en su momento y cobertura de Incapacidad Total y permanente con base en la carga probatoria aquí aportada.</w:t>
            </w:r>
          </w:p>
          <w:p w14:paraId="2F500C36" w14:textId="77777777" w:rsidR="0050124E" w:rsidRPr="0050124E" w:rsidRDefault="0050124E" w:rsidP="00F73943">
            <w:pPr>
              <w:pStyle w:val="Prrafodelista"/>
              <w:spacing w:line="276" w:lineRule="auto"/>
              <w:jc w:val="both"/>
              <w:rPr>
                <w:rFonts w:ascii="Century Gothic" w:hAnsi="Century Gothic"/>
                <w:sz w:val="22"/>
                <w:szCs w:val="22"/>
              </w:rPr>
            </w:pPr>
          </w:p>
          <w:p w14:paraId="2CF14537" w14:textId="77466977" w:rsidR="0050124E" w:rsidRPr="0050124E" w:rsidRDefault="0050124E" w:rsidP="00F73943">
            <w:pPr>
              <w:pStyle w:val="Prrafodelista"/>
              <w:numPr>
                <w:ilvl w:val="0"/>
                <w:numId w:val="5"/>
              </w:numPr>
              <w:spacing w:line="276" w:lineRule="auto"/>
              <w:jc w:val="both"/>
              <w:rPr>
                <w:rFonts w:ascii="Century Gothic" w:hAnsi="Century Gothic"/>
                <w:sz w:val="22"/>
                <w:szCs w:val="22"/>
              </w:rPr>
            </w:pPr>
            <w:r w:rsidRPr="0050124E">
              <w:rPr>
                <w:rFonts w:ascii="Century Gothic" w:hAnsi="Century Gothic"/>
                <w:sz w:val="22"/>
                <w:szCs w:val="22"/>
              </w:rPr>
              <w:t xml:space="preserve">Se ordene y active medida cautelar sobre las cuentas de la </w:t>
            </w:r>
            <w:r w:rsidR="00D86289" w:rsidRPr="0050124E">
              <w:rPr>
                <w:rFonts w:ascii="Century Gothic" w:hAnsi="Century Gothic"/>
                <w:sz w:val="22"/>
                <w:szCs w:val="22"/>
              </w:rPr>
              <w:t>compañía de</w:t>
            </w:r>
            <w:r w:rsidRPr="0050124E">
              <w:rPr>
                <w:rFonts w:ascii="Century Gothic" w:hAnsi="Century Gothic"/>
                <w:sz w:val="22"/>
                <w:szCs w:val="22"/>
              </w:rPr>
              <w:t xml:space="preserve"> </w:t>
            </w:r>
            <w:r w:rsidR="00D86289" w:rsidRPr="0050124E">
              <w:rPr>
                <w:rFonts w:ascii="Century Gothic" w:hAnsi="Century Gothic"/>
                <w:sz w:val="22"/>
                <w:szCs w:val="22"/>
              </w:rPr>
              <w:t>Seguros Equidad Seguros S.A.</w:t>
            </w:r>
            <w:r w:rsidRPr="0050124E">
              <w:rPr>
                <w:rFonts w:ascii="Century Gothic" w:hAnsi="Century Gothic"/>
                <w:sz w:val="22"/>
                <w:szCs w:val="22"/>
              </w:rPr>
              <w:t>, con el objetivo de poder salvaguardar los intereses de mi apadrinada.</w:t>
            </w:r>
          </w:p>
          <w:p w14:paraId="3EF92167" w14:textId="77777777" w:rsidR="0050124E" w:rsidRPr="0050124E" w:rsidRDefault="0050124E" w:rsidP="00F73943">
            <w:pPr>
              <w:pStyle w:val="Prrafodelista"/>
              <w:spacing w:line="276" w:lineRule="auto"/>
              <w:jc w:val="both"/>
              <w:rPr>
                <w:rFonts w:ascii="Century Gothic" w:hAnsi="Century Gothic"/>
                <w:sz w:val="22"/>
                <w:szCs w:val="22"/>
              </w:rPr>
            </w:pPr>
          </w:p>
          <w:p w14:paraId="77C06868" w14:textId="482152C8" w:rsidR="00CD0A8A" w:rsidRPr="00D40BEB" w:rsidRDefault="0050124E" w:rsidP="00F73943">
            <w:pPr>
              <w:pStyle w:val="Prrafodelista"/>
              <w:numPr>
                <w:ilvl w:val="0"/>
                <w:numId w:val="5"/>
              </w:numPr>
              <w:spacing w:line="276" w:lineRule="auto"/>
              <w:jc w:val="both"/>
              <w:rPr>
                <w:rFonts w:ascii="Century Gothic" w:hAnsi="Century Gothic"/>
                <w:sz w:val="22"/>
                <w:szCs w:val="22"/>
              </w:rPr>
            </w:pPr>
            <w:r w:rsidRPr="0050124E">
              <w:rPr>
                <w:rFonts w:ascii="Century Gothic" w:hAnsi="Century Gothic"/>
                <w:sz w:val="22"/>
                <w:szCs w:val="22"/>
              </w:rPr>
              <w:t xml:space="preserve">Se inscriba esta </w:t>
            </w:r>
            <w:r w:rsidR="00D86289" w:rsidRPr="0050124E">
              <w:rPr>
                <w:rFonts w:ascii="Century Gothic" w:hAnsi="Century Gothic"/>
                <w:sz w:val="22"/>
                <w:szCs w:val="22"/>
              </w:rPr>
              <w:t xml:space="preserve">acción de protección al consumidor financiero </w:t>
            </w:r>
            <w:r w:rsidRPr="0050124E">
              <w:rPr>
                <w:rFonts w:ascii="Century Gothic" w:hAnsi="Century Gothic"/>
                <w:sz w:val="22"/>
                <w:szCs w:val="22"/>
              </w:rPr>
              <w:t xml:space="preserve">en el folio de matrícula mercantil y de existencia y representación legal de esta empresa de seguros </w:t>
            </w:r>
            <w:r w:rsidR="007C1598" w:rsidRPr="0050124E">
              <w:rPr>
                <w:rFonts w:ascii="Century Gothic" w:hAnsi="Century Gothic"/>
                <w:sz w:val="22"/>
                <w:szCs w:val="22"/>
              </w:rPr>
              <w:t>compañía de Seguros Equidad Seguros S.A.</w:t>
            </w:r>
          </w:p>
        </w:tc>
      </w:tr>
      <w:tr w:rsidR="00992368" w:rsidRPr="00D40BEB" w14:paraId="50D1C7A7" w14:textId="77777777" w:rsidTr="003827E1">
        <w:trPr>
          <w:trHeight w:val="510"/>
        </w:trPr>
        <w:tc>
          <w:tcPr>
            <w:tcW w:w="4537" w:type="dxa"/>
            <w:vAlign w:val="center"/>
          </w:tcPr>
          <w:p w14:paraId="013247F4" w14:textId="68D4118C" w:rsidR="00992368" w:rsidRPr="00D40BEB" w:rsidRDefault="001E1616" w:rsidP="00F73943">
            <w:pPr>
              <w:spacing w:line="276" w:lineRule="auto"/>
              <w:rPr>
                <w:rFonts w:ascii="Century Gothic" w:hAnsi="Century Gothic"/>
                <w:b/>
                <w:bCs/>
                <w:sz w:val="22"/>
                <w:szCs w:val="22"/>
              </w:rPr>
            </w:pPr>
            <w:r w:rsidRPr="00D40BEB">
              <w:rPr>
                <w:rFonts w:ascii="Century Gothic" w:hAnsi="Century Gothic"/>
                <w:b/>
                <w:bCs/>
                <w:sz w:val="22"/>
                <w:szCs w:val="22"/>
              </w:rPr>
              <w:t xml:space="preserve">Valor total de las pretensiones </w:t>
            </w:r>
          </w:p>
        </w:tc>
        <w:tc>
          <w:tcPr>
            <w:tcW w:w="5670" w:type="dxa"/>
            <w:vAlign w:val="center"/>
          </w:tcPr>
          <w:p w14:paraId="00FEFA37" w14:textId="267D32CB" w:rsidR="00992368" w:rsidRPr="00D40BEB" w:rsidRDefault="001E1616" w:rsidP="00F73943">
            <w:pPr>
              <w:spacing w:line="276" w:lineRule="auto"/>
              <w:rPr>
                <w:rFonts w:ascii="Century Gothic" w:hAnsi="Century Gothic"/>
                <w:sz w:val="22"/>
                <w:szCs w:val="22"/>
              </w:rPr>
            </w:pPr>
            <w:r w:rsidRPr="00D40BEB">
              <w:rPr>
                <w:rFonts w:ascii="Century Gothic" w:hAnsi="Century Gothic"/>
                <w:sz w:val="22"/>
                <w:szCs w:val="22"/>
              </w:rPr>
              <w:t>$</w:t>
            </w:r>
            <w:r w:rsidR="008F3BEA" w:rsidRPr="00D40BEB">
              <w:rPr>
                <w:rFonts w:ascii="Century Gothic" w:hAnsi="Century Gothic"/>
                <w:sz w:val="22"/>
                <w:szCs w:val="22"/>
              </w:rPr>
              <w:t xml:space="preserve"> </w:t>
            </w:r>
            <w:r w:rsidR="00880DB4">
              <w:rPr>
                <w:rFonts w:ascii="Century Gothic" w:hAnsi="Century Gothic"/>
                <w:sz w:val="22"/>
                <w:szCs w:val="22"/>
              </w:rPr>
              <w:t>61.000.000</w:t>
            </w:r>
          </w:p>
        </w:tc>
      </w:tr>
      <w:tr w:rsidR="00992368" w:rsidRPr="00D40BEB" w14:paraId="668F9413" w14:textId="77777777" w:rsidTr="003827E1">
        <w:trPr>
          <w:trHeight w:val="510"/>
        </w:trPr>
        <w:tc>
          <w:tcPr>
            <w:tcW w:w="4537" w:type="dxa"/>
            <w:vAlign w:val="center"/>
          </w:tcPr>
          <w:p w14:paraId="34E17619" w14:textId="7EF66606" w:rsidR="00992368" w:rsidRPr="00D40BEB" w:rsidRDefault="00FD53B3" w:rsidP="00F73943">
            <w:pPr>
              <w:spacing w:line="276" w:lineRule="auto"/>
              <w:rPr>
                <w:rFonts w:ascii="Century Gothic" w:hAnsi="Century Gothic"/>
                <w:b/>
                <w:bCs/>
                <w:sz w:val="22"/>
                <w:szCs w:val="22"/>
              </w:rPr>
            </w:pPr>
            <w:r w:rsidRPr="00D40BEB">
              <w:rPr>
                <w:rFonts w:ascii="Century Gothic" w:hAnsi="Century Gothic"/>
                <w:b/>
                <w:bCs/>
                <w:sz w:val="22"/>
                <w:szCs w:val="22"/>
              </w:rPr>
              <w:t>Valor total de las pretensiones objetivadas</w:t>
            </w:r>
          </w:p>
        </w:tc>
        <w:tc>
          <w:tcPr>
            <w:tcW w:w="5670" w:type="dxa"/>
            <w:vAlign w:val="center"/>
          </w:tcPr>
          <w:p w14:paraId="487C6084" w14:textId="43FA84A5" w:rsidR="00992368" w:rsidRPr="00D40BEB" w:rsidRDefault="00641171" w:rsidP="00F73943">
            <w:pPr>
              <w:spacing w:line="276" w:lineRule="auto"/>
              <w:rPr>
                <w:rFonts w:ascii="Century Gothic" w:hAnsi="Century Gothic"/>
                <w:sz w:val="22"/>
                <w:szCs w:val="22"/>
              </w:rPr>
            </w:pPr>
            <w:r w:rsidRPr="00641171">
              <w:rPr>
                <w:rFonts w:ascii="Century Gothic" w:hAnsi="Century Gothic"/>
                <w:sz w:val="22"/>
                <w:szCs w:val="22"/>
              </w:rPr>
              <w:t>$</w:t>
            </w:r>
            <w:r w:rsidR="00D641AF" w:rsidRPr="00D641AF">
              <w:rPr>
                <w:rFonts w:ascii="Century Gothic" w:hAnsi="Century Gothic"/>
                <w:sz w:val="22"/>
                <w:szCs w:val="22"/>
              </w:rPr>
              <w:t>85.115.202</w:t>
            </w:r>
          </w:p>
        </w:tc>
      </w:tr>
    </w:tbl>
    <w:p w14:paraId="146E9C6D" w14:textId="77777777" w:rsidR="0095378E" w:rsidRDefault="0095378E" w:rsidP="00F73943">
      <w:pPr>
        <w:spacing w:line="276" w:lineRule="auto"/>
        <w:rPr>
          <w:rFonts w:ascii="Century Gothic" w:hAnsi="Century Gothic"/>
          <w:sz w:val="22"/>
          <w:szCs w:val="22"/>
        </w:rPr>
      </w:pPr>
    </w:p>
    <w:p w14:paraId="0B506D59" w14:textId="77777777" w:rsidR="00EB21AB" w:rsidRDefault="00EB21AB" w:rsidP="00F73943">
      <w:pPr>
        <w:spacing w:line="276" w:lineRule="auto"/>
        <w:rPr>
          <w:rFonts w:ascii="Century Gothic" w:hAnsi="Century Gothic"/>
          <w:sz w:val="22"/>
          <w:szCs w:val="22"/>
        </w:rPr>
      </w:pPr>
    </w:p>
    <w:p w14:paraId="65DAD946" w14:textId="77777777" w:rsidR="00EB21AB" w:rsidRDefault="00EB21AB" w:rsidP="00F73943">
      <w:pPr>
        <w:spacing w:line="276" w:lineRule="auto"/>
        <w:rPr>
          <w:rFonts w:ascii="Century Gothic" w:hAnsi="Century Gothic"/>
          <w:sz w:val="22"/>
          <w:szCs w:val="22"/>
        </w:rPr>
      </w:pPr>
    </w:p>
    <w:p w14:paraId="6119C476" w14:textId="77777777" w:rsidR="00EB21AB" w:rsidRDefault="00EB21AB" w:rsidP="00F73943">
      <w:pPr>
        <w:spacing w:line="276" w:lineRule="auto"/>
        <w:rPr>
          <w:rFonts w:ascii="Century Gothic" w:hAnsi="Century Gothic"/>
          <w:sz w:val="22"/>
          <w:szCs w:val="22"/>
        </w:rPr>
      </w:pPr>
    </w:p>
    <w:p w14:paraId="7FD0B5B8" w14:textId="77777777" w:rsidR="00EB21AB" w:rsidRDefault="00EB21AB" w:rsidP="00F73943">
      <w:pPr>
        <w:spacing w:line="276" w:lineRule="auto"/>
        <w:rPr>
          <w:rFonts w:ascii="Century Gothic" w:hAnsi="Century Gothic"/>
          <w:sz w:val="22"/>
          <w:szCs w:val="22"/>
        </w:rPr>
      </w:pPr>
    </w:p>
    <w:p w14:paraId="7A2B8162" w14:textId="77777777" w:rsidR="00EB21AB" w:rsidRPr="00A877D3" w:rsidRDefault="00EB21AB" w:rsidP="00F73943">
      <w:pPr>
        <w:spacing w:line="276" w:lineRule="auto"/>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D40BEB" w14:paraId="77F9F71B" w14:textId="77777777" w:rsidTr="0095378E">
        <w:trPr>
          <w:trHeight w:val="285"/>
        </w:trPr>
        <w:tc>
          <w:tcPr>
            <w:tcW w:w="10191" w:type="dxa"/>
            <w:shd w:val="clear" w:color="auto" w:fill="C5E0B3" w:themeFill="accent6" w:themeFillTint="66"/>
            <w:vAlign w:val="center"/>
          </w:tcPr>
          <w:p w14:paraId="10E33877" w14:textId="0E982702" w:rsidR="00E802BC" w:rsidRPr="00D40BEB" w:rsidRDefault="00E802BC" w:rsidP="00F73943">
            <w:pPr>
              <w:spacing w:line="276" w:lineRule="auto"/>
              <w:jc w:val="center"/>
              <w:rPr>
                <w:rFonts w:ascii="Century Gothic" w:hAnsi="Century Gothic"/>
                <w:sz w:val="22"/>
                <w:szCs w:val="22"/>
              </w:rPr>
            </w:pPr>
            <w:r w:rsidRPr="00D40BEB">
              <w:rPr>
                <w:rFonts w:ascii="Century Gothic" w:hAnsi="Century Gothic"/>
                <w:b/>
                <w:bCs/>
                <w:sz w:val="22"/>
                <w:szCs w:val="22"/>
              </w:rPr>
              <w:lastRenderedPageBreak/>
              <w:t>Liquidación de las pretensiones objetivadas</w:t>
            </w:r>
          </w:p>
        </w:tc>
      </w:tr>
      <w:tr w:rsidR="00E802BC" w:rsidRPr="00D40BEB" w14:paraId="33786C43" w14:textId="77777777" w:rsidTr="0095378E">
        <w:trPr>
          <w:trHeight w:val="6406"/>
        </w:trPr>
        <w:tc>
          <w:tcPr>
            <w:tcW w:w="10191" w:type="dxa"/>
            <w:vAlign w:val="center"/>
          </w:tcPr>
          <w:p w14:paraId="6AFAF1E3" w14:textId="5B1951B5" w:rsidR="00481C36" w:rsidRDefault="007A4DDD" w:rsidP="00F73943">
            <w:pPr>
              <w:spacing w:line="276" w:lineRule="auto"/>
              <w:jc w:val="both"/>
              <w:rPr>
                <w:rFonts w:ascii="Century Gothic" w:hAnsi="Century Gothic"/>
                <w:sz w:val="22"/>
                <w:szCs w:val="22"/>
              </w:rPr>
            </w:pPr>
            <w:r w:rsidRPr="007A4DDD">
              <w:rPr>
                <w:rFonts w:ascii="Century Gothic" w:hAnsi="Century Gothic"/>
                <w:sz w:val="22"/>
                <w:szCs w:val="22"/>
              </w:rPr>
              <w:t xml:space="preserve">La liquidación objetiva de perjuicios se determina en la suma total de </w:t>
            </w:r>
            <w:r w:rsidR="00641171" w:rsidRPr="00F34030">
              <w:rPr>
                <w:rFonts w:ascii="Century Gothic" w:hAnsi="Century Gothic"/>
                <w:b/>
                <w:bCs/>
                <w:sz w:val="22"/>
                <w:szCs w:val="22"/>
              </w:rPr>
              <w:t>$85.1</w:t>
            </w:r>
            <w:r w:rsidR="00D641AF">
              <w:rPr>
                <w:rFonts w:ascii="Century Gothic" w:hAnsi="Century Gothic"/>
                <w:b/>
                <w:bCs/>
                <w:sz w:val="22"/>
                <w:szCs w:val="22"/>
              </w:rPr>
              <w:t>1</w:t>
            </w:r>
            <w:r w:rsidR="00641171" w:rsidRPr="00F34030">
              <w:rPr>
                <w:rFonts w:ascii="Century Gothic" w:hAnsi="Century Gothic"/>
                <w:b/>
                <w:bCs/>
                <w:sz w:val="22"/>
                <w:szCs w:val="22"/>
              </w:rPr>
              <w:t>5.202</w:t>
            </w:r>
            <w:r w:rsidRPr="007A4DDD">
              <w:rPr>
                <w:rFonts w:ascii="Century Gothic" w:hAnsi="Century Gothic"/>
                <w:sz w:val="22"/>
                <w:szCs w:val="22"/>
              </w:rPr>
              <w:t>,</w:t>
            </w:r>
            <w:r w:rsidR="00481C36">
              <w:rPr>
                <w:rFonts w:ascii="Century Gothic" w:hAnsi="Century Gothic"/>
                <w:sz w:val="22"/>
                <w:szCs w:val="22"/>
              </w:rPr>
              <w:t xml:space="preserve"> discriminado de la siguiente manera:</w:t>
            </w:r>
          </w:p>
          <w:p w14:paraId="329C64BD" w14:textId="77777777" w:rsidR="00481C36" w:rsidRDefault="00481C36" w:rsidP="00F73943">
            <w:pPr>
              <w:spacing w:line="276" w:lineRule="auto"/>
              <w:jc w:val="both"/>
              <w:rPr>
                <w:rFonts w:ascii="Century Gothic" w:hAnsi="Century Gothic"/>
                <w:sz w:val="22"/>
                <w:szCs w:val="22"/>
              </w:rPr>
            </w:pPr>
          </w:p>
          <w:p w14:paraId="33A7640A" w14:textId="48F508F0" w:rsidR="00481C36" w:rsidRDefault="00481C36" w:rsidP="00F73943">
            <w:pPr>
              <w:pStyle w:val="Prrafodelista"/>
              <w:numPr>
                <w:ilvl w:val="0"/>
                <w:numId w:val="16"/>
              </w:numPr>
              <w:spacing w:line="276" w:lineRule="auto"/>
              <w:jc w:val="both"/>
              <w:rPr>
                <w:rFonts w:ascii="Century Gothic" w:hAnsi="Century Gothic"/>
                <w:sz w:val="22"/>
                <w:szCs w:val="22"/>
              </w:rPr>
            </w:pPr>
            <w:r w:rsidRPr="00F34030">
              <w:rPr>
                <w:rFonts w:ascii="Century Gothic" w:hAnsi="Century Gothic"/>
                <w:b/>
                <w:bCs/>
                <w:sz w:val="22"/>
                <w:szCs w:val="22"/>
              </w:rPr>
              <w:t>Valor asegurado:</w:t>
            </w:r>
            <w:r>
              <w:rPr>
                <w:rFonts w:ascii="Century Gothic" w:hAnsi="Century Gothic"/>
                <w:sz w:val="22"/>
                <w:szCs w:val="22"/>
              </w:rPr>
              <w:t xml:space="preserve"> Se reconocerá la suma de </w:t>
            </w:r>
            <w:r w:rsidR="00F6326A" w:rsidRPr="00F34030">
              <w:rPr>
                <w:rFonts w:ascii="Century Gothic" w:hAnsi="Century Gothic"/>
                <w:b/>
                <w:bCs/>
                <w:sz w:val="22"/>
                <w:szCs w:val="22"/>
              </w:rPr>
              <w:t>$61.000.000</w:t>
            </w:r>
            <w:r w:rsidRPr="00F34030">
              <w:rPr>
                <w:rFonts w:ascii="Century Gothic" w:hAnsi="Century Gothic"/>
                <w:b/>
                <w:bCs/>
                <w:sz w:val="22"/>
                <w:szCs w:val="22"/>
              </w:rPr>
              <w:t>.</w:t>
            </w:r>
            <w:r>
              <w:rPr>
                <w:rFonts w:ascii="Century Gothic" w:hAnsi="Century Gothic"/>
                <w:sz w:val="22"/>
                <w:szCs w:val="22"/>
              </w:rPr>
              <w:t xml:space="preserve"> Teniendo en cuenta </w:t>
            </w:r>
            <w:r w:rsidRPr="00D34ADB">
              <w:rPr>
                <w:rFonts w:ascii="Century Gothic" w:hAnsi="Century Gothic"/>
                <w:sz w:val="22"/>
                <w:szCs w:val="22"/>
              </w:rPr>
              <w:t>el valor asegurado en la póliza para el amparo de invalidez</w:t>
            </w:r>
            <w:r w:rsidR="00F6326A">
              <w:rPr>
                <w:rFonts w:ascii="Century Gothic" w:hAnsi="Century Gothic"/>
                <w:sz w:val="22"/>
                <w:szCs w:val="22"/>
              </w:rPr>
              <w:t xml:space="preserve"> extraído del </w:t>
            </w:r>
            <w:r w:rsidR="00641171">
              <w:rPr>
                <w:rFonts w:ascii="Century Gothic" w:hAnsi="Century Gothic"/>
                <w:sz w:val="22"/>
                <w:szCs w:val="22"/>
              </w:rPr>
              <w:t xml:space="preserve">certificado </w:t>
            </w:r>
            <w:r w:rsidR="00641171" w:rsidRPr="00641171">
              <w:rPr>
                <w:rFonts w:ascii="Century Gothic" w:hAnsi="Century Gothic"/>
                <w:sz w:val="22"/>
                <w:szCs w:val="22"/>
                <w:lang w:val="es-CO"/>
              </w:rPr>
              <w:t>AA133228</w:t>
            </w:r>
            <w:r w:rsidR="00641171">
              <w:rPr>
                <w:rFonts w:ascii="Century Gothic" w:hAnsi="Century Gothic"/>
                <w:sz w:val="22"/>
                <w:szCs w:val="22"/>
                <w:lang w:val="es-CO"/>
              </w:rPr>
              <w:t xml:space="preserve"> de la Póliza de Seguro Vida Grupo Deudores No. AA010866.</w:t>
            </w:r>
          </w:p>
          <w:p w14:paraId="0BEF4012" w14:textId="77777777" w:rsidR="00481C36" w:rsidRDefault="00481C36" w:rsidP="00F34030">
            <w:pPr>
              <w:pStyle w:val="Prrafodelista"/>
              <w:spacing w:line="276" w:lineRule="auto"/>
              <w:jc w:val="both"/>
              <w:rPr>
                <w:rFonts w:ascii="Century Gothic" w:hAnsi="Century Gothic"/>
                <w:sz w:val="22"/>
                <w:szCs w:val="22"/>
              </w:rPr>
            </w:pPr>
          </w:p>
          <w:p w14:paraId="31FF8AB1" w14:textId="669AE5C9" w:rsidR="004310AC" w:rsidRPr="00EB21AB" w:rsidRDefault="00481C36" w:rsidP="00EB21AB">
            <w:pPr>
              <w:pStyle w:val="Prrafodelista"/>
              <w:numPr>
                <w:ilvl w:val="0"/>
                <w:numId w:val="16"/>
              </w:numPr>
              <w:spacing w:line="276" w:lineRule="auto"/>
              <w:jc w:val="both"/>
              <w:rPr>
                <w:rFonts w:ascii="Century Gothic" w:hAnsi="Century Gothic"/>
                <w:sz w:val="22"/>
                <w:szCs w:val="22"/>
              </w:rPr>
            </w:pPr>
            <w:r w:rsidRPr="00F34030">
              <w:rPr>
                <w:rFonts w:ascii="Century Gothic" w:hAnsi="Century Gothic"/>
                <w:b/>
                <w:bCs/>
                <w:sz w:val="22"/>
                <w:szCs w:val="22"/>
              </w:rPr>
              <w:t>Intereses moratorios:</w:t>
            </w:r>
            <w:r w:rsidRPr="00481C36">
              <w:rPr>
                <w:rFonts w:ascii="Century Gothic" w:hAnsi="Century Gothic"/>
                <w:b/>
                <w:bCs/>
                <w:sz w:val="22"/>
                <w:szCs w:val="22"/>
              </w:rPr>
              <w:t xml:space="preserve"> </w:t>
            </w:r>
            <w:r w:rsidR="00641171" w:rsidRPr="00F34030">
              <w:rPr>
                <w:rFonts w:ascii="Century Gothic" w:hAnsi="Century Gothic"/>
                <w:sz w:val="22"/>
                <w:szCs w:val="22"/>
              </w:rPr>
              <w:t>Se liquidan en la suma de</w:t>
            </w:r>
            <w:r w:rsidR="00641171">
              <w:rPr>
                <w:rFonts w:ascii="Century Gothic" w:hAnsi="Century Gothic"/>
                <w:b/>
                <w:bCs/>
                <w:sz w:val="22"/>
                <w:szCs w:val="22"/>
              </w:rPr>
              <w:t xml:space="preserve"> </w:t>
            </w:r>
            <w:r w:rsidR="00641171" w:rsidRPr="00D34ADB">
              <w:rPr>
                <w:rFonts w:ascii="Century Gothic" w:hAnsi="Century Gothic"/>
                <w:b/>
                <w:bCs/>
                <w:sz w:val="22"/>
                <w:szCs w:val="22"/>
              </w:rPr>
              <w:t>$</w:t>
            </w:r>
            <w:r w:rsidR="00641171">
              <w:rPr>
                <w:rFonts w:ascii="Century Gothic" w:hAnsi="Century Gothic"/>
                <w:b/>
                <w:bCs/>
                <w:sz w:val="22"/>
                <w:szCs w:val="22"/>
              </w:rPr>
              <w:t>24.115.202</w:t>
            </w:r>
            <w:r w:rsidR="00641171" w:rsidRPr="00D34ADB">
              <w:rPr>
                <w:rFonts w:ascii="Century Gothic" w:hAnsi="Century Gothic"/>
                <w:b/>
                <w:bCs/>
                <w:sz w:val="22"/>
                <w:szCs w:val="22"/>
              </w:rPr>
              <w:t>.</w:t>
            </w:r>
            <w:r w:rsidR="00641171">
              <w:rPr>
                <w:rFonts w:ascii="Century Gothic" w:hAnsi="Century Gothic"/>
                <w:b/>
                <w:bCs/>
                <w:sz w:val="22"/>
                <w:szCs w:val="22"/>
              </w:rPr>
              <w:t xml:space="preserve"> </w:t>
            </w:r>
            <w:r w:rsidR="00641171">
              <w:rPr>
                <w:rFonts w:ascii="Century Gothic" w:hAnsi="Century Gothic"/>
                <w:sz w:val="22"/>
                <w:szCs w:val="22"/>
              </w:rPr>
              <w:t>Estos</w:t>
            </w:r>
            <w:r w:rsidR="007A4DDD" w:rsidRPr="00F34030">
              <w:rPr>
                <w:rFonts w:ascii="Century Gothic" w:hAnsi="Century Gothic"/>
                <w:sz w:val="22"/>
                <w:szCs w:val="22"/>
              </w:rPr>
              <w:t xml:space="preserve"> intereses generados hasta la fecha, </w:t>
            </w:r>
            <w:r w:rsidR="00F80FE2" w:rsidRPr="00F34030">
              <w:rPr>
                <w:rFonts w:ascii="Century Gothic" w:hAnsi="Century Gothic"/>
                <w:sz w:val="22"/>
                <w:szCs w:val="22"/>
              </w:rPr>
              <w:t xml:space="preserve">desde </w:t>
            </w:r>
            <w:r w:rsidR="007A4DDD" w:rsidRPr="00F34030">
              <w:rPr>
                <w:rFonts w:ascii="Century Gothic" w:hAnsi="Century Gothic"/>
                <w:sz w:val="22"/>
                <w:szCs w:val="22"/>
              </w:rPr>
              <w:t>la solicitud de indemnización realizada por el asegurado Pedro Goyeneche directamente a la aseguradora</w:t>
            </w:r>
            <w:r w:rsidR="00641171">
              <w:rPr>
                <w:rFonts w:ascii="Century Gothic" w:hAnsi="Century Gothic"/>
                <w:sz w:val="22"/>
                <w:szCs w:val="22"/>
              </w:rPr>
              <w:t xml:space="preserve"> (30 diciembre de 2023)</w:t>
            </w:r>
            <w:r w:rsidR="00B43EC2">
              <w:rPr>
                <w:rFonts w:ascii="Century Gothic" w:hAnsi="Century Gothic"/>
                <w:sz w:val="22"/>
                <w:szCs w:val="22"/>
              </w:rPr>
              <w:t xml:space="preserve"> y hasta la fecha de presentación de este informe</w:t>
            </w:r>
            <w:r w:rsidR="00D641AF">
              <w:rPr>
                <w:rFonts w:ascii="Century Gothic" w:hAnsi="Century Gothic"/>
                <w:sz w:val="22"/>
                <w:szCs w:val="22"/>
              </w:rPr>
              <w:t>.</w:t>
            </w:r>
          </w:p>
        </w:tc>
      </w:tr>
    </w:tbl>
    <w:p w14:paraId="7273C5A1" w14:textId="77777777" w:rsidR="0095378E" w:rsidRDefault="0095378E" w:rsidP="00F73943">
      <w:pPr>
        <w:spacing w:line="276" w:lineRule="auto"/>
        <w:jc w:val="both"/>
        <w:rPr>
          <w:rFonts w:ascii="Century Gothic" w:hAnsi="Century Gothic"/>
          <w:sz w:val="22"/>
          <w:szCs w:val="22"/>
        </w:rPr>
      </w:pPr>
    </w:p>
    <w:p w14:paraId="66051E5B" w14:textId="77777777" w:rsidR="009105C1" w:rsidRDefault="009105C1" w:rsidP="00F73943">
      <w:pPr>
        <w:spacing w:line="276" w:lineRule="auto"/>
        <w:jc w:val="both"/>
        <w:rPr>
          <w:rFonts w:ascii="Century Gothic" w:hAnsi="Century Gothic"/>
          <w:sz w:val="22"/>
          <w:szCs w:val="22"/>
        </w:rPr>
      </w:pPr>
    </w:p>
    <w:p w14:paraId="28520158" w14:textId="77777777" w:rsidR="009105C1" w:rsidRDefault="009105C1" w:rsidP="00F73943">
      <w:pPr>
        <w:spacing w:line="276" w:lineRule="auto"/>
        <w:jc w:val="both"/>
        <w:rPr>
          <w:rFonts w:ascii="Century Gothic" w:hAnsi="Century Gothic"/>
          <w:sz w:val="22"/>
          <w:szCs w:val="22"/>
        </w:rPr>
      </w:pPr>
    </w:p>
    <w:p w14:paraId="4230EF38" w14:textId="77777777" w:rsidR="009105C1" w:rsidRDefault="009105C1" w:rsidP="00F73943">
      <w:pPr>
        <w:spacing w:line="276" w:lineRule="auto"/>
        <w:jc w:val="both"/>
        <w:rPr>
          <w:rFonts w:ascii="Century Gothic" w:hAnsi="Century Gothic"/>
          <w:sz w:val="22"/>
          <w:szCs w:val="22"/>
        </w:rPr>
      </w:pPr>
    </w:p>
    <w:p w14:paraId="007CA52B" w14:textId="77777777" w:rsidR="009105C1" w:rsidRDefault="009105C1" w:rsidP="00F73943">
      <w:pPr>
        <w:spacing w:line="276" w:lineRule="auto"/>
        <w:jc w:val="both"/>
        <w:rPr>
          <w:rFonts w:ascii="Century Gothic" w:hAnsi="Century Gothic"/>
          <w:sz w:val="22"/>
          <w:szCs w:val="22"/>
        </w:rPr>
      </w:pPr>
    </w:p>
    <w:p w14:paraId="49D2DE88" w14:textId="77777777" w:rsidR="009105C1" w:rsidRDefault="009105C1" w:rsidP="00F73943">
      <w:pPr>
        <w:spacing w:line="276" w:lineRule="auto"/>
        <w:jc w:val="both"/>
        <w:rPr>
          <w:rFonts w:ascii="Century Gothic" w:hAnsi="Century Gothic"/>
          <w:sz w:val="22"/>
          <w:szCs w:val="22"/>
        </w:rPr>
      </w:pPr>
    </w:p>
    <w:p w14:paraId="2DA2C591" w14:textId="77777777" w:rsidR="009105C1" w:rsidRDefault="009105C1" w:rsidP="00F73943">
      <w:pPr>
        <w:spacing w:line="276" w:lineRule="auto"/>
        <w:jc w:val="both"/>
        <w:rPr>
          <w:rFonts w:ascii="Century Gothic" w:hAnsi="Century Gothic"/>
          <w:sz w:val="22"/>
          <w:szCs w:val="22"/>
        </w:rPr>
      </w:pPr>
    </w:p>
    <w:p w14:paraId="106DD297" w14:textId="77777777" w:rsidR="009105C1" w:rsidRDefault="009105C1" w:rsidP="00F73943">
      <w:pPr>
        <w:spacing w:line="276" w:lineRule="auto"/>
        <w:jc w:val="both"/>
        <w:rPr>
          <w:rFonts w:ascii="Century Gothic" w:hAnsi="Century Gothic"/>
          <w:sz w:val="22"/>
          <w:szCs w:val="22"/>
        </w:rPr>
      </w:pPr>
    </w:p>
    <w:p w14:paraId="5EB64886" w14:textId="77777777" w:rsidR="009105C1" w:rsidRDefault="009105C1" w:rsidP="00F73943">
      <w:pPr>
        <w:spacing w:line="276" w:lineRule="auto"/>
        <w:jc w:val="both"/>
        <w:rPr>
          <w:rFonts w:ascii="Century Gothic" w:hAnsi="Century Gothic"/>
          <w:sz w:val="22"/>
          <w:szCs w:val="22"/>
        </w:rPr>
      </w:pPr>
    </w:p>
    <w:p w14:paraId="01AEDE1F" w14:textId="77777777" w:rsidR="009105C1" w:rsidRDefault="009105C1" w:rsidP="00F73943">
      <w:pPr>
        <w:spacing w:line="276" w:lineRule="auto"/>
        <w:jc w:val="both"/>
        <w:rPr>
          <w:rFonts w:ascii="Century Gothic" w:hAnsi="Century Gothic"/>
          <w:sz w:val="22"/>
          <w:szCs w:val="22"/>
        </w:rPr>
      </w:pPr>
    </w:p>
    <w:p w14:paraId="12454400" w14:textId="77777777" w:rsidR="009105C1" w:rsidRDefault="009105C1" w:rsidP="00F73943">
      <w:pPr>
        <w:spacing w:line="276" w:lineRule="auto"/>
        <w:jc w:val="both"/>
        <w:rPr>
          <w:rFonts w:ascii="Century Gothic" w:hAnsi="Century Gothic"/>
          <w:sz w:val="22"/>
          <w:szCs w:val="22"/>
        </w:rPr>
      </w:pPr>
    </w:p>
    <w:p w14:paraId="0AC1AF87" w14:textId="77777777" w:rsidR="009105C1" w:rsidRDefault="009105C1" w:rsidP="00F73943">
      <w:pPr>
        <w:spacing w:line="276" w:lineRule="auto"/>
        <w:jc w:val="both"/>
        <w:rPr>
          <w:rFonts w:ascii="Century Gothic" w:hAnsi="Century Gothic"/>
          <w:sz w:val="22"/>
          <w:szCs w:val="22"/>
        </w:rPr>
      </w:pPr>
    </w:p>
    <w:p w14:paraId="5B9692A4" w14:textId="77777777" w:rsidR="009105C1" w:rsidRDefault="009105C1" w:rsidP="00F73943">
      <w:pPr>
        <w:spacing w:line="276" w:lineRule="auto"/>
        <w:jc w:val="both"/>
        <w:rPr>
          <w:rFonts w:ascii="Century Gothic" w:hAnsi="Century Gothic"/>
          <w:sz w:val="22"/>
          <w:szCs w:val="22"/>
        </w:rPr>
      </w:pPr>
    </w:p>
    <w:p w14:paraId="092ABB6C" w14:textId="77777777" w:rsidR="009105C1" w:rsidRDefault="009105C1" w:rsidP="00F73943">
      <w:pPr>
        <w:spacing w:line="276" w:lineRule="auto"/>
        <w:jc w:val="both"/>
        <w:rPr>
          <w:rFonts w:ascii="Century Gothic" w:hAnsi="Century Gothic"/>
          <w:sz w:val="22"/>
          <w:szCs w:val="22"/>
        </w:rPr>
      </w:pPr>
    </w:p>
    <w:p w14:paraId="037771A7" w14:textId="77777777" w:rsidR="009105C1" w:rsidRDefault="009105C1" w:rsidP="00F73943">
      <w:pPr>
        <w:spacing w:line="276" w:lineRule="auto"/>
        <w:jc w:val="both"/>
        <w:rPr>
          <w:rFonts w:ascii="Century Gothic" w:hAnsi="Century Gothic"/>
          <w:sz w:val="22"/>
          <w:szCs w:val="22"/>
        </w:rPr>
      </w:pPr>
    </w:p>
    <w:p w14:paraId="481BE22A" w14:textId="77777777" w:rsidR="009105C1" w:rsidRDefault="009105C1" w:rsidP="00F73943">
      <w:pPr>
        <w:spacing w:line="276" w:lineRule="auto"/>
        <w:jc w:val="both"/>
        <w:rPr>
          <w:rFonts w:ascii="Century Gothic" w:hAnsi="Century Gothic"/>
          <w:sz w:val="22"/>
          <w:szCs w:val="22"/>
        </w:rPr>
      </w:pPr>
    </w:p>
    <w:p w14:paraId="1A8670A7" w14:textId="77777777" w:rsidR="009105C1" w:rsidRDefault="009105C1" w:rsidP="00F73943">
      <w:pPr>
        <w:spacing w:line="276" w:lineRule="auto"/>
        <w:jc w:val="both"/>
        <w:rPr>
          <w:rFonts w:ascii="Century Gothic" w:hAnsi="Century Gothic"/>
          <w:sz w:val="22"/>
          <w:szCs w:val="22"/>
        </w:rPr>
      </w:pPr>
    </w:p>
    <w:p w14:paraId="380243B2" w14:textId="77777777" w:rsidR="009105C1" w:rsidRDefault="009105C1" w:rsidP="00F73943">
      <w:pPr>
        <w:spacing w:line="276" w:lineRule="auto"/>
        <w:jc w:val="both"/>
        <w:rPr>
          <w:rFonts w:ascii="Century Gothic" w:hAnsi="Century Gothic"/>
          <w:sz w:val="22"/>
          <w:szCs w:val="22"/>
        </w:rPr>
      </w:pPr>
    </w:p>
    <w:p w14:paraId="79D9A14E" w14:textId="77777777" w:rsidR="009105C1" w:rsidRDefault="009105C1" w:rsidP="00F73943">
      <w:pPr>
        <w:spacing w:line="276" w:lineRule="auto"/>
        <w:jc w:val="both"/>
        <w:rPr>
          <w:rFonts w:ascii="Century Gothic" w:hAnsi="Century Gothic"/>
          <w:sz w:val="22"/>
          <w:szCs w:val="22"/>
        </w:rPr>
      </w:pPr>
    </w:p>
    <w:p w14:paraId="14F2CD80" w14:textId="77777777" w:rsidR="009105C1" w:rsidRDefault="009105C1" w:rsidP="00F73943">
      <w:pPr>
        <w:spacing w:line="276" w:lineRule="auto"/>
        <w:jc w:val="both"/>
        <w:rPr>
          <w:rFonts w:ascii="Century Gothic" w:hAnsi="Century Gothic"/>
          <w:sz w:val="22"/>
          <w:szCs w:val="22"/>
        </w:rPr>
      </w:pPr>
    </w:p>
    <w:p w14:paraId="5C47EB07" w14:textId="77777777" w:rsidR="009105C1" w:rsidRPr="00A877D3" w:rsidRDefault="009105C1" w:rsidP="00F73943">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D40BEB" w14:paraId="05674BEA" w14:textId="77777777" w:rsidTr="0095378E">
        <w:trPr>
          <w:trHeight w:val="321"/>
        </w:trPr>
        <w:tc>
          <w:tcPr>
            <w:tcW w:w="10207" w:type="dxa"/>
            <w:shd w:val="clear" w:color="auto" w:fill="C5E0B3" w:themeFill="accent6" w:themeFillTint="66"/>
            <w:vAlign w:val="center"/>
          </w:tcPr>
          <w:p w14:paraId="2BB97918" w14:textId="52E94393" w:rsidR="003B7F1A" w:rsidRPr="00D40BEB" w:rsidRDefault="003B7F1A" w:rsidP="00EB21AB">
            <w:pPr>
              <w:spacing w:line="276" w:lineRule="auto"/>
              <w:jc w:val="center"/>
              <w:rPr>
                <w:rFonts w:ascii="Century Gothic" w:hAnsi="Century Gothic"/>
                <w:sz w:val="22"/>
                <w:szCs w:val="22"/>
              </w:rPr>
            </w:pPr>
            <w:r w:rsidRPr="00D40BEB">
              <w:rPr>
                <w:rFonts w:ascii="Century Gothic" w:hAnsi="Century Gothic"/>
                <w:b/>
                <w:bCs/>
                <w:sz w:val="22"/>
                <w:szCs w:val="22"/>
              </w:rPr>
              <w:t>Excepciones</w:t>
            </w:r>
          </w:p>
        </w:tc>
      </w:tr>
      <w:tr w:rsidR="003B7F1A" w:rsidRPr="00D40BEB" w14:paraId="4AAD7549" w14:textId="77777777" w:rsidTr="0095378E">
        <w:trPr>
          <w:trHeight w:val="3906"/>
        </w:trPr>
        <w:tc>
          <w:tcPr>
            <w:tcW w:w="10207" w:type="dxa"/>
            <w:vAlign w:val="center"/>
          </w:tcPr>
          <w:p w14:paraId="5C5B6E32" w14:textId="060C71D3" w:rsidR="00F80FE2" w:rsidRPr="00F34030" w:rsidRDefault="005C3F27" w:rsidP="00F34030">
            <w:pPr>
              <w:pStyle w:val="Ttulo2"/>
              <w:spacing w:line="276" w:lineRule="auto"/>
              <w:rPr>
                <w:rFonts w:ascii="Century Gothic" w:hAnsi="Century Gothic" w:cs="Arial"/>
                <w:b w:val="0"/>
                <w:bCs/>
                <w:szCs w:val="22"/>
              </w:rPr>
            </w:pPr>
            <w:r w:rsidRPr="00F34030">
              <w:rPr>
                <w:rFonts w:ascii="Century Gothic" w:hAnsi="Century Gothic" w:cs="Arial"/>
                <w:b w:val="0"/>
                <w:bCs/>
                <w:szCs w:val="22"/>
              </w:rPr>
              <w:t>Prescripción y/o caducidad: aplicación del artículo 58 numeral 3 de la ley 1480 de 2011</w:t>
            </w:r>
          </w:p>
          <w:p w14:paraId="1A3CAD15" w14:textId="20C3E717" w:rsidR="00F80FE2" w:rsidRPr="00F34030" w:rsidRDefault="005C3F27" w:rsidP="00F34030">
            <w:pPr>
              <w:pStyle w:val="Ttulo2"/>
              <w:spacing w:line="276" w:lineRule="auto"/>
              <w:ind w:right="48"/>
              <w:rPr>
                <w:rFonts w:ascii="Century Gothic" w:hAnsi="Century Gothic" w:cs="Arial"/>
                <w:b w:val="0"/>
                <w:bCs/>
                <w:szCs w:val="22"/>
              </w:rPr>
            </w:pPr>
            <w:r w:rsidRPr="00F34030">
              <w:rPr>
                <w:rFonts w:ascii="Century Gothic" w:hAnsi="Century Gothic" w:cs="Arial"/>
                <w:b w:val="0"/>
                <w:bCs/>
                <w:szCs w:val="22"/>
              </w:rPr>
              <w:t>Nulidad de aseguramientos como consecuencia de la reticencia del asegurado</w:t>
            </w:r>
          </w:p>
          <w:p w14:paraId="3CB1C3EE" w14:textId="73C6B5AB" w:rsidR="00F80FE2" w:rsidRPr="00F34030" w:rsidRDefault="005C3F27" w:rsidP="00F34030">
            <w:pPr>
              <w:pStyle w:val="Ttulo2"/>
              <w:spacing w:line="276" w:lineRule="auto"/>
              <w:rPr>
                <w:rFonts w:ascii="Century Gothic" w:hAnsi="Century Gothic" w:cs="Arial"/>
                <w:b w:val="0"/>
                <w:bCs/>
                <w:szCs w:val="22"/>
              </w:rPr>
            </w:pPr>
            <w:r w:rsidRPr="00F34030">
              <w:rPr>
                <w:rFonts w:ascii="Century Gothic" w:hAnsi="Century Gothic" w:cs="Arial"/>
                <w:b w:val="0"/>
                <w:bCs/>
                <w:szCs w:val="22"/>
              </w:rPr>
              <w:t>Falta de cobertura material de la invalidez del señor Pedro Goyeneche en la medida de que no se amparan las pérdidas de capacidad laboral de los asegurados que no cumplan con el periodo mínimo de permanencia – aplicación periodo de carencia.</w:t>
            </w:r>
          </w:p>
          <w:p w14:paraId="4BCE1F07" w14:textId="1F4394B4" w:rsidR="00F80FE2" w:rsidRPr="00F34030" w:rsidRDefault="005C3F27" w:rsidP="00F34030">
            <w:pPr>
              <w:pStyle w:val="Ttulo2"/>
              <w:spacing w:line="276" w:lineRule="auto"/>
              <w:rPr>
                <w:rFonts w:ascii="Century Gothic" w:hAnsi="Century Gothic" w:cs="Arial"/>
                <w:b w:val="0"/>
                <w:bCs/>
                <w:szCs w:val="22"/>
              </w:rPr>
            </w:pPr>
            <w:r w:rsidRPr="00F34030">
              <w:rPr>
                <w:rFonts w:ascii="Century Gothic" w:hAnsi="Century Gothic" w:cs="Arial"/>
                <w:b w:val="0"/>
                <w:bCs/>
                <w:szCs w:val="22"/>
              </w:rPr>
              <w:t>Inexistencia de obligación a cargo de la aseguradora de practicar y/o exigir exámenes médicos en la etapa precontractual</w:t>
            </w:r>
          </w:p>
          <w:p w14:paraId="25BBEA1E" w14:textId="3C01FD53" w:rsidR="003B4926" w:rsidRPr="00F34030" w:rsidRDefault="005C3F27" w:rsidP="00F34030">
            <w:pPr>
              <w:pStyle w:val="Ttulo2"/>
              <w:spacing w:line="276" w:lineRule="auto"/>
              <w:rPr>
                <w:rFonts w:ascii="Century Gothic" w:eastAsia="Times New Roman" w:hAnsi="Century Gothic" w:cs="Arial"/>
                <w:b w:val="0"/>
                <w:bCs/>
                <w:szCs w:val="22"/>
              </w:rPr>
            </w:pPr>
            <w:r w:rsidRPr="00F34030">
              <w:rPr>
                <w:rFonts w:ascii="Century Gothic" w:eastAsia="Times New Roman" w:hAnsi="Century Gothic" w:cs="Arial"/>
                <w:b w:val="0"/>
                <w:bCs/>
                <w:szCs w:val="22"/>
              </w:rPr>
              <w:t>La acreditación de la mala fe no es un requisito de prueba para quien alega la reticencia del contrato de seguro</w:t>
            </w:r>
          </w:p>
          <w:p w14:paraId="35114BD4" w14:textId="5D045E1B" w:rsidR="003B4926" w:rsidRPr="00F34030" w:rsidRDefault="005C3F27" w:rsidP="00F34030">
            <w:pPr>
              <w:pStyle w:val="Ttulo2"/>
              <w:spacing w:line="276" w:lineRule="auto"/>
              <w:rPr>
                <w:rFonts w:ascii="Century Gothic" w:hAnsi="Century Gothic" w:cs="Arial"/>
                <w:b w:val="0"/>
                <w:bCs/>
                <w:szCs w:val="22"/>
              </w:rPr>
            </w:pPr>
            <w:r w:rsidRPr="00F34030">
              <w:rPr>
                <w:rFonts w:ascii="Century Gothic" w:hAnsi="Century Gothic" w:cs="Arial"/>
                <w:b w:val="0"/>
                <w:bCs/>
                <w:szCs w:val="22"/>
              </w:rPr>
              <w:t>La Equidad Seguros de Vida O.C. tiene la facultad de retener la prima a título de pena como consecuencia de la declaratoria de la reticencia del contrato de seguro.</w:t>
            </w:r>
          </w:p>
          <w:p w14:paraId="715F80AE" w14:textId="644E7B7C" w:rsidR="003B4926" w:rsidRPr="00F34030" w:rsidRDefault="005C3F27" w:rsidP="00F34030">
            <w:pPr>
              <w:pStyle w:val="Ttulo2"/>
              <w:spacing w:line="276" w:lineRule="auto"/>
              <w:rPr>
                <w:rFonts w:ascii="Century Gothic" w:hAnsi="Century Gothic" w:cs="Arial"/>
                <w:b w:val="0"/>
                <w:bCs/>
                <w:szCs w:val="22"/>
              </w:rPr>
            </w:pPr>
            <w:r w:rsidRPr="00F34030">
              <w:rPr>
                <w:rFonts w:ascii="Century Gothic" w:hAnsi="Century Gothic" w:cs="Arial"/>
                <w:b w:val="0"/>
                <w:bCs/>
                <w:szCs w:val="22"/>
              </w:rPr>
              <w:t>Improcedencia del cobro de intereses de mora.</w:t>
            </w:r>
          </w:p>
          <w:p w14:paraId="65A99FD9" w14:textId="19E501E9" w:rsidR="003B4926" w:rsidRPr="00F34030" w:rsidRDefault="005C3F27" w:rsidP="00F34030">
            <w:pPr>
              <w:pStyle w:val="Ttulo2"/>
              <w:spacing w:line="276" w:lineRule="auto"/>
              <w:rPr>
                <w:rFonts w:ascii="Century Gothic" w:eastAsia="Arial" w:hAnsi="Century Gothic"/>
                <w:b w:val="0"/>
                <w:bCs/>
                <w:lang w:eastAsia="es-ES_tradnl"/>
              </w:rPr>
            </w:pPr>
            <w:r w:rsidRPr="00F34030">
              <w:rPr>
                <w:rFonts w:ascii="Century Gothic" w:eastAsia="Arial" w:hAnsi="Century Gothic"/>
                <w:b w:val="0"/>
                <w:bCs/>
                <w:lang w:eastAsia="es-ES_tradnl"/>
              </w:rPr>
              <w:t>Sujeción a las condiciones particulares y generales del contrato de seguro, el clausulado y los amparos.</w:t>
            </w:r>
          </w:p>
          <w:p w14:paraId="07419E4A" w14:textId="16D09E4E" w:rsidR="003B4926" w:rsidRPr="00F34030" w:rsidRDefault="005C3F27" w:rsidP="00F34030">
            <w:pPr>
              <w:pStyle w:val="Ttulo2"/>
              <w:spacing w:line="276" w:lineRule="auto"/>
              <w:rPr>
                <w:rFonts w:ascii="Century Gothic" w:hAnsi="Century Gothic"/>
                <w:b w:val="0"/>
                <w:bCs/>
                <w:iCs/>
              </w:rPr>
            </w:pPr>
            <w:r w:rsidRPr="00F34030">
              <w:rPr>
                <w:rFonts w:ascii="Century Gothic" w:hAnsi="Century Gothic"/>
                <w:b w:val="0"/>
                <w:bCs/>
                <w:iCs/>
              </w:rPr>
              <w:t xml:space="preserve">Riesgos expresamente excluidos en la </w:t>
            </w:r>
            <w:r w:rsidRPr="00F34030">
              <w:rPr>
                <w:rFonts w:ascii="Century Gothic" w:hAnsi="Century Gothic"/>
                <w:b w:val="0"/>
                <w:bCs/>
              </w:rPr>
              <w:t xml:space="preserve">Póliza Vida Grupo Deudores No. </w:t>
            </w:r>
            <w:bookmarkStart w:id="0" w:name="_Hlk202803417"/>
            <w:r w:rsidR="00F73943">
              <w:rPr>
                <w:rFonts w:ascii="Century Gothic" w:hAnsi="Century Gothic"/>
                <w:b w:val="0"/>
                <w:bCs/>
              </w:rPr>
              <w:t>AA</w:t>
            </w:r>
            <w:r w:rsidRPr="00F34030">
              <w:rPr>
                <w:rFonts w:ascii="Century Gothic" w:hAnsi="Century Gothic"/>
                <w:b w:val="0"/>
                <w:bCs/>
              </w:rPr>
              <w:t>010866</w:t>
            </w:r>
            <w:bookmarkEnd w:id="0"/>
          </w:p>
          <w:p w14:paraId="478BDBFD" w14:textId="78F759F8" w:rsidR="003B4926" w:rsidRPr="00F34030" w:rsidRDefault="005C3F27" w:rsidP="00F34030">
            <w:pPr>
              <w:pStyle w:val="Ttulo2"/>
              <w:spacing w:line="276" w:lineRule="auto"/>
              <w:rPr>
                <w:rFonts w:ascii="Century Gothic" w:hAnsi="Century Gothic" w:cs="Arial"/>
                <w:b w:val="0"/>
                <w:bCs/>
                <w:szCs w:val="22"/>
              </w:rPr>
            </w:pPr>
            <w:r w:rsidRPr="00F34030">
              <w:rPr>
                <w:rFonts w:ascii="Century Gothic" w:hAnsi="Century Gothic" w:cs="Arial"/>
                <w:b w:val="0"/>
                <w:bCs/>
                <w:szCs w:val="22"/>
              </w:rPr>
              <w:t>Prescripción de las acciones derivadas del contrato de seguro</w:t>
            </w:r>
          </w:p>
          <w:p w14:paraId="1D150E31" w14:textId="48CD29DE" w:rsidR="00F80FE2" w:rsidRPr="00EB21AB" w:rsidRDefault="005C3F27" w:rsidP="00F34030">
            <w:pPr>
              <w:pStyle w:val="Ttulo2"/>
              <w:spacing w:line="276" w:lineRule="auto"/>
              <w:rPr>
                <w:rFonts w:ascii="Century Gothic" w:hAnsi="Century Gothic" w:cs="Arial"/>
                <w:b w:val="0"/>
                <w:bCs/>
                <w:szCs w:val="22"/>
                <w:shd w:val="clear" w:color="auto" w:fill="FFFFFF"/>
                <w:lang w:val="es-ES_tradnl"/>
              </w:rPr>
            </w:pPr>
            <w:r w:rsidRPr="00F34030">
              <w:rPr>
                <w:rFonts w:ascii="Century Gothic" w:hAnsi="Century Gothic" w:cs="Arial"/>
                <w:b w:val="0"/>
                <w:bCs/>
                <w:szCs w:val="22"/>
                <w:shd w:val="clear" w:color="auto" w:fill="FFFFFF"/>
                <w:lang w:val="es-ES_tradnl"/>
              </w:rPr>
              <w:t>Genérica o innominada</w:t>
            </w:r>
            <w:r w:rsidR="00EB21AB">
              <w:rPr>
                <w:rFonts w:ascii="Century Gothic" w:hAnsi="Century Gothic" w:cs="Arial"/>
                <w:b w:val="0"/>
                <w:bCs/>
                <w:szCs w:val="22"/>
                <w:shd w:val="clear" w:color="auto" w:fill="FFFFFF"/>
                <w:lang w:val="es-ES_tradnl"/>
              </w:rPr>
              <w:t>.</w:t>
            </w:r>
          </w:p>
          <w:p w14:paraId="52CE2D52" w14:textId="4C0B219C" w:rsidR="00590950" w:rsidRPr="00116BF7" w:rsidRDefault="00590950" w:rsidP="00F73943">
            <w:pPr>
              <w:spacing w:line="276" w:lineRule="auto"/>
              <w:jc w:val="both"/>
              <w:rPr>
                <w:rFonts w:ascii="Century Gothic" w:hAnsi="Century Gothic"/>
                <w:sz w:val="22"/>
                <w:szCs w:val="22"/>
              </w:rPr>
            </w:pPr>
          </w:p>
        </w:tc>
      </w:tr>
    </w:tbl>
    <w:p w14:paraId="0AA122B4" w14:textId="77777777" w:rsidR="00F67EF8" w:rsidRPr="00D40BEB" w:rsidRDefault="00F67EF8" w:rsidP="00F73943">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D40BEB" w14:paraId="4B531C7D" w14:textId="77777777" w:rsidTr="0095378E">
        <w:trPr>
          <w:trHeight w:val="454"/>
        </w:trPr>
        <w:tc>
          <w:tcPr>
            <w:tcW w:w="3266" w:type="dxa"/>
            <w:vAlign w:val="center"/>
            <w:hideMark/>
          </w:tcPr>
          <w:p w14:paraId="3F99B56F" w14:textId="1315CCDB" w:rsidR="00EE687D" w:rsidRPr="00D40BEB" w:rsidRDefault="006F0CAA"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1FAD5D96" w:rsidR="00EE687D" w:rsidRPr="00D40BEB" w:rsidRDefault="006148C5" w:rsidP="00F73943">
            <w:pPr>
              <w:spacing w:line="276" w:lineRule="auto"/>
              <w:jc w:val="both"/>
              <w:rPr>
                <w:rFonts w:ascii="Century Gothic" w:hAnsi="Century Gothic" w:cs="Segoe UI"/>
                <w:sz w:val="22"/>
                <w:szCs w:val="22"/>
                <w:lang w:eastAsia="es-CO"/>
              </w:rPr>
            </w:pPr>
            <w:r w:rsidRPr="006148C5">
              <w:rPr>
                <w:rFonts w:ascii="Century Gothic" w:hAnsi="Century Gothic" w:cs="Segoe UI"/>
                <w:sz w:val="22"/>
                <w:szCs w:val="22"/>
                <w:lang w:eastAsia="es-CO"/>
              </w:rPr>
              <w:t>10289337</w:t>
            </w:r>
          </w:p>
        </w:tc>
      </w:tr>
      <w:tr w:rsidR="006F0CAA" w:rsidRPr="00D40BEB" w14:paraId="7A21B905" w14:textId="77777777" w:rsidTr="0095378E">
        <w:trPr>
          <w:trHeight w:val="454"/>
        </w:trPr>
        <w:tc>
          <w:tcPr>
            <w:tcW w:w="3266" w:type="dxa"/>
            <w:vAlign w:val="center"/>
          </w:tcPr>
          <w:p w14:paraId="533380A9" w14:textId="7103E52D" w:rsidR="006F0CAA" w:rsidRPr="00D40BEB" w:rsidRDefault="006F0CAA" w:rsidP="00F7394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 xml:space="preserve">Caso </w:t>
            </w:r>
            <w:proofErr w:type="spellStart"/>
            <w:r w:rsidRPr="00D40BEB">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2B9AC9BF" w:rsidR="006F0CAA" w:rsidRPr="00D40BEB" w:rsidRDefault="00590950" w:rsidP="00F73943">
            <w:pPr>
              <w:spacing w:line="276" w:lineRule="auto"/>
              <w:jc w:val="both"/>
              <w:rPr>
                <w:rFonts w:ascii="Century Gothic" w:hAnsi="Century Gothic" w:cs="Segoe UI"/>
                <w:sz w:val="22"/>
                <w:szCs w:val="22"/>
                <w:lang w:eastAsia="es-CO"/>
              </w:rPr>
            </w:pPr>
            <w:r w:rsidRPr="00D40BEB">
              <w:rPr>
                <w:rFonts w:ascii="Century Gothic" w:hAnsi="Century Gothic" w:cs="Segoe UI"/>
                <w:sz w:val="22"/>
                <w:szCs w:val="22"/>
                <w:lang w:eastAsia="es-CO"/>
              </w:rPr>
              <w:t xml:space="preserve"> </w:t>
            </w:r>
            <w:r w:rsidR="00287BDF" w:rsidRPr="00287BDF">
              <w:rPr>
                <w:rFonts w:ascii="Century Gothic" w:hAnsi="Century Gothic" w:cs="Segoe UI"/>
                <w:sz w:val="22"/>
                <w:szCs w:val="22"/>
                <w:lang w:eastAsia="es-CO"/>
              </w:rPr>
              <w:t>186266</w:t>
            </w:r>
          </w:p>
        </w:tc>
      </w:tr>
      <w:tr w:rsidR="00EE687D" w:rsidRPr="00D40BEB" w14:paraId="00877764" w14:textId="77777777" w:rsidTr="0095378E">
        <w:trPr>
          <w:trHeight w:val="454"/>
        </w:trPr>
        <w:tc>
          <w:tcPr>
            <w:tcW w:w="3266" w:type="dxa"/>
            <w:vAlign w:val="center"/>
            <w:hideMark/>
          </w:tcPr>
          <w:p w14:paraId="749E810E" w14:textId="77777777" w:rsidR="00EE687D" w:rsidRPr="00D40BEB" w:rsidRDefault="00EE687D"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Póliza</w:t>
            </w:r>
          </w:p>
        </w:tc>
        <w:tc>
          <w:tcPr>
            <w:tcW w:w="6941" w:type="dxa"/>
            <w:vAlign w:val="center"/>
          </w:tcPr>
          <w:p w14:paraId="7FC9EC9E" w14:textId="7217E030" w:rsidR="00EE687D" w:rsidRPr="00D40BEB" w:rsidRDefault="00287BDF" w:rsidP="00F73943">
            <w:pPr>
              <w:spacing w:line="276" w:lineRule="auto"/>
              <w:jc w:val="both"/>
              <w:rPr>
                <w:rFonts w:ascii="Century Gothic" w:hAnsi="Century Gothic" w:cs="Segoe UI"/>
                <w:sz w:val="22"/>
                <w:szCs w:val="22"/>
                <w:lang w:eastAsia="es-CO"/>
              </w:rPr>
            </w:pPr>
            <w:r w:rsidRPr="00287BDF">
              <w:rPr>
                <w:rFonts w:ascii="Century Gothic" w:hAnsi="Century Gothic" w:cs="Segoe UI"/>
                <w:sz w:val="22"/>
                <w:szCs w:val="22"/>
                <w:lang w:eastAsia="es-CO"/>
              </w:rPr>
              <w:t>AA010866</w:t>
            </w:r>
          </w:p>
        </w:tc>
      </w:tr>
      <w:tr w:rsidR="00EE687D" w:rsidRPr="00D40BEB" w14:paraId="3260B646" w14:textId="77777777" w:rsidTr="0095378E">
        <w:trPr>
          <w:trHeight w:val="454"/>
        </w:trPr>
        <w:tc>
          <w:tcPr>
            <w:tcW w:w="3266" w:type="dxa"/>
            <w:vAlign w:val="center"/>
            <w:hideMark/>
          </w:tcPr>
          <w:p w14:paraId="67FBF2E5" w14:textId="77777777" w:rsidR="00EE687D" w:rsidRPr="00D40BEB" w:rsidRDefault="00EE687D"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0807EFEA" w:rsidR="00EE687D" w:rsidRPr="00D40BEB" w:rsidRDefault="008B5F8F" w:rsidP="00F73943">
            <w:pPr>
              <w:spacing w:line="276" w:lineRule="auto"/>
              <w:jc w:val="both"/>
              <w:rPr>
                <w:rFonts w:ascii="Century Gothic" w:hAnsi="Century Gothic" w:cs="Segoe UI"/>
                <w:sz w:val="22"/>
                <w:szCs w:val="22"/>
                <w:lang w:eastAsia="es-CO"/>
              </w:rPr>
            </w:pPr>
            <w:r w:rsidRPr="008B5F8F">
              <w:rPr>
                <w:rFonts w:ascii="Century Gothic" w:hAnsi="Century Gothic" w:cs="Segoe UI"/>
                <w:sz w:val="22"/>
                <w:szCs w:val="22"/>
                <w:lang w:eastAsia="es-CO"/>
              </w:rPr>
              <w:t>AA133228</w:t>
            </w:r>
          </w:p>
        </w:tc>
      </w:tr>
      <w:tr w:rsidR="00EE687D" w:rsidRPr="00D40BEB" w14:paraId="0BC7C6A3" w14:textId="77777777" w:rsidTr="0095378E">
        <w:trPr>
          <w:trHeight w:val="454"/>
        </w:trPr>
        <w:tc>
          <w:tcPr>
            <w:tcW w:w="3266" w:type="dxa"/>
            <w:vAlign w:val="center"/>
            <w:hideMark/>
          </w:tcPr>
          <w:p w14:paraId="433D63BC" w14:textId="77777777" w:rsidR="00EE687D" w:rsidRPr="00D40BEB" w:rsidRDefault="00EE687D"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Orden</w:t>
            </w:r>
          </w:p>
        </w:tc>
        <w:tc>
          <w:tcPr>
            <w:tcW w:w="6941" w:type="dxa"/>
            <w:vAlign w:val="center"/>
          </w:tcPr>
          <w:p w14:paraId="25280801" w14:textId="4C37AA1D" w:rsidR="00EE687D" w:rsidRPr="00D40BEB" w:rsidRDefault="008B5F8F" w:rsidP="00F73943">
            <w:pPr>
              <w:spacing w:line="276" w:lineRule="auto"/>
              <w:jc w:val="both"/>
              <w:rPr>
                <w:rFonts w:ascii="Century Gothic" w:hAnsi="Century Gothic" w:cs="Segoe UI"/>
                <w:sz w:val="22"/>
                <w:szCs w:val="22"/>
                <w:lang w:eastAsia="es-CO"/>
              </w:rPr>
            </w:pPr>
            <w:r w:rsidRPr="008B5F8F">
              <w:rPr>
                <w:rFonts w:ascii="Century Gothic" w:hAnsi="Century Gothic" w:cs="Segoe UI"/>
                <w:sz w:val="22"/>
                <w:szCs w:val="22"/>
                <w:lang w:eastAsia="es-CO"/>
              </w:rPr>
              <w:t>60095</w:t>
            </w:r>
          </w:p>
        </w:tc>
      </w:tr>
      <w:tr w:rsidR="00B90E05" w:rsidRPr="00D40BEB" w14:paraId="3ACEF28A" w14:textId="77777777" w:rsidTr="0095378E">
        <w:trPr>
          <w:trHeight w:val="454"/>
        </w:trPr>
        <w:tc>
          <w:tcPr>
            <w:tcW w:w="3266" w:type="dxa"/>
            <w:vAlign w:val="center"/>
          </w:tcPr>
          <w:p w14:paraId="0881BFDC" w14:textId="40C44F4A" w:rsidR="00B90E05" w:rsidRPr="00D40BEB" w:rsidRDefault="00B90E05" w:rsidP="00F7394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Sucursal</w:t>
            </w:r>
          </w:p>
        </w:tc>
        <w:tc>
          <w:tcPr>
            <w:tcW w:w="6941" w:type="dxa"/>
            <w:vAlign w:val="center"/>
          </w:tcPr>
          <w:p w14:paraId="74AA0D59" w14:textId="1EC71DA2" w:rsidR="00B90E05" w:rsidRPr="00D40BEB" w:rsidRDefault="008B5F8F" w:rsidP="00F7394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Bucaramanga</w:t>
            </w:r>
          </w:p>
        </w:tc>
      </w:tr>
      <w:tr w:rsidR="00EE687D" w:rsidRPr="00D40BEB" w14:paraId="4BCD09C7" w14:textId="77777777" w:rsidTr="0095378E">
        <w:trPr>
          <w:trHeight w:val="454"/>
        </w:trPr>
        <w:tc>
          <w:tcPr>
            <w:tcW w:w="3266" w:type="dxa"/>
            <w:vAlign w:val="center"/>
            <w:hideMark/>
          </w:tcPr>
          <w:p w14:paraId="0A1C1E81" w14:textId="17519C67" w:rsidR="00EE687D" w:rsidRPr="00D40BEB" w:rsidRDefault="001C44B4"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A8E05F9" w:rsidR="00EE687D" w:rsidRPr="00D40BEB" w:rsidRDefault="008B5F8F" w:rsidP="00F7394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No aplica </w:t>
            </w:r>
          </w:p>
        </w:tc>
      </w:tr>
      <w:tr w:rsidR="001C44B4" w:rsidRPr="00D40BEB" w14:paraId="0BA9ECEE" w14:textId="77777777" w:rsidTr="0095378E">
        <w:trPr>
          <w:trHeight w:val="454"/>
        </w:trPr>
        <w:tc>
          <w:tcPr>
            <w:tcW w:w="3266" w:type="dxa"/>
            <w:vAlign w:val="center"/>
          </w:tcPr>
          <w:p w14:paraId="7B70AF59" w14:textId="749D67BE" w:rsidR="001C44B4" w:rsidRPr="00D40BEB" w:rsidRDefault="001C44B4" w:rsidP="00F7394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Fecha del siniestro</w:t>
            </w:r>
          </w:p>
        </w:tc>
        <w:tc>
          <w:tcPr>
            <w:tcW w:w="6941" w:type="dxa"/>
            <w:vAlign w:val="center"/>
          </w:tcPr>
          <w:p w14:paraId="79C24AEE" w14:textId="4570BF87" w:rsidR="008B5F8F" w:rsidRPr="00D40BEB" w:rsidRDefault="008B5F8F" w:rsidP="00F73943">
            <w:pPr>
              <w:spacing w:line="276" w:lineRule="auto"/>
              <w:jc w:val="both"/>
              <w:rPr>
                <w:rFonts w:ascii="Century Gothic" w:hAnsi="Century Gothic" w:cs="Segoe UI"/>
                <w:sz w:val="22"/>
                <w:szCs w:val="22"/>
                <w:lang w:eastAsia="es-CO"/>
              </w:rPr>
            </w:pPr>
          </w:p>
          <w:p w14:paraId="2D03F3BA" w14:textId="56DA62F0" w:rsidR="00933261" w:rsidRPr="00D40BEB" w:rsidRDefault="002146B8" w:rsidP="00F73943">
            <w:pPr>
              <w:spacing w:line="276" w:lineRule="auto"/>
              <w:jc w:val="both"/>
              <w:rPr>
                <w:rFonts w:ascii="Century Gothic" w:hAnsi="Century Gothic" w:cs="Segoe UI"/>
                <w:sz w:val="22"/>
                <w:szCs w:val="22"/>
                <w:lang w:eastAsia="es-CO"/>
              </w:rPr>
            </w:pPr>
            <w:r w:rsidRPr="002146B8">
              <w:rPr>
                <w:rFonts w:ascii="Century Gothic" w:hAnsi="Century Gothic" w:cs="Segoe UI"/>
                <w:sz w:val="22"/>
                <w:szCs w:val="22"/>
                <w:lang w:eastAsia="es-CO"/>
              </w:rPr>
              <w:t>07/14/2022</w:t>
            </w:r>
          </w:p>
        </w:tc>
      </w:tr>
      <w:tr w:rsidR="001C44B4" w:rsidRPr="00D40BEB" w14:paraId="05412033" w14:textId="77777777" w:rsidTr="0095378E">
        <w:trPr>
          <w:trHeight w:val="454"/>
        </w:trPr>
        <w:tc>
          <w:tcPr>
            <w:tcW w:w="3266" w:type="dxa"/>
            <w:vAlign w:val="center"/>
          </w:tcPr>
          <w:p w14:paraId="43E688BB" w14:textId="54B02C3E" w:rsidR="001C44B4" w:rsidRPr="00D40BEB" w:rsidRDefault="001C44B4" w:rsidP="00F7394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131262DD" w:rsidR="001C44B4" w:rsidRPr="00D40BEB" w:rsidRDefault="002146B8" w:rsidP="00F73943">
            <w:pPr>
              <w:spacing w:line="276" w:lineRule="auto"/>
              <w:jc w:val="both"/>
              <w:rPr>
                <w:rFonts w:ascii="Century Gothic" w:hAnsi="Century Gothic" w:cs="Segoe UI"/>
                <w:sz w:val="22"/>
                <w:szCs w:val="22"/>
                <w:lang w:eastAsia="es-CO"/>
              </w:rPr>
            </w:pPr>
            <w:r w:rsidRPr="002146B8">
              <w:rPr>
                <w:rFonts w:ascii="Century Gothic" w:hAnsi="Century Gothic" w:cs="Segoe UI"/>
                <w:sz w:val="22"/>
                <w:szCs w:val="22"/>
                <w:lang w:eastAsia="es-CO"/>
              </w:rPr>
              <w:t>12/01/2023</w:t>
            </w:r>
          </w:p>
        </w:tc>
      </w:tr>
      <w:tr w:rsidR="001C44B4" w:rsidRPr="00D40BEB" w14:paraId="6DB6B020" w14:textId="77777777" w:rsidTr="0095378E">
        <w:trPr>
          <w:trHeight w:val="454"/>
        </w:trPr>
        <w:tc>
          <w:tcPr>
            <w:tcW w:w="3266" w:type="dxa"/>
            <w:vAlign w:val="center"/>
          </w:tcPr>
          <w:p w14:paraId="13FCE7D8" w14:textId="6EA7D194" w:rsidR="001C44B4" w:rsidRPr="00D40BEB" w:rsidRDefault="001C44B4" w:rsidP="00F7394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05DCF871" w:rsidR="001C44B4" w:rsidRPr="00D40BEB" w:rsidRDefault="009105C1" w:rsidP="00F73943">
            <w:pPr>
              <w:spacing w:line="276" w:lineRule="auto"/>
              <w:jc w:val="both"/>
              <w:rPr>
                <w:rFonts w:ascii="Century Gothic" w:hAnsi="Century Gothic" w:cs="Segoe UI"/>
                <w:sz w:val="22"/>
                <w:szCs w:val="22"/>
                <w:lang w:eastAsia="es-CO"/>
              </w:rPr>
            </w:pPr>
            <w:r w:rsidRPr="009105C1">
              <w:rPr>
                <w:rFonts w:ascii="Century Gothic" w:hAnsi="Century Gothic" w:cs="Segoe UI"/>
                <w:sz w:val="22"/>
                <w:szCs w:val="22"/>
                <w:lang w:eastAsia="es-CO"/>
              </w:rPr>
              <w:t>CUOTA PARTE</w:t>
            </w:r>
          </w:p>
        </w:tc>
      </w:tr>
      <w:tr w:rsidR="001C44B4" w:rsidRPr="00D40BEB" w14:paraId="2F1DA9E6" w14:textId="77777777" w:rsidTr="0095378E">
        <w:trPr>
          <w:trHeight w:val="454"/>
        </w:trPr>
        <w:tc>
          <w:tcPr>
            <w:tcW w:w="3266" w:type="dxa"/>
            <w:vAlign w:val="center"/>
          </w:tcPr>
          <w:p w14:paraId="3ECF2237" w14:textId="5FB6285C" w:rsidR="001C44B4" w:rsidRPr="00D40BEB" w:rsidRDefault="008B685D" w:rsidP="00F7394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Tomador</w:t>
            </w:r>
          </w:p>
        </w:tc>
        <w:tc>
          <w:tcPr>
            <w:tcW w:w="6941" w:type="dxa"/>
            <w:vAlign w:val="center"/>
          </w:tcPr>
          <w:p w14:paraId="2B607964" w14:textId="49749AA8" w:rsidR="001C44B4" w:rsidRPr="00D40BEB" w:rsidRDefault="007B628A" w:rsidP="00F73943">
            <w:pPr>
              <w:spacing w:line="276" w:lineRule="auto"/>
              <w:jc w:val="both"/>
              <w:rPr>
                <w:rFonts w:ascii="Century Gothic" w:hAnsi="Century Gothic" w:cs="Segoe UI"/>
                <w:sz w:val="22"/>
                <w:szCs w:val="22"/>
                <w:lang w:eastAsia="es-CO"/>
              </w:rPr>
            </w:pPr>
            <w:r w:rsidRPr="008F20B9">
              <w:rPr>
                <w:rFonts w:ascii="Century Gothic" w:hAnsi="Century Gothic" w:cs="Segoe UI"/>
                <w:sz w:val="22"/>
                <w:szCs w:val="22"/>
                <w:lang w:eastAsia="es-CO"/>
              </w:rPr>
              <w:t xml:space="preserve">Cooperativa De Profesores </w:t>
            </w:r>
            <w:proofErr w:type="spellStart"/>
            <w:r w:rsidRPr="008F20B9">
              <w:rPr>
                <w:rFonts w:ascii="Century Gothic" w:hAnsi="Century Gothic" w:cs="Segoe UI"/>
                <w:sz w:val="22"/>
                <w:szCs w:val="22"/>
                <w:lang w:eastAsia="es-CO"/>
              </w:rPr>
              <w:t>Cooprofesores</w:t>
            </w:r>
            <w:proofErr w:type="spellEnd"/>
          </w:p>
        </w:tc>
      </w:tr>
      <w:tr w:rsidR="001C44B4" w:rsidRPr="00D40BEB" w14:paraId="1165CBE1" w14:textId="77777777" w:rsidTr="0095378E">
        <w:trPr>
          <w:trHeight w:val="454"/>
        </w:trPr>
        <w:tc>
          <w:tcPr>
            <w:tcW w:w="3266" w:type="dxa"/>
            <w:vAlign w:val="center"/>
          </w:tcPr>
          <w:p w14:paraId="640F2169" w14:textId="4903327C" w:rsidR="001C44B4" w:rsidRPr="00D40BEB" w:rsidRDefault="008B685D"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Asegurado</w:t>
            </w:r>
          </w:p>
        </w:tc>
        <w:tc>
          <w:tcPr>
            <w:tcW w:w="6941" w:type="dxa"/>
            <w:vAlign w:val="center"/>
          </w:tcPr>
          <w:p w14:paraId="3381B0BB" w14:textId="19389084" w:rsidR="001C44B4" w:rsidRPr="00D40BEB" w:rsidRDefault="007B628A" w:rsidP="00F7394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Pedro Antonio Hernández Goyeneche</w:t>
            </w:r>
          </w:p>
        </w:tc>
      </w:tr>
      <w:tr w:rsidR="001C44B4" w:rsidRPr="00D40BEB" w14:paraId="513C2A8D" w14:textId="77777777" w:rsidTr="0095378E">
        <w:trPr>
          <w:trHeight w:val="454"/>
        </w:trPr>
        <w:tc>
          <w:tcPr>
            <w:tcW w:w="3266" w:type="dxa"/>
            <w:vAlign w:val="center"/>
            <w:hideMark/>
          </w:tcPr>
          <w:p w14:paraId="5E1FDA28" w14:textId="16DB1B8E" w:rsidR="001C44B4" w:rsidRPr="00D40BEB" w:rsidRDefault="008B685D"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lastRenderedPageBreak/>
              <w:t>Ramo</w:t>
            </w:r>
          </w:p>
        </w:tc>
        <w:tc>
          <w:tcPr>
            <w:tcW w:w="6941" w:type="dxa"/>
            <w:vAlign w:val="center"/>
          </w:tcPr>
          <w:p w14:paraId="0701202E" w14:textId="72A45E82" w:rsidR="001C44B4" w:rsidRPr="00D40BEB" w:rsidRDefault="007B628A" w:rsidP="00F7394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Vida Grupo Deudores</w:t>
            </w:r>
          </w:p>
        </w:tc>
      </w:tr>
      <w:tr w:rsidR="001C44B4" w:rsidRPr="00D40BEB" w14:paraId="2F8ECFA3" w14:textId="77777777" w:rsidTr="0095378E">
        <w:trPr>
          <w:trHeight w:val="454"/>
        </w:trPr>
        <w:tc>
          <w:tcPr>
            <w:tcW w:w="3266" w:type="dxa"/>
            <w:vAlign w:val="center"/>
            <w:hideMark/>
          </w:tcPr>
          <w:p w14:paraId="0C3932A6" w14:textId="2792643B" w:rsidR="001C44B4" w:rsidRPr="00D40BEB" w:rsidRDefault="008B685D"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4A8C4FC" w:rsidR="00D078BE" w:rsidRPr="00D40BEB" w:rsidRDefault="002146B8" w:rsidP="00F73943">
            <w:pPr>
              <w:spacing w:line="276" w:lineRule="auto"/>
              <w:jc w:val="both"/>
              <w:rPr>
                <w:rFonts w:ascii="Century Gothic" w:hAnsi="Century Gothic" w:cs="Segoe UI"/>
                <w:sz w:val="22"/>
                <w:szCs w:val="22"/>
                <w:lang w:val="es-CO" w:eastAsia="es-CO"/>
              </w:rPr>
            </w:pPr>
            <w:r>
              <w:rPr>
                <w:rFonts w:ascii="Century Gothic" w:hAnsi="Century Gothic"/>
              </w:rPr>
              <w:t>INVALIDEZ</w:t>
            </w:r>
          </w:p>
        </w:tc>
      </w:tr>
      <w:tr w:rsidR="001C44B4" w:rsidRPr="00D40BEB" w14:paraId="59B4A554" w14:textId="77777777" w:rsidTr="0095378E">
        <w:trPr>
          <w:trHeight w:val="454"/>
        </w:trPr>
        <w:tc>
          <w:tcPr>
            <w:tcW w:w="3266" w:type="dxa"/>
            <w:vAlign w:val="center"/>
            <w:hideMark/>
          </w:tcPr>
          <w:p w14:paraId="0412A958" w14:textId="77777777" w:rsidR="001C44B4" w:rsidRPr="00D40BEB" w:rsidRDefault="001C44B4"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3F616826" w:rsidR="001C44B4" w:rsidRPr="00D40BEB" w:rsidRDefault="00C75366" w:rsidP="00F73943">
            <w:pPr>
              <w:spacing w:line="276" w:lineRule="auto"/>
              <w:jc w:val="both"/>
              <w:rPr>
                <w:rFonts w:ascii="Century Gothic" w:hAnsi="Century Gothic" w:cs="Segoe UI"/>
                <w:sz w:val="22"/>
                <w:szCs w:val="22"/>
                <w:lang w:eastAsia="es-CO"/>
              </w:rPr>
            </w:pPr>
            <w:r w:rsidRPr="00C75366">
              <w:rPr>
                <w:rFonts w:ascii="Century Gothic" w:hAnsi="Century Gothic" w:cs="Segoe UI"/>
                <w:sz w:val="22"/>
                <w:szCs w:val="22"/>
                <w:lang w:eastAsia="es-CO"/>
              </w:rPr>
              <w:t>$61,000,000.00</w:t>
            </w:r>
            <w:r>
              <w:rPr>
                <w:rFonts w:ascii="Century Gothic" w:hAnsi="Century Gothic" w:cs="Segoe UI"/>
                <w:sz w:val="22"/>
                <w:szCs w:val="22"/>
                <w:lang w:eastAsia="es-CO"/>
              </w:rPr>
              <w:t xml:space="preserve"> </w:t>
            </w:r>
          </w:p>
        </w:tc>
      </w:tr>
      <w:tr w:rsidR="001129B6" w:rsidRPr="00D40BEB" w14:paraId="2F24D88E" w14:textId="77777777" w:rsidTr="0095378E">
        <w:trPr>
          <w:trHeight w:val="454"/>
        </w:trPr>
        <w:tc>
          <w:tcPr>
            <w:tcW w:w="3266" w:type="dxa"/>
            <w:vAlign w:val="center"/>
          </w:tcPr>
          <w:p w14:paraId="0E72F2CD" w14:textId="1A6BE851" w:rsidR="001129B6" w:rsidRPr="00D40BEB" w:rsidRDefault="001129B6" w:rsidP="00F73943">
            <w:pPr>
              <w:spacing w:line="276" w:lineRule="auto"/>
              <w:jc w:val="both"/>
              <w:textAlignment w:val="baseline"/>
              <w:rPr>
                <w:rFonts w:ascii="Century Gothic" w:hAnsi="Century Gothic"/>
                <w:b/>
                <w:bCs/>
                <w:color w:val="000000"/>
                <w:sz w:val="22"/>
                <w:szCs w:val="22"/>
                <w:shd w:val="clear" w:color="auto" w:fill="FFFFFF"/>
                <w:lang w:eastAsia="es-CO"/>
              </w:rPr>
            </w:pPr>
            <w:r w:rsidRPr="00D40BEB">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0AB994BC" w:rsidR="001129B6" w:rsidRPr="00D40BEB" w:rsidRDefault="009105C1" w:rsidP="00F73943">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1C44B4" w:rsidRPr="00D40BEB" w14:paraId="658B9E4D" w14:textId="77777777" w:rsidTr="0095378E">
        <w:trPr>
          <w:trHeight w:val="454"/>
        </w:trPr>
        <w:tc>
          <w:tcPr>
            <w:tcW w:w="3266" w:type="dxa"/>
            <w:vAlign w:val="center"/>
            <w:hideMark/>
          </w:tcPr>
          <w:p w14:paraId="02377331" w14:textId="79A3F98F" w:rsidR="001C44B4" w:rsidRPr="00D40BEB" w:rsidRDefault="002633C0" w:rsidP="00F73943">
            <w:pPr>
              <w:spacing w:line="276" w:lineRule="auto"/>
              <w:jc w:val="both"/>
              <w:textAlignment w:val="baseline"/>
              <w:rPr>
                <w:rFonts w:ascii="Century Gothic" w:hAnsi="Century Gothic" w:cs="Segoe UI"/>
                <w:sz w:val="22"/>
                <w:szCs w:val="22"/>
                <w:lang w:eastAsia="es-CO"/>
              </w:rPr>
            </w:pPr>
            <w:r w:rsidRPr="00D40BEB">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2C6FFB3C" w:rsidR="001C44B4" w:rsidRPr="00D40BEB" w:rsidRDefault="002146B8" w:rsidP="00F73943">
            <w:pPr>
              <w:spacing w:line="276" w:lineRule="auto"/>
              <w:jc w:val="both"/>
              <w:rPr>
                <w:rFonts w:ascii="Century Gothic" w:hAnsi="Century Gothic" w:cs="Segoe UI"/>
                <w:sz w:val="22"/>
                <w:szCs w:val="22"/>
                <w:lang w:eastAsia="es-CO"/>
              </w:rPr>
            </w:pPr>
            <w:r>
              <w:rPr>
                <w:rFonts w:ascii="Century Gothic" w:hAnsi="Century Gothic"/>
              </w:rPr>
              <w:t>OBJETADO</w:t>
            </w:r>
          </w:p>
        </w:tc>
      </w:tr>
    </w:tbl>
    <w:p w14:paraId="397A1D68" w14:textId="77777777" w:rsidR="003B44CB" w:rsidRPr="00D40BEB" w:rsidRDefault="003B44CB" w:rsidP="00F73943">
      <w:pPr>
        <w:spacing w:line="276" w:lineRule="auto"/>
        <w:rPr>
          <w:rFonts w:ascii="Century Gothic" w:hAnsi="Century Gothic"/>
          <w:sz w:val="22"/>
          <w:szCs w:val="22"/>
        </w:rPr>
      </w:pPr>
    </w:p>
    <w:p w14:paraId="61F56879" w14:textId="77777777" w:rsidR="0095378E" w:rsidRPr="00A877D3" w:rsidRDefault="0095378E" w:rsidP="00F73943">
      <w:pPr>
        <w:spacing w:line="276"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D40BEB" w14:paraId="49B1F103" w14:textId="77777777" w:rsidTr="00BA1E5F">
        <w:tc>
          <w:tcPr>
            <w:tcW w:w="3687" w:type="dxa"/>
          </w:tcPr>
          <w:p w14:paraId="673B76C6" w14:textId="23992614" w:rsidR="002633C0" w:rsidRPr="00D40BEB" w:rsidRDefault="00BA1E5F" w:rsidP="00F73943">
            <w:pPr>
              <w:spacing w:line="276" w:lineRule="auto"/>
              <w:rPr>
                <w:rFonts w:ascii="Century Gothic" w:hAnsi="Century Gothic"/>
                <w:sz w:val="22"/>
                <w:szCs w:val="22"/>
              </w:rPr>
            </w:pPr>
            <w:r w:rsidRPr="00D40BEB">
              <w:rPr>
                <w:rFonts w:ascii="Century Gothic" w:hAnsi="Century Gothic"/>
                <w:b/>
                <w:bCs/>
                <w:sz w:val="22"/>
                <w:szCs w:val="22"/>
              </w:rPr>
              <w:t>Calificación de la contingencia</w:t>
            </w:r>
          </w:p>
        </w:tc>
        <w:tc>
          <w:tcPr>
            <w:tcW w:w="6520" w:type="dxa"/>
          </w:tcPr>
          <w:p w14:paraId="6F4874B3" w14:textId="3D79FED0" w:rsidR="002633C0" w:rsidRPr="00D40BEB" w:rsidRDefault="00C75366" w:rsidP="00F73943">
            <w:pPr>
              <w:spacing w:line="276" w:lineRule="auto"/>
              <w:rPr>
                <w:rFonts w:ascii="Century Gothic" w:hAnsi="Century Gothic"/>
                <w:sz w:val="22"/>
                <w:szCs w:val="22"/>
              </w:rPr>
            </w:pPr>
            <w:r>
              <w:rPr>
                <w:rFonts w:ascii="Century Gothic" w:hAnsi="Century Gothic"/>
                <w:sz w:val="22"/>
                <w:szCs w:val="22"/>
              </w:rPr>
              <w:t>REMOTO</w:t>
            </w:r>
          </w:p>
        </w:tc>
      </w:tr>
      <w:tr w:rsidR="002633C0" w:rsidRPr="00D40BEB" w14:paraId="47B026EC" w14:textId="77777777" w:rsidTr="00BA1E5F">
        <w:tc>
          <w:tcPr>
            <w:tcW w:w="3687" w:type="dxa"/>
          </w:tcPr>
          <w:p w14:paraId="4A77CED7" w14:textId="00C97735" w:rsidR="002633C0" w:rsidRPr="00D40BEB" w:rsidRDefault="00BA1E5F" w:rsidP="00F73943">
            <w:pPr>
              <w:spacing w:line="276" w:lineRule="auto"/>
              <w:rPr>
                <w:rFonts w:ascii="Century Gothic" w:hAnsi="Century Gothic"/>
                <w:b/>
                <w:bCs/>
                <w:sz w:val="22"/>
                <w:szCs w:val="22"/>
              </w:rPr>
            </w:pPr>
            <w:r w:rsidRPr="00D40BEB">
              <w:rPr>
                <w:rFonts w:ascii="Century Gothic" w:hAnsi="Century Gothic"/>
                <w:b/>
                <w:bCs/>
                <w:sz w:val="22"/>
                <w:szCs w:val="22"/>
              </w:rPr>
              <w:t xml:space="preserve">Reserva sugerida: </w:t>
            </w:r>
          </w:p>
        </w:tc>
        <w:tc>
          <w:tcPr>
            <w:tcW w:w="6520" w:type="dxa"/>
          </w:tcPr>
          <w:p w14:paraId="7146E445" w14:textId="6DFC2DB3" w:rsidR="002633C0" w:rsidRPr="00D40BEB" w:rsidRDefault="005E4F8E" w:rsidP="00F73943">
            <w:pPr>
              <w:spacing w:line="276" w:lineRule="auto"/>
              <w:jc w:val="both"/>
              <w:rPr>
                <w:rFonts w:ascii="Century Gothic" w:hAnsi="Century Gothic"/>
                <w:sz w:val="22"/>
                <w:szCs w:val="22"/>
              </w:rPr>
            </w:pPr>
            <w:r w:rsidRPr="00D40BEB">
              <w:rPr>
                <w:rFonts w:ascii="Century Gothic" w:hAnsi="Century Gothic"/>
                <w:sz w:val="22"/>
                <w:szCs w:val="22"/>
              </w:rPr>
              <w:t xml:space="preserve">30% de la </w:t>
            </w:r>
            <w:r w:rsidR="00BA1B11" w:rsidRPr="00D40BEB">
              <w:rPr>
                <w:rFonts w:ascii="Century Gothic" w:hAnsi="Century Gothic"/>
                <w:sz w:val="22"/>
                <w:szCs w:val="22"/>
              </w:rPr>
              <w:t xml:space="preserve">liquidación de las pretensiones objetivadas </w:t>
            </w:r>
            <w:r w:rsidR="00140284" w:rsidRPr="00D40BEB">
              <w:rPr>
                <w:rFonts w:ascii="Century Gothic" w:hAnsi="Century Gothic"/>
                <w:sz w:val="22"/>
                <w:szCs w:val="22"/>
              </w:rPr>
              <w:t>(</w:t>
            </w:r>
            <w:r w:rsidR="00590950" w:rsidRPr="00D40BEB">
              <w:rPr>
                <w:rFonts w:ascii="Century Gothic" w:hAnsi="Century Gothic"/>
                <w:sz w:val="22"/>
                <w:szCs w:val="22"/>
              </w:rPr>
              <w:t xml:space="preserve">$ </w:t>
            </w:r>
            <w:r w:rsidR="002146B8">
              <w:rPr>
                <w:rFonts w:ascii="Century Gothic" w:hAnsi="Century Gothic"/>
                <w:sz w:val="22"/>
                <w:szCs w:val="22"/>
              </w:rPr>
              <w:t>25.5</w:t>
            </w:r>
            <w:r w:rsidR="00D641AF">
              <w:rPr>
                <w:rFonts w:ascii="Century Gothic" w:hAnsi="Century Gothic"/>
                <w:sz w:val="22"/>
                <w:szCs w:val="22"/>
              </w:rPr>
              <w:t>34</w:t>
            </w:r>
            <w:r w:rsidR="002146B8">
              <w:rPr>
                <w:rFonts w:ascii="Century Gothic" w:hAnsi="Century Gothic"/>
                <w:sz w:val="22"/>
                <w:szCs w:val="22"/>
              </w:rPr>
              <w:t>.560</w:t>
            </w:r>
            <w:r w:rsidR="00140284" w:rsidRPr="00D40BEB">
              <w:rPr>
                <w:rFonts w:ascii="Century Gothic" w:hAnsi="Century Gothic"/>
                <w:sz w:val="22"/>
                <w:szCs w:val="22"/>
              </w:rPr>
              <w:t>)</w:t>
            </w:r>
          </w:p>
        </w:tc>
      </w:tr>
      <w:tr w:rsidR="00BA1E5F" w:rsidRPr="00D40BEB" w14:paraId="22F780E0" w14:textId="77777777" w:rsidTr="008B59F4">
        <w:tc>
          <w:tcPr>
            <w:tcW w:w="10207" w:type="dxa"/>
            <w:gridSpan w:val="2"/>
            <w:shd w:val="clear" w:color="auto" w:fill="C5E0B3" w:themeFill="accent6" w:themeFillTint="66"/>
            <w:vAlign w:val="center"/>
          </w:tcPr>
          <w:p w14:paraId="2E984764" w14:textId="51214522" w:rsidR="00BA1E5F" w:rsidRPr="00D40BEB" w:rsidRDefault="00BA1E5F" w:rsidP="00F73943">
            <w:pPr>
              <w:spacing w:line="276" w:lineRule="auto"/>
              <w:jc w:val="center"/>
              <w:rPr>
                <w:rFonts w:ascii="Century Gothic" w:hAnsi="Century Gothic"/>
                <w:sz w:val="22"/>
                <w:szCs w:val="22"/>
              </w:rPr>
            </w:pPr>
            <w:r w:rsidRPr="00D40BEB">
              <w:rPr>
                <w:rFonts w:ascii="Century Gothic" w:hAnsi="Century Gothic"/>
                <w:b/>
                <w:bCs/>
                <w:sz w:val="22"/>
                <w:szCs w:val="22"/>
              </w:rPr>
              <w:t>Concepto del apoderado</w:t>
            </w:r>
          </w:p>
        </w:tc>
      </w:tr>
      <w:tr w:rsidR="00BA1E5F" w:rsidRPr="00D40BEB" w14:paraId="4C51FAC2" w14:textId="77777777" w:rsidTr="00BA1E5F">
        <w:trPr>
          <w:trHeight w:val="3401"/>
        </w:trPr>
        <w:tc>
          <w:tcPr>
            <w:tcW w:w="10207" w:type="dxa"/>
            <w:gridSpan w:val="2"/>
            <w:vAlign w:val="center"/>
          </w:tcPr>
          <w:p w14:paraId="62CFCFDA" w14:textId="77777777" w:rsidR="003D5B05" w:rsidRPr="00D40BEB" w:rsidRDefault="003D5B05" w:rsidP="00F73943">
            <w:pPr>
              <w:spacing w:line="276" w:lineRule="auto"/>
              <w:jc w:val="both"/>
              <w:rPr>
                <w:rFonts w:ascii="Century Gothic" w:hAnsi="Century Gothic"/>
                <w:sz w:val="22"/>
                <w:szCs w:val="22"/>
              </w:rPr>
            </w:pPr>
          </w:p>
          <w:p w14:paraId="3AC35EC2" w14:textId="451115DB" w:rsidR="00840A20" w:rsidRDefault="00583012" w:rsidP="00F73943">
            <w:pPr>
              <w:spacing w:line="276" w:lineRule="auto"/>
              <w:jc w:val="both"/>
              <w:rPr>
                <w:rFonts w:ascii="Century Gothic" w:hAnsi="Century Gothic"/>
                <w:sz w:val="22"/>
                <w:szCs w:val="22"/>
              </w:rPr>
            </w:pPr>
            <w:r w:rsidRPr="00583012">
              <w:rPr>
                <w:rFonts w:ascii="Century Gothic" w:hAnsi="Century Gothic"/>
                <w:sz w:val="22"/>
                <w:szCs w:val="22"/>
              </w:rPr>
              <w:t xml:space="preserve">La contingencia se califica como REMOTA toda vez que, </w:t>
            </w:r>
            <w:r w:rsidR="002D108A">
              <w:rPr>
                <w:rFonts w:ascii="Century Gothic" w:hAnsi="Century Gothic"/>
                <w:sz w:val="22"/>
                <w:szCs w:val="22"/>
              </w:rPr>
              <w:t xml:space="preserve">aunque la Póliza Vida Grupo Deudores No. </w:t>
            </w:r>
            <w:r w:rsidR="002D108A" w:rsidRPr="002D108A">
              <w:rPr>
                <w:rFonts w:ascii="Century Gothic" w:hAnsi="Century Gothic"/>
                <w:sz w:val="22"/>
                <w:szCs w:val="22"/>
              </w:rPr>
              <w:t>AA010866</w:t>
            </w:r>
            <w:r w:rsidR="002D108A">
              <w:rPr>
                <w:rFonts w:ascii="Century Gothic" w:hAnsi="Century Gothic"/>
                <w:sz w:val="22"/>
                <w:szCs w:val="22"/>
              </w:rPr>
              <w:t xml:space="preserve"> presta cobertura material </w:t>
            </w:r>
            <w:r w:rsidR="00840A20">
              <w:rPr>
                <w:rFonts w:ascii="Century Gothic" w:hAnsi="Century Gothic"/>
                <w:sz w:val="22"/>
                <w:szCs w:val="22"/>
              </w:rPr>
              <w:t xml:space="preserve">y temporal, </w:t>
            </w:r>
            <w:r w:rsidR="00B43EC2" w:rsidRPr="00B43EC2">
              <w:rPr>
                <w:rFonts w:ascii="Century Gothic" w:hAnsi="Century Gothic"/>
                <w:sz w:val="22"/>
                <w:szCs w:val="22"/>
              </w:rPr>
              <w:t>se encuentra viciada de nulidad relativa como consecuencia de la reticencia en la que incurrió el asegurado.</w:t>
            </w:r>
          </w:p>
          <w:p w14:paraId="666CFB62" w14:textId="77777777" w:rsidR="00B43EC2" w:rsidRDefault="00B43EC2" w:rsidP="00F73943">
            <w:pPr>
              <w:spacing w:line="276" w:lineRule="auto"/>
              <w:jc w:val="both"/>
              <w:rPr>
                <w:rFonts w:ascii="Century Gothic" w:hAnsi="Century Gothic"/>
                <w:sz w:val="22"/>
                <w:szCs w:val="22"/>
              </w:rPr>
            </w:pPr>
          </w:p>
          <w:p w14:paraId="30DF24DD" w14:textId="2263F41F" w:rsidR="00840A20" w:rsidRDefault="00A03901" w:rsidP="00F73943">
            <w:pPr>
              <w:spacing w:line="276" w:lineRule="auto"/>
              <w:jc w:val="both"/>
              <w:rPr>
                <w:rFonts w:ascii="Century Gothic" w:hAnsi="Century Gothic"/>
                <w:sz w:val="22"/>
                <w:szCs w:val="22"/>
              </w:rPr>
            </w:pPr>
            <w:r w:rsidRPr="00A03901">
              <w:rPr>
                <w:rFonts w:ascii="Century Gothic" w:hAnsi="Century Gothic"/>
                <w:sz w:val="22"/>
                <w:szCs w:val="22"/>
              </w:rPr>
              <w:t xml:space="preserve">Lo primero que debe tomarse en consideración, es que la </w:t>
            </w:r>
            <w:r w:rsidR="0062600D">
              <w:rPr>
                <w:rFonts w:ascii="Century Gothic" w:hAnsi="Century Gothic"/>
                <w:sz w:val="22"/>
                <w:szCs w:val="22"/>
              </w:rPr>
              <w:t xml:space="preserve">Póliza Vida Grupo Deudores No. </w:t>
            </w:r>
            <w:r w:rsidR="0062600D" w:rsidRPr="002D108A">
              <w:rPr>
                <w:rFonts w:ascii="Century Gothic" w:hAnsi="Century Gothic"/>
                <w:sz w:val="22"/>
                <w:szCs w:val="22"/>
              </w:rPr>
              <w:t>AA010866</w:t>
            </w:r>
            <w:r w:rsidR="0062600D">
              <w:rPr>
                <w:rFonts w:ascii="Century Gothic" w:hAnsi="Century Gothic"/>
                <w:sz w:val="22"/>
                <w:szCs w:val="22"/>
              </w:rPr>
              <w:t xml:space="preserve"> </w:t>
            </w:r>
            <w:r w:rsidRPr="00A03901">
              <w:rPr>
                <w:rFonts w:ascii="Century Gothic" w:hAnsi="Century Gothic"/>
                <w:sz w:val="22"/>
                <w:szCs w:val="22"/>
              </w:rPr>
              <w:t>cuyo asegurado</w:t>
            </w:r>
            <w:r w:rsidR="0062600D">
              <w:rPr>
                <w:rFonts w:ascii="Century Gothic" w:hAnsi="Century Gothic"/>
                <w:sz w:val="22"/>
                <w:szCs w:val="22"/>
              </w:rPr>
              <w:t xml:space="preserve"> es el señor Pedro Antonio Goyeneche </w:t>
            </w:r>
            <w:r w:rsidR="0057412D">
              <w:rPr>
                <w:rFonts w:ascii="Century Gothic" w:hAnsi="Century Gothic"/>
                <w:sz w:val="22"/>
                <w:szCs w:val="22"/>
              </w:rPr>
              <w:t>Hernández</w:t>
            </w:r>
            <w:r w:rsidRPr="00A03901">
              <w:rPr>
                <w:rFonts w:ascii="Century Gothic" w:hAnsi="Century Gothic"/>
                <w:sz w:val="22"/>
                <w:szCs w:val="22"/>
              </w:rPr>
              <w:t>, presta cobertura material y temporal para el hecho que da origen a este litigio. Frente a la cobertura material, debe señalarse que la póliza cuenta con un amparo de incapacidad, el cual pretende afectarse. Frente a la cobertura temporal debe advertirse que la póliza</w:t>
            </w:r>
            <w:r w:rsidR="00E343F9">
              <w:rPr>
                <w:rFonts w:ascii="Century Gothic" w:hAnsi="Century Gothic"/>
                <w:sz w:val="22"/>
                <w:szCs w:val="22"/>
              </w:rPr>
              <w:t xml:space="preserve"> presta vigencia del </w:t>
            </w:r>
            <w:r w:rsidR="0002783E">
              <w:rPr>
                <w:rFonts w:ascii="Century Gothic" w:hAnsi="Century Gothic"/>
                <w:sz w:val="22"/>
                <w:szCs w:val="22"/>
              </w:rPr>
              <w:t>01 de julio de 2022 al 01 de julio de 2023</w:t>
            </w:r>
            <w:r w:rsidRPr="00A03901">
              <w:rPr>
                <w:rFonts w:ascii="Century Gothic" w:hAnsi="Century Gothic"/>
                <w:sz w:val="22"/>
                <w:szCs w:val="22"/>
              </w:rPr>
              <w:t>, mientras que,</w:t>
            </w:r>
            <w:r w:rsidR="0002783E">
              <w:rPr>
                <w:rFonts w:ascii="Century Gothic" w:hAnsi="Century Gothic"/>
                <w:sz w:val="22"/>
                <w:szCs w:val="22"/>
              </w:rPr>
              <w:t xml:space="preserve"> el dictamen de pérdida de capacidad laboral por medio del cual se estimó la disminución de capacidad del asegurado en</w:t>
            </w:r>
            <w:r w:rsidR="00FF7D2F">
              <w:rPr>
                <w:rFonts w:ascii="Century Gothic" w:hAnsi="Century Gothic"/>
                <w:sz w:val="22"/>
                <w:szCs w:val="22"/>
              </w:rPr>
              <w:t xml:space="preserve"> 58,88</w:t>
            </w:r>
            <w:r w:rsidR="004B5438">
              <w:rPr>
                <w:rFonts w:ascii="Century Gothic" w:hAnsi="Century Gothic"/>
                <w:sz w:val="22"/>
                <w:szCs w:val="22"/>
              </w:rPr>
              <w:t xml:space="preserve">% </w:t>
            </w:r>
            <w:r w:rsidR="007A1225">
              <w:rPr>
                <w:rFonts w:ascii="Century Gothic" w:hAnsi="Century Gothic"/>
                <w:sz w:val="22"/>
                <w:szCs w:val="22"/>
              </w:rPr>
              <w:t>cuenta con la fecha de estructuración del 14 de julio de 2022</w:t>
            </w:r>
            <w:r w:rsidRPr="00A03901">
              <w:rPr>
                <w:rFonts w:ascii="Century Gothic" w:hAnsi="Century Gothic"/>
                <w:sz w:val="22"/>
                <w:szCs w:val="22"/>
              </w:rPr>
              <w:t>. Por lo tanto, el riesgo asegurado ocurrió dentro de la vigencia del seguro</w:t>
            </w:r>
            <w:r w:rsidR="004D361D">
              <w:rPr>
                <w:rFonts w:ascii="Century Gothic" w:hAnsi="Century Gothic"/>
                <w:sz w:val="22"/>
                <w:szCs w:val="22"/>
              </w:rPr>
              <w:t xml:space="preserve"> conforme se encuentra estipulado en la Póliza</w:t>
            </w:r>
            <w:r w:rsidRPr="00A03901">
              <w:rPr>
                <w:rFonts w:ascii="Century Gothic" w:hAnsi="Century Gothic"/>
                <w:sz w:val="22"/>
                <w:szCs w:val="22"/>
              </w:rPr>
              <w:t>. </w:t>
            </w:r>
          </w:p>
          <w:p w14:paraId="4B596E97" w14:textId="77777777" w:rsidR="00840A20" w:rsidRDefault="00840A20" w:rsidP="00F73943">
            <w:pPr>
              <w:spacing w:line="276" w:lineRule="auto"/>
              <w:jc w:val="both"/>
              <w:rPr>
                <w:rFonts w:ascii="Century Gothic" w:hAnsi="Century Gothic"/>
                <w:sz w:val="22"/>
                <w:szCs w:val="22"/>
              </w:rPr>
            </w:pPr>
          </w:p>
          <w:p w14:paraId="41FB9E6A" w14:textId="5E466A1F" w:rsidR="00583012" w:rsidRPr="00583012" w:rsidRDefault="004D361D" w:rsidP="00F73943">
            <w:pPr>
              <w:spacing w:line="276" w:lineRule="auto"/>
              <w:jc w:val="both"/>
              <w:rPr>
                <w:rFonts w:ascii="Century Gothic" w:hAnsi="Century Gothic"/>
                <w:sz w:val="22"/>
                <w:szCs w:val="22"/>
              </w:rPr>
            </w:pPr>
            <w:r>
              <w:rPr>
                <w:rFonts w:ascii="Century Gothic" w:hAnsi="Century Gothic"/>
                <w:sz w:val="22"/>
                <w:szCs w:val="22"/>
              </w:rPr>
              <w:t xml:space="preserve">Respecto de la obligación indemnizatoria de la compañía, debe decirse que </w:t>
            </w:r>
            <w:r w:rsidR="004E6171" w:rsidRPr="004E6171">
              <w:rPr>
                <w:rFonts w:ascii="Century Gothic" w:hAnsi="Century Gothic"/>
                <w:sz w:val="22"/>
                <w:szCs w:val="22"/>
              </w:rPr>
              <w:t xml:space="preserve">encontramos que si bien, el señor </w:t>
            </w:r>
            <w:r w:rsidR="004E6171">
              <w:rPr>
                <w:rFonts w:ascii="Century Gothic" w:hAnsi="Century Gothic"/>
                <w:sz w:val="22"/>
                <w:szCs w:val="22"/>
              </w:rPr>
              <w:t>Goyeneche Hernández</w:t>
            </w:r>
            <w:r w:rsidR="004E6171" w:rsidRPr="004E6171">
              <w:rPr>
                <w:rFonts w:ascii="Century Gothic" w:hAnsi="Century Gothic"/>
                <w:sz w:val="22"/>
                <w:szCs w:val="22"/>
              </w:rPr>
              <w:t xml:space="preserve"> fue reticente en su declaración de asegurabilidad del </w:t>
            </w:r>
            <w:r w:rsidR="004E6171">
              <w:rPr>
                <w:rFonts w:ascii="Century Gothic" w:hAnsi="Century Gothic"/>
                <w:sz w:val="22"/>
                <w:szCs w:val="22"/>
              </w:rPr>
              <w:t>17 de mayo de 2022</w:t>
            </w:r>
            <w:r w:rsidR="004E6171" w:rsidRPr="004E6171">
              <w:rPr>
                <w:rFonts w:ascii="Century Gothic" w:hAnsi="Century Gothic"/>
                <w:sz w:val="22"/>
                <w:szCs w:val="22"/>
              </w:rPr>
              <w:t>, entre tanto omitió declarar el estado del riesgo, pues negó cualquier padecimiento o patología de salud pese a que contaba con antecedentes de</w:t>
            </w:r>
            <w:r w:rsidR="004E6171" w:rsidRPr="004E6171">
              <w:rPr>
                <w:color w:val="000000"/>
                <w:sz w:val="27"/>
                <w:szCs w:val="27"/>
              </w:rPr>
              <w:t xml:space="preserve"> </w:t>
            </w:r>
            <w:r w:rsidR="004E6171" w:rsidRPr="004E6171">
              <w:rPr>
                <w:rFonts w:ascii="Century Gothic" w:hAnsi="Century Gothic"/>
                <w:sz w:val="22"/>
                <w:szCs w:val="22"/>
              </w:rPr>
              <w:t>insuficiencia renal crónica, el trastorno de depresión y la cirugía de columna</w:t>
            </w:r>
            <w:r w:rsidR="002146B8">
              <w:rPr>
                <w:rFonts w:ascii="Century Gothic" w:hAnsi="Century Gothic"/>
                <w:sz w:val="22"/>
                <w:szCs w:val="22"/>
              </w:rPr>
              <w:t xml:space="preserve">. </w:t>
            </w:r>
            <w:r w:rsidR="00B43EC2" w:rsidRPr="00B43EC2">
              <w:rPr>
                <w:rFonts w:ascii="Century Gothic" w:hAnsi="Century Gothic"/>
                <w:sz w:val="22"/>
                <w:szCs w:val="22"/>
              </w:rPr>
              <w:t xml:space="preserve">Antecedentes que no fueron informados mediante la declaración de asegurabilidad suscrita el </w:t>
            </w:r>
            <w:r w:rsidR="002146B8">
              <w:rPr>
                <w:rFonts w:ascii="Century Gothic" w:hAnsi="Century Gothic"/>
                <w:sz w:val="22"/>
                <w:szCs w:val="22"/>
              </w:rPr>
              <w:t>mayo de 2022</w:t>
            </w:r>
            <w:r w:rsidR="004E6171">
              <w:rPr>
                <w:rFonts w:ascii="Century Gothic" w:hAnsi="Century Gothic"/>
                <w:sz w:val="22"/>
                <w:szCs w:val="22"/>
              </w:rPr>
              <w:t xml:space="preserve">.  </w:t>
            </w:r>
            <w:r w:rsidR="004E6171" w:rsidRPr="004E6171">
              <w:rPr>
                <w:rFonts w:ascii="Century Gothic" w:hAnsi="Century Gothic"/>
                <w:sz w:val="22"/>
                <w:szCs w:val="22"/>
              </w:rPr>
              <w:t xml:space="preserve">En este sentido, se precisa </w:t>
            </w:r>
            <w:proofErr w:type="gramStart"/>
            <w:r w:rsidR="004E6171" w:rsidRPr="004E6171">
              <w:rPr>
                <w:rFonts w:ascii="Century Gothic" w:hAnsi="Century Gothic"/>
                <w:sz w:val="22"/>
                <w:szCs w:val="22"/>
              </w:rPr>
              <w:t>que</w:t>
            </w:r>
            <w:proofErr w:type="gramEnd"/>
            <w:r w:rsidR="004E6171" w:rsidRPr="004E6171">
              <w:rPr>
                <w:rFonts w:ascii="Century Gothic" w:hAnsi="Century Gothic"/>
                <w:sz w:val="22"/>
                <w:szCs w:val="22"/>
              </w:rPr>
              <w:t xml:space="preserve"> de todas formas, en el curso del proceso deberá acreditarse con suficiencia la existencia de las patologías de forma previa a la suscripción del contrato de seguro y como éstas habrían derivado en una consecuencia negocial diferente en caso de haber conocido los antecedentes médicos del asegurado. Una vez se demuestre la consecuencia negocial diferencial, a través de dictamen pericial rendido por experto médico, que advierta que el contrato de seguro no se hubiera celebrado o se habría contratado en condiciones más onerosas, el juez podrá dar aplicación al art. 1058 del </w:t>
            </w:r>
            <w:proofErr w:type="spellStart"/>
            <w:r w:rsidR="004E6171" w:rsidRPr="004E6171">
              <w:rPr>
                <w:rFonts w:ascii="Century Gothic" w:hAnsi="Century Gothic"/>
                <w:sz w:val="22"/>
                <w:szCs w:val="22"/>
              </w:rPr>
              <w:t>C.Co</w:t>
            </w:r>
            <w:proofErr w:type="spellEnd"/>
            <w:r w:rsidR="004E6171" w:rsidRPr="004E6171">
              <w:rPr>
                <w:rFonts w:ascii="Century Gothic" w:hAnsi="Century Gothic"/>
                <w:sz w:val="22"/>
                <w:szCs w:val="22"/>
              </w:rPr>
              <w:t xml:space="preserve">. </w:t>
            </w:r>
            <w:r w:rsidR="00B43EC2">
              <w:rPr>
                <w:rFonts w:ascii="Century Gothic" w:hAnsi="Century Gothic"/>
                <w:sz w:val="22"/>
                <w:szCs w:val="22"/>
              </w:rPr>
              <w:lastRenderedPageBreak/>
              <w:t>A</w:t>
            </w:r>
            <w:r w:rsidR="00B43EC2" w:rsidRPr="00B43EC2">
              <w:rPr>
                <w:rFonts w:ascii="Century Gothic" w:hAnsi="Century Gothic"/>
                <w:sz w:val="22"/>
                <w:szCs w:val="22"/>
              </w:rPr>
              <w:t xml:space="preserve">dicionalmente, en el curso del proceso deberá acreditarse que la existencia de las patologías de forma previa a la suscripción del contrato de seguro, habrían derivado en una consecuencia negocial diferente para la compañía aseguradora, en caso de haber conocido los antecedentes médicos del asegurado. En este sentido, la delegatura podrá dar aplicación al artículo 1058 del Código de comercio, una vez se pruebe a través del dictamen rendido por experto médico, la relevancia de las patologías antes enunciadas para </w:t>
            </w:r>
            <w:r w:rsidR="00B43EC2">
              <w:rPr>
                <w:rFonts w:ascii="Century Gothic" w:hAnsi="Century Gothic"/>
                <w:sz w:val="22"/>
                <w:szCs w:val="22"/>
              </w:rPr>
              <w:t>LA EQUIDAD SEGUROS GENERALES O.C</w:t>
            </w:r>
            <w:r w:rsidR="00B43EC2" w:rsidRPr="00B43EC2">
              <w:rPr>
                <w:rFonts w:ascii="Century Gothic" w:hAnsi="Century Gothic"/>
                <w:sz w:val="22"/>
                <w:szCs w:val="22"/>
              </w:rPr>
              <w:t xml:space="preserve"> para </w:t>
            </w:r>
            <w:r w:rsidR="00B43EC2">
              <w:rPr>
                <w:rFonts w:ascii="Century Gothic" w:hAnsi="Century Gothic"/>
                <w:sz w:val="22"/>
                <w:szCs w:val="22"/>
              </w:rPr>
              <w:t>mayo de 2022.</w:t>
            </w:r>
            <w:r w:rsidR="00B43EC2" w:rsidRPr="00B43EC2">
              <w:rPr>
                <w:rFonts w:ascii="Century Gothic" w:hAnsi="Century Gothic"/>
                <w:sz w:val="22"/>
                <w:szCs w:val="22"/>
              </w:rPr>
              <w:t xml:space="preserve"> Finalmente se advierte que, en este caso la excepción de nulidad relativa no se encuentra prescrita ni por la vía extraordinaria (</w:t>
            </w:r>
            <w:r w:rsidR="00B43EC2">
              <w:rPr>
                <w:rFonts w:ascii="Century Gothic" w:hAnsi="Century Gothic"/>
                <w:sz w:val="22"/>
                <w:szCs w:val="22"/>
              </w:rPr>
              <w:t>17 de mayo de 2027</w:t>
            </w:r>
            <w:r w:rsidR="00B43EC2" w:rsidRPr="00B43EC2">
              <w:rPr>
                <w:rFonts w:ascii="Century Gothic" w:hAnsi="Century Gothic"/>
                <w:sz w:val="22"/>
                <w:szCs w:val="22"/>
              </w:rPr>
              <w:t>), ni por la vía ordinaria (</w:t>
            </w:r>
            <w:r w:rsidR="00B43EC2">
              <w:rPr>
                <w:rFonts w:ascii="Century Gothic" w:hAnsi="Century Gothic"/>
                <w:sz w:val="22"/>
                <w:szCs w:val="22"/>
              </w:rPr>
              <w:t>06 de diciembre de 2025</w:t>
            </w:r>
            <w:r w:rsidR="00B43EC2" w:rsidRPr="00B43EC2">
              <w:rPr>
                <w:rFonts w:ascii="Century Gothic" w:hAnsi="Century Gothic"/>
                <w:sz w:val="22"/>
                <w:szCs w:val="22"/>
              </w:rPr>
              <w:t>). Lo anterior sin perjuicio del carácter contingente del proceso.</w:t>
            </w:r>
          </w:p>
          <w:p w14:paraId="6CF90DD0" w14:textId="77777777" w:rsidR="00583012" w:rsidRPr="00583012" w:rsidRDefault="00583012" w:rsidP="00F73943">
            <w:pPr>
              <w:spacing w:line="276" w:lineRule="auto"/>
              <w:jc w:val="both"/>
              <w:rPr>
                <w:rFonts w:ascii="Century Gothic" w:hAnsi="Century Gothic"/>
                <w:sz w:val="22"/>
                <w:szCs w:val="22"/>
              </w:rPr>
            </w:pPr>
          </w:p>
          <w:p w14:paraId="58FF1192" w14:textId="2993E571" w:rsidR="00951B5D" w:rsidRPr="00D40BEB" w:rsidRDefault="00583012" w:rsidP="00F73943">
            <w:pPr>
              <w:spacing w:line="276" w:lineRule="auto"/>
              <w:jc w:val="both"/>
              <w:rPr>
                <w:rFonts w:ascii="Century Gothic" w:hAnsi="Century Gothic"/>
                <w:sz w:val="22"/>
                <w:szCs w:val="22"/>
              </w:rPr>
            </w:pPr>
            <w:r w:rsidRPr="00583012">
              <w:rPr>
                <w:rFonts w:ascii="Century Gothic" w:hAnsi="Century Gothic"/>
                <w:sz w:val="22"/>
                <w:szCs w:val="22"/>
              </w:rPr>
              <w:t>Lo anterior sin perjuicio del carácter contingente del proceso.</w:t>
            </w:r>
          </w:p>
        </w:tc>
      </w:tr>
      <w:tr w:rsidR="00BA1E5F" w:rsidRPr="00D40BEB" w14:paraId="6A3F4D91" w14:textId="77777777" w:rsidTr="008B59F4">
        <w:trPr>
          <w:trHeight w:val="1361"/>
        </w:trPr>
        <w:tc>
          <w:tcPr>
            <w:tcW w:w="10207" w:type="dxa"/>
            <w:gridSpan w:val="2"/>
            <w:vAlign w:val="center"/>
          </w:tcPr>
          <w:p w14:paraId="5FE168E3" w14:textId="77777777" w:rsidR="00020041" w:rsidRPr="00D40BEB" w:rsidRDefault="00020041" w:rsidP="00F73943">
            <w:pPr>
              <w:spacing w:line="276" w:lineRule="auto"/>
              <w:jc w:val="center"/>
              <w:rPr>
                <w:rFonts w:ascii="Century Gothic" w:hAnsi="Century Gothic"/>
                <w:b/>
                <w:bCs/>
                <w:sz w:val="22"/>
                <w:szCs w:val="22"/>
              </w:rPr>
            </w:pPr>
          </w:p>
          <w:p w14:paraId="23B3A43D" w14:textId="6892B973" w:rsidR="00020041" w:rsidRPr="00D40BEB" w:rsidRDefault="00020041" w:rsidP="00F73943">
            <w:pPr>
              <w:spacing w:line="276" w:lineRule="auto"/>
              <w:jc w:val="center"/>
              <w:rPr>
                <w:rFonts w:ascii="Century Gothic" w:hAnsi="Century Gothic"/>
                <w:b/>
                <w:bCs/>
                <w:sz w:val="22"/>
                <w:szCs w:val="22"/>
              </w:rPr>
            </w:pPr>
            <w:r w:rsidRPr="00D40BEB">
              <w:rPr>
                <w:rFonts w:ascii="Century Gothic" w:hAnsi="Century Gothic"/>
                <w:b/>
                <w:bCs/>
                <w:sz w:val="22"/>
                <w:szCs w:val="22"/>
              </w:rPr>
              <w:t>GUSTAVO ALBERTO HERRERA ÁVILA</w:t>
            </w:r>
          </w:p>
          <w:p w14:paraId="3DB07AEC" w14:textId="77777777" w:rsidR="00020041" w:rsidRPr="00D40BEB" w:rsidRDefault="00020041" w:rsidP="00F73943">
            <w:pPr>
              <w:spacing w:line="276" w:lineRule="auto"/>
              <w:jc w:val="center"/>
              <w:rPr>
                <w:rFonts w:ascii="Century Gothic" w:hAnsi="Century Gothic"/>
                <w:b/>
                <w:bCs/>
                <w:sz w:val="22"/>
                <w:szCs w:val="22"/>
              </w:rPr>
            </w:pPr>
            <w:r w:rsidRPr="00D40BEB">
              <w:rPr>
                <w:rFonts w:ascii="Century Gothic" w:hAnsi="Century Gothic"/>
                <w:b/>
                <w:bCs/>
                <w:sz w:val="22"/>
                <w:szCs w:val="22"/>
              </w:rPr>
              <w:t xml:space="preserve">C.C. </w:t>
            </w:r>
            <w:proofErr w:type="spellStart"/>
            <w:r w:rsidRPr="00D40BEB">
              <w:rPr>
                <w:rFonts w:ascii="Century Gothic" w:hAnsi="Century Gothic"/>
                <w:b/>
                <w:bCs/>
                <w:sz w:val="22"/>
                <w:szCs w:val="22"/>
              </w:rPr>
              <w:t>Nº</w:t>
            </w:r>
            <w:proofErr w:type="spellEnd"/>
            <w:r w:rsidRPr="00D40BEB">
              <w:rPr>
                <w:rFonts w:ascii="Century Gothic" w:hAnsi="Century Gothic"/>
                <w:b/>
                <w:bCs/>
                <w:sz w:val="22"/>
                <w:szCs w:val="22"/>
              </w:rPr>
              <w:t xml:space="preserve"> 19.395.114 de Bogotá</w:t>
            </w:r>
          </w:p>
          <w:p w14:paraId="36688381" w14:textId="77777777" w:rsidR="00020041" w:rsidRPr="00D40BEB" w:rsidRDefault="00020041" w:rsidP="00F73943">
            <w:pPr>
              <w:spacing w:line="276" w:lineRule="auto"/>
              <w:jc w:val="center"/>
              <w:rPr>
                <w:rFonts w:ascii="Century Gothic" w:hAnsi="Century Gothic"/>
                <w:b/>
                <w:bCs/>
                <w:sz w:val="22"/>
                <w:szCs w:val="22"/>
              </w:rPr>
            </w:pPr>
            <w:r w:rsidRPr="00D40BEB">
              <w:rPr>
                <w:rFonts w:ascii="Century Gothic" w:hAnsi="Century Gothic"/>
                <w:b/>
                <w:bCs/>
                <w:sz w:val="22"/>
                <w:szCs w:val="22"/>
              </w:rPr>
              <w:t xml:space="preserve">T.P. </w:t>
            </w:r>
            <w:proofErr w:type="spellStart"/>
            <w:r w:rsidRPr="00D40BEB">
              <w:rPr>
                <w:rFonts w:ascii="Century Gothic" w:hAnsi="Century Gothic"/>
                <w:b/>
                <w:bCs/>
                <w:sz w:val="22"/>
                <w:szCs w:val="22"/>
              </w:rPr>
              <w:t>N°</w:t>
            </w:r>
            <w:proofErr w:type="spellEnd"/>
            <w:r w:rsidRPr="00D40BEB">
              <w:rPr>
                <w:rFonts w:ascii="Century Gothic" w:hAnsi="Century Gothic"/>
                <w:b/>
                <w:bCs/>
                <w:sz w:val="22"/>
                <w:szCs w:val="22"/>
              </w:rPr>
              <w:t xml:space="preserve"> 39.116 del C. S. de la J.</w:t>
            </w:r>
          </w:p>
          <w:p w14:paraId="3A806213" w14:textId="56507B30" w:rsidR="00BA1E5F" w:rsidRPr="00D40BEB" w:rsidRDefault="00020041" w:rsidP="00F73943">
            <w:pPr>
              <w:spacing w:line="276" w:lineRule="auto"/>
              <w:jc w:val="center"/>
              <w:rPr>
                <w:rFonts w:ascii="Century Gothic" w:hAnsi="Century Gothic"/>
                <w:b/>
                <w:bCs/>
                <w:sz w:val="22"/>
                <w:szCs w:val="22"/>
              </w:rPr>
            </w:pPr>
            <w:r w:rsidRPr="00D40BEB">
              <w:rPr>
                <w:rFonts w:ascii="Century Gothic" w:hAnsi="Century Gothic"/>
                <w:b/>
                <w:bCs/>
                <w:sz w:val="22"/>
                <w:szCs w:val="22"/>
              </w:rPr>
              <w:t>NP</w:t>
            </w:r>
          </w:p>
        </w:tc>
      </w:tr>
    </w:tbl>
    <w:p w14:paraId="66CA6B89" w14:textId="77777777" w:rsidR="002633C0" w:rsidRPr="00D40BEB" w:rsidRDefault="002633C0" w:rsidP="00F73943">
      <w:pPr>
        <w:spacing w:line="276" w:lineRule="auto"/>
        <w:rPr>
          <w:rFonts w:ascii="Century Gothic" w:hAnsi="Century Gothic"/>
          <w:sz w:val="22"/>
          <w:szCs w:val="22"/>
        </w:rPr>
      </w:pPr>
    </w:p>
    <w:sectPr w:rsidR="002633C0" w:rsidRPr="00D40BEB"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686F4" w14:textId="77777777" w:rsidR="006B0A98" w:rsidRDefault="006B0A98" w:rsidP="00E7033F">
      <w:r>
        <w:separator/>
      </w:r>
    </w:p>
  </w:endnote>
  <w:endnote w:type="continuationSeparator" w:id="0">
    <w:p w14:paraId="1364C7CF" w14:textId="77777777" w:rsidR="006B0A98" w:rsidRDefault="006B0A98"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4EA72" w14:textId="77777777" w:rsidR="006B0A98" w:rsidRDefault="006B0A98" w:rsidP="00E7033F">
      <w:r>
        <w:separator/>
      </w:r>
    </w:p>
  </w:footnote>
  <w:footnote w:type="continuationSeparator" w:id="0">
    <w:p w14:paraId="49000FB3" w14:textId="77777777" w:rsidR="006B0A98" w:rsidRDefault="006B0A98"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A3E1F"/>
    <w:multiLevelType w:val="hybridMultilevel"/>
    <w:tmpl w:val="2932D6DA"/>
    <w:lvl w:ilvl="0" w:tplc="1890B18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0F2F72"/>
    <w:multiLevelType w:val="hybridMultilevel"/>
    <w:tmpl w:val="14E02D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723F58"/>
    <w:multiLevelType w:val="hybridMultilevel"/>
    <w:tmpl w:val="83164D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BC0FF7"/>
    <w:multiLevelType w:val="hybridMultilevel"/>
    <w:tmpl w:val="590ED3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5971A8"/>
    <w:multiLevelType w:val="hybridMultilevel"/>
    <w:tmpl w:val="116CAC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010D35"/>
    <w:multiLevelType w:val="hybridMultilevel"/>
    <w:tmpl w:val="90F0A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AD1779"/>
    <w:multiLevelType w:val="multilevel"/>
    <w:tmpl w:val="7F82152A"/>
    <w:lvl w:ilvl="0">
      <w:start w:val="1"/>
      <w:numFmt w:val="upperLetter"/>
      <w:pStyle w:val="Ttulo1"/>
      <w:lvlText w:val="%1."/>
      <w:lvlJc w:val="left"/>
      <w:pPr>
        <w:ind w:left="360" w:hanging="360"/>
      </w:pPr>
      <w:rPr>
        <w:rFonts w:hint="default"/>
      </w:rPr>
    </w:lvl>
    <w:lvl w:ilvl="1">
      <w:start w:val="1"/>
      <w:numFmt w:val="decimal"/>
      <w:pStyle w:val="Ttulo2"/>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8384E"/>
    <w:multiLevelType w:val="hybridMultilevel"/>
    <w:tmpl w:val="8E12DC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E865E43"/>
    <w:multiLevelType w:val="multilevel"/>
    <w:tmpl w:val="048479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F2712B"/>
    <w:multiLevelType w:val="hybridMultilevel"/>
    <w:tmpl w:val="D63414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9A031E"/>
    <w:multiLevelType w:val="hybridMultilevel"/>
    <w:tmpl w:val="A0FECC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CAF7930"/>
    <w:multiLevelType w:val="hybridMultilevel"/>
    <w:tmpl w:val="17E05A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DFD7D36"/>
    <w:multiLevelType w:val="hybridMultilevel"/>
    <w:tmpl w:val="78EEBA64"/>
    <w:lvl w:ilvl="0" w:tplc="4D80A566">
      <w:start w:val="1"/>
      <w:numFmt w:val="decimal"/>
      <w:lvlText w:val="%1."/>
      <w:lvlJc w:val="left"/>
      <w:pPr>
        <w:ind w:left="720" w:hanging="360"/>
      </w:pPr>
      <w:rPr>
        <w:b/>
        <w:bCs/>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3BC4928"/>
    <w:multiLevelType w:val="hybridMultilevel"/>
    <w:tmpl w:val="D9CE3BB4"/>
    <w:lvl w:ilvl="0" w:tplc="93780AC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74576F19"/>
    <w:multiLevelType w:val="hybridMultilevel"/>
    <w:tmpl w:val="B73E5D1A"/>
    <w:lvl w:ilvl="0" w:tplc="A0F8B0A2">
      <w:start w:val="1"/>
      <w:numFmt w:val="decimal"/>
      <w:lvlText w:val="%1."/>
      <w:lvlJc w:val="left"/>
      <w:pPr>
        <w:ind w:left="915" w:hanging="55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AB40E29"/>
    <w:multiLevelType w:val="hybridMultilevel"/>
    <w:tmpl w:val="C3F655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55861897">
    <w:abstractNumId w:val="15"/>
  </w:num>
  <w:num w:numId="2" w16cid:durableId="1950431489">
    <w:abstractNumId w:val="2"/>
  </w:num>
  <w:num w:numId="3" w16cid:durableId="564220062">
    <w:abstractNumId w:val="5"/>
  </w:num>
  <w:num w:numId="4" w16cid:durableId="1462070934">
    <w:abstractNumId w:val="13"/>
  </w:num>
  <w:num w:numId="5" w16cid:durableId="741681273">
    <w:abstractNumId w:val="9"/>
  </w:num>
  <w:num w:numId="6" w16cid:durableId="1323698942">
    <w:abstractNumId w:val="7"/>
  </w:num>
  <w:num w:numId="7" w16cid:durableId="458229410">
    <w:abstractNumId w:val="10"/>
  </w:num>
  <w:num w:numId="8" w16cid:durableId="385567553">
    <w:abstractNumId w:val="12"/>
  </w:num>
  <w:num w:numId="9" w16cid:durableId="413402440">
    <w:abstractNumId w:val="11"/>
  </w:num>
  <w:num w:numId="10" w16cid:durableId="439300108">
    <w:abstractNumId w:val="14"/>
  </w:num>
  <w:num w:numId="11" w16cid:durableId="1388870309">
    <w:abstractNumId w:val="1"/>
  </w:num>
  <w:num w:numId="12" w16cid:durableId="1959752213">
    <w:abstractNumId w:val="3"/>
  </w:num>
  <w:num w:numId="13" w16cid:durableId="2130737664">
    <w:abstractNumId w:val="4"/>
  </w:num>
  <w:num w:numId="14" w16cid:durableId="885071857">
    <w:abstractNumId w:val="6"/>
  </w:num>
  <w:num w:numId="15" w16cid:durableId="862203813">
    <w:abstractNumId w:val="8"/>
  </w:num>
  <w:num w:numId="16" w16cid:durableId="134913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0041"/>
    <w:rsid w:val="000271AC"/>
    <w:rsid w:val="0002783E"/>
    <w:rsid w:val="00041E07"/>
    <w:rsid w:val="000554F9"/>
    <w:rsid w:val="00060489"/>
    <w:rsid w:val="00072BFC"/>
    <w:rsid w:val="00092A1D"/>
    <w:rsid w:val="000A42F3"/>
    <w:rsid w:val="000D23FC"/>
    <w:rsid w:val="000D3CB6"/>
    <w:rsid w:val="000E31E0"/>
    <w:rsid w:val="000F10E9"/>
    <w:rsid w:val="001107F7"/>
    <w:rsid w:val="001126C2"/>
    <w:rsid w:val="001129B6"/>
    <w:rsid w:val="00116BF7"/>
    <w:rsid w:val="00137AAC"/>
    <w:rsid w:val="00140284"/>
    <w:rsid w:val="00152B7A"/>
    <w:rsid w:val="00181E11"/>
    <w:rsid w:val="001901B6"/>
    <w:rsid w:val="001C44B4"/>
    <w:rsid w:val="001E096B"/>
    <w:rsid w:val="001E1616"/>
    <w:rsid w:val="001E5C79"/>
    <w:rsid w:val="002146B8"/>
    <w:rsid w:val="00263011"/>
    <w:rsid w:val="002633C0"/>
    <w:rsid w:val="00277719"/>
    <w:rsid w:val="00280A5A"/>
    <w:rsid w:val="00287BDF"/>
    <w:rsid w:val="002A0E98"/>
    <w:rsid w:val="002D108A"/>
    <w:rsid w:val="002D7CD9"/>
    <w:rsid w:val="00311097"/>
    <w:rsid w:val="00314CAF"/>
    <w:rsid w:val="00317737"/>
    <w:rsid w:val="003214ED"/>
    <w:rsid w:val="00321D91"/>
    <w:rsid w:val="00324E27"/>
    <w:rsid w:val="003314A2"/>
    <w:rsid w:val="00375139"/>
    <w:rsid w:val="00375C46"/>
    <w:rsid w:val="003827E1"/>
    <w:rsid w:val="00385739"/>
    <w:rsid w:val="003B21D3"/>
    <w:rsid w:val="003B44CB"/>
    <w:rsid w:val="003B4926"/>
    <w:rsid w:val="003B7F1A"/>
    <w:rsid w:val="003D5B05"/>
    <w:rsid w:val="00401C91"/>
    <w:rsid w:val="004024F5"/>
    <w:rsid w:val="00403BFC"/>
    <w:rsid w:val="004232C3"/>
    <w:rsid w:val="004310AC"/>
    <w:rsid w:val="00437455"/>
    <w:rsid w:val="0043754B"/>
    <w:rsid w:val="00467566"/>
    <w:rsid w:val="00471396"/>
    <w:rsid w:val="00474A1B"/>
    <w:rsid w:val="00481C36"/>
    <w:rsid w:val="00482EEF"/>
    <w:rsid w:val="00493936"/>
    <w:rsid w:val="004B5438"/>
    <w:rsid w:val="004C63BD"/>
    <w:rsid w:val="004C7D4E"/>
    <w:rsid w:val="004D361D"/>
    <w:rsid w:val="004E6171"/>
    <w:rsid w:val="0050124E"/>
    <w:rsid w:val="005040D3"/>
    <w:rsid w:val="00504FFB"/>
    <w:rsid w:val="005160AE"/>
    <w:rsid w:val="00573C90"/>
    <w:rsid w:val="0057412D"/>
    <w:rsid w:val="00577A12"/>
    <w:rsid w:val="00583012"/>
    <w:rsid w:val="00585BDC"/>
    <w:rsid w:val="00590950"/>
    <w:rsid w:val="00595FD0"/>
    <w:rsid w:val="005C3F27"/>
    <w:rsid w:val="005D0A67"/>
    <w:rsid w:val="005E4F8E"/>
    <w:rsid w:val="005F61D3"/>
    <w:rsid w:val="006056E7"/>
    <w:rsid w:val="006148C5"/>
    <w:rsid w:val="00616A37"/>
    <w:rsid w:val="0062600D"/>
    <w:rsid w:val="006361E3"/>
    <w:rsid w:val="00641171"/>
    <w:rsid w:val="00644FB4"/>
    <w:rsid w:val="006540FD"/>
    <w:rsid w:val="006764F0"/>
    <w:rsid w:val="00694306"/>
    <w:rsid w:val="006A1563"/>
    <w:rsid w:val="006B0A98"/>
    <w:rsid w:val="006B5495"/>
    <w:rsid w:val="006C63BB"/>
    <w:rsid w:val="006D0E2D"/>
    <w:rsid w:val="006F0CAA"/>
    <w:rsid w:val="006F721F"/>
    <w:rsid w:val="007312BF"/>
    <w:rsid w:val="0073293F"/>
    <w:rsid w:val="00761B63"/>
    <w:rsid w:val="00784FD3"/>
    <w:rsid w:val="007A1225"/>
    <w:rsid w:val="007A4DDD"/>
    <w:rsid w:val="007B628A"/>
    <w:rsid w:val="007C1598"/>
    <w:rsid w:val="007C37D7"/>
    <w:rsid w:val="007D2E12"/>
    <w:rsid w:val="007E6C8B"/>
    <w:rsid w:val="007F0C5B"/>
    <w:rsid w:val="007F78AF"/>
    <w:rsid w:val="0081711B"/>
    <w:rsid w:val="00840A20"/>
    <w:rsid w:val="00872432"/>
    <w:rsid w:val="00880DB4"/>
    <w:rsid w:val="008937B5"/>
    <w:rsid w:val="008B59F4"/>
    <w:rsid w:val="008B5F8F"/>
    <w:rsid w:val="008B61E5"/>
    <w:rsid w:val="008B685D"/>
    <w:rsid w:val="008E249B"/>
    <w:rsid w:val="008F20B9"/>
    <w:rsid w:val="008F3BEA"/>
    <w:rsid w:val="008F6B57"/>
    <w:rsid w:val="00900CFD"/>
    <w:rsid w:val="009105C1"/>
    <w:rsid w:val="009233DD"/>
    <w:rsid w:val="00924B37"/>
    <w:rsid w:val="00933261"/>
    <w:rsid w:val="00937455"/>
    <w:rsid w:val="009456CB"/>
    <w:rsid w:val="00951B5D"/>
    <w:rsid w:val="009520F8"/>
    <w:rsid w:val="0095378E"/>
    <w:rsid w:val="00972EDE"/>
    <w:rsid w:val="00976F3D"/>
    <w:rsid w:val="009820E4"/>
    <w:rsid w:val="00987619"/>
    <w:rsid w:val="00992368"/>
    <w:rsid w:val="00996B7A"/>
    <w:rsid w:val="009A06ED"/>
    <w:rsid w:val="00A03901"/>
    <w:rsid w:val="00A03D64"/>
    <w:rsid w:val="00A04A10"/>
    <w:rsid w:val="00A12E95"/>
    <w:rsid w:val="00A83AC8"/>
    <w:rsid w:val="00A877D3"/>
    <w:rsid w:val="00A87F53"/>
    <w:rsid w:val="00AE4D03"/>
    <w:rsid w:val="00B024D2"/>
    <w:rsid w:val="00B2787D"/>
    <w:rsid w:val="00B42369"/>
    <w:rsid w:val="00B43EC2"/>
    <w:rsid w:val="00B455CB"/>
    <w:rsid w:val="00B90E05"/>
    <w:rsid w:val="00B95192"/>
    <w:rsid w:val="00BA0472"/>
    <w:rsid w:val="00BA1B11"/>
    <w:rsid w:val="00BA1E5F"/>
    <w:rsid w:val="00BF573F"/>
    <w:rsid w:val="00BF634A"/>
    <w:rsid w:val="00C4008D"/>
    <w:rsid w:val="00C470EF"/>
    <w:rsid w:val="00C75366"/>
    <w:rsid w:val="00C82CA9"/>
    <w:rsid w:val="00CA0659"/>
    <w:rsid w:val="00CD0A8A"/>
    <w:rsid w:val="00CD4340"/>
    <w:rsid w:val="00CE2577"/>
    <w:rsid w:val="00D078BE"/>
    <w:rsid w:val="00D33414"/>
    <w:rsid w:val="00D35F0D"/>
    <w:rsid w:val="00D40BEB"/>
    <w:rsid w:val="00D641AF"/>
    <w:rsid w:val="00D86289"/>
    <w:rsid w:val="00DD6A64"/>
    <w:rsid w:val="00DD6B05"/>
    <w:rsid w:val="00DE5BEB"/>
    <w:rsid w:val="00E00BCA"/>
    <w:rsid w:val="00E343F9"/>
    <w:rsid w:val="00E40603"/>
    <w:rsid w:val="00E4235D"/>
    <w:rsid w:val="00E50D3A"/>
    <w:rsid w:val="00E541C2"/>
    <w:rsid w:val="00E7033F"/>
    <w:rsid w:val="00E802BC"/>
    <w:rsid w:val="00E86C92"/>
    <w:rsid w:val="00EB21AB"/>
    <w:rsid w:val="00EB5FFB"/>
    <w:rsid w:val="00EC7641"/>
    <w:rsid w:val="00ED0D75"/>
    <w:rsid w:val="00EE590A"/>
    <w:rsid w:val="00EE687D"/>
    <w:rsid w:val="00EF65A7"/>
    <w:rsid w:val="00EF72A8"/>
    <w:rsid w:val="00F34030"/>
    <w:rsid w:val="00F41CCD"/>
    <w:rsid w:val="00F62D63"/>
    <w:rsid w:val="00F6326A"/>
    <w:rsid w:val="00F67EF8"/>
    <w:rsid w:val="00F73943"/>
    <w:rsid w:val="00F800B4"/>
    <w:rsid w:val="00F80FE2"/>
    <w:rsid w:val="00F856C2"/>
    <w:rsid w:val="00F90650"/>
    <w:rsid w:val="00FC01A7"/>
    <w:rsid w:val="00FD0FD5"/>
    <w:rsid w:val="00FD53B3"/>
    <w:rsid w:val="00FD5BA0"/>
    <w:rsid w:val="00FF6F8D"/>
    <w:rsid w:val="00FF7D2F"/>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F8"/>
  </w:style>
  <w:style w:type="paragraph" w:styleId="Ttulo1">
    <w:name w:val="heading 1"/>
    <w:basedOn w:val="Normal"/>
    <w:link w:val="Ttulo1Car"/>
    <w:uiPriority w:val="9"/>
    <w:qFormat/>
    <w:rsid w:val="00F80FE2"/>
    <w:pPr>
      <w:widowControl w:val="0"/>
      <w:numPr>
        <w:numId w:val="14"/>
      </w:numPr>
      <w:autoSpaceDE w:val="0"/>
      <w:autoSpaceDN w:val="0"/>
      <w:spacing w:line="360" w:lineRule="auto"/>
      <w:jc w:val="center"/>
      <w:outlineLvl w:val="0"/>
    </w:pPr>
    <w:rPr>
      <w:rFonts w:ascii="Arial" w:eastAsia="Calibri" w:hAnsi="Arial" w:cs="Calibri"/>
      <w:b/>
      <w:bCs/>
      <w:sz w:val="22"/>
      <w:szCs w:val="21"/>
      <w:lang w:val="es-ES"/>
    </w:rPr>
  </w:style>
  <w:style w:type="paragraph" w:styleId="Ttulo2">
    <w:name w:val="heading 2"/>
    <w:basedOn w:val="Normal"/>
    <w:next w:val="Normal"/>
    <w:link w:val="Ttulo2Car"/>
    <w:uiPriority w:val="9"/>
    <w:unhideWhenUsed/>
    <w:qFormat/>
    <w:rsid w:val="00F80FE2"/>
    <w:pPr>
      <w:keepNext/>
      <w:keepLines/>
      <w:widowControl w:val="0"/>
      <w:numPr>
        <w:ilvl w:val="1"/>
        <w:numId w:val="14"/>
      </w:numPr>
      <w:autoSpaceDE w:val="0"/>
      <w:autoSpaceDN w:val="0"/>
      <w:spacing w:before="40" w:line="360" w:lineRule="auto"/>
      <w:jc w:val="both"/>
      <w:outlineLvl w:val="1"/>
    </w:pPr>
    <w:rPr>
      <w:rFonts w:ascii="Arial" w:eastAsiaTheme="majorEastAsia" w:hAnsi="Arial" w:cstheme="majorBidi"/>
      <w:b/>
      <w:color w:val="000000" w:themeColor="text1"/>
      <w:sz w:val="22"/>
      <w:szCs w:val="26"/>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5739"/>
    <w:pPr>
      <w:ind w:left="720"/>
      <w:contextualSpacing/>
    </w:pPr>
  </w:style>
  <w:style w:type="character" w:styleId="Refdecomentario">
    <w:name w:val="annotation reference"/>
    <w:basedOn w:val="Fuentedeprrafopredeter"/>
    <w:uiPriority w:val="99"/>
    <w:semiHidden/>
    <w:unhideWhenUsed/>
    <w:rsid w:val="00924B37"/>
    <w:rPr>
      <w:sz w:val="16"/>
      <w:szCs w:val="16"/>
    </w:rPr>
  </w:style>
  <w:style w:type="paragraph" w:styleId="Textocomentario">
    <w:name w:val="annotation text"/>
    <w:basedOn w:val="Normal"/>
    <w:link w:val="TextocomentarioCar"/>
    <w:uiPriority w:val="99"/>
    <w:unhideWhenUsed/>
    <w:rsid w:val="00924B37"/>
    <w:rPr>
      <w:sz w:val="20"/>
      <w:szCs w:val="20"/>
    </w:rPr>
  </w:style>
  <w:style w:type="character" w:customStyle="1" w:styleId="TextocomentarioCar">
    <w:name w:val="Texto comentario Car"/>
    <w:basedOn w:val="Fuentedeprrafopredeter"/>
    <w:link w:val="Textocomentario"/>
    <w:uiPriority w:val="99"/>
    <w:rsid w:val="00924B37"/>
    <w:rPr>
      <w:sz w:val="20"/>
      <w:szCs w:val="20"/>
    </w:rPr>
  </w:style>
  <w:style w:type="paragraph" w:styleId="Asuntodelcomentario">
    <w:name w:val="annotation subject"/>
    <w:basedOn w:val="Textocomentario"/>
    <w:next w:val="Textocomentario"/>
    <w:link w:val="AsuntodelcomentarioCar"/>
    <w:uiPriority w:val="99"/>
    <w:semiHidden/>
    <w:unhideWhenUsed/>
    <w:rsid w:val="00924B37"/>
    <w:rPr>
      <w:b/>
      <w:bCs/>
    </w:rPr>
  </w:style>
  <w:style w:type="character" w:customStyle="1" w:styleId="AsuntodelcomentarioCar">
    <w:name w:val="Asunto del comentario Car"/>
    <w:basedOn w:val="TextocomentarioCar"/>
    <w:link w:val="Asuntodelcomentario"/>
    <w:uiPriority w:val="99"/>
    <w:semiHidden/>
    <w:rsid w:val="00924B37"/>
    <w:rPr>
      <w:b/>
      <w:bCs/>
      <w:sz w:val="20"/>
      <w:szCs w:val="20"/>
    </w:rPr>
  </w:style>
  <w:style w:type="paragraph" w:styleId="Textodeglobo">
    <w:name w:val="Balloon Text"/>
    <w:basedOn w:val="Normal"/>
    <w:link w:val="TextodegloboCar"/>
    <w:uiPriority w:val="99"/>
    <w:semiHidden/>
    <w:unhideWhenUsed/>
    <w:rsid w:val="00D40B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0BEB"/>
    <w:rPr>
      <w:rFonts w:ascii="Segoe UI" w:hAnsi="Segoe UI" w:cs="Segoe UI"/>
      <w:sz w:val="18"/>
      <w:szCs w:val="18"/>
    </w:rPr>
  </w:style>
  <w:style w:type="paragraph" w:styleId="Revisin">
    <w:name w:val="Revision"/>
    <w:hidden/>
    <w:uiPriority w:val="99"/>
    <w:semiHidden/>
    <w:rsid w:val="00A877D3"/>
  </w:style>
  <w:style w:type="character" w:customStyle="1" w:styleId="Ttulo1Car">
    <w:name w:val="Título 1 Car"/>
    <w:basedOn w:val="Fuentedeprrafopredeter"/>
    <w:link w:val="Ttulo1"/>
    <w:uiPriority w:val="9"/>
    <w:rsid w:val="00F80FE2"/>
    <w:rPr>
      <w:rFonts w:ascii="Arial" w:eastAsia="Calibri" w:hAnsi="Arial" w:cs="Calibri"/>
      <w:b/>
      <w:bCs/>
      <w:sz w:val="22"/>
      <w:szCs w:val="21"/>
      <w:lang w:val="es-ES"/>
    </w:rPr>
  </w:style>
  <w:style w:type="character" w:customStyle="1" w:styleId="Ttulo2Car">
    <w:name w:val="Título 2 Car"/>
    <w:basedOn w:val="Fuentedeprrafopredeter"/>
    <w:link w:val="Ttulo2"/>
    <w:uiPriority w:val="9"/>
    <w:rsid w:val="00F80FE2"/>
    <w:rPr>
      <w:rFonts w:ascii="Arial" w:eastAsiaTheme="majorEastAsia" w:hAnsi="Arial" w:cstheme="majorBidi"/>
      <w:b/>
      <w:color w:val="000000" w:themeColor="text1"/>
      <w:sz w:val="22"/>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23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E8CAE-D70D-4E44-8A8E-2DB38895679F}">
  <ds:schemaRefs>
    <ds:schemaRef ds:uri="http://schemas.openxmlformats.org/officeDocument/2006/bibliography"/>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1422</Words>
  <Characters>7821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3</cp:revision>
  <cp:lastPrinted>2025-01-20T16:39:00Z</cp:lastPrinted>
  <dcterms:created xsi:type="dcterms:W3CDTF">2025-07-25T12:46:00Z</dcterms:created>
  <dcterms:modified xsi:type="dcterms:W3CDTF">2025-07-25T13:32:00Z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2025-07-25T12:46:15Z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a5b979a0-00fa-4107-aae5-06077eefad76</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