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3BDB9F95"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1</w:t>
            </w:r>
            <w:r w:rsidR="00043011">
              <w:rPr>
                <w:rFonts w:ascii="Century Gothic" w:hAnsi="Century Gothic"/>
                <w:sz w:val="22"/>
                <w:szCs w:val="22"/>
              </w:rPr>
              <w:t>8</w:t>
            </w:r>
            <w:r w:rsidR="0014779A" w:rsidRPr="0014779A">
              <w:rPr>
                <w:rFonts w:ascii="Century Gothic" w:hAnsi="Century Gothic"/>
                <w:sz w:val="22"/>
                <w:szCs w:val="22"/>
              </w:rPr>
              <w:t>/0</w:t>
            </w:r>
            <w:r w:rsidR="00CF3BCC">
              <w:rPr>
                <w:rFonts w:ascii="Century Gothic" w:hAnsi="Century Gothic"/>
                <w:sz w:val="22"/>
                <w:szCs w:val="22"/>
              </w:rPr>
              <w:t>7</w:t>
            </w:r>
            <w:r w:rsidR="0014779A" w:rsidRPr="0014779A">
              <w:rPr>
                <w:rFonts w:ascii="Century Gothic" w:hAnsi="Century Gothic"/>
                <w:sz w:val="22"/>
                <w:szCs w:val="22"/>
              </w:rPr>
              <w:t xml:space="preserve">/2025                                       </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D94E8C5"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3D0866C3" w:rsidR="00F67EF8" w:rsidRPr="00BA1E5F" w:rsidRDefault="00CC387B" w:rsidP="00F67EF8">
            <w:pPr>
              <w:spacing w:line="276" w:lineRule="auto"/>
              <w:jc w:val="both"/>
              <w:rPr>
                <w:rFonts w:ascii="Century Gothic" w:hAnsi="Century Gothic"/>
                <w:sz w:val="22"/>
                <w:szCs w:val="22"/>
              </w:rPr>
            </w:pPr>
            <w:r>
              <w:rPr>
                <w:rFonts w:ascii="Century Gothic" w:hAnsi="Century Gothic"/>
                <w:sz w:val="22"/>
                <w:szCs w:val="22"/>
              </w:rPr>
              <w:t>LA EQUIDAD SEGUROS GENERALES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3978EF2" w:rsidR="00F67EF8" w:rsidRPr="008142B2" w:rsidRDefault="006B5293" w:rsidP="00F67EF8">
            <w:pPr>
              <w:spacing w:line="276" w:lineRule="auto"/>
              <w:jc w:val="both"/>
              <w:rPr>
                <w:rFonts w:ascii="Century Gothic" w:hAnsi="Century Gothic"/>
                <w:sz w:val="22"/>
                <w:szCs w:val="22"/>
              </w:rPr>
            </w:pPr>
            <w:r w:rsidRPr="008142B2">
              <w:rPr>
                <w:rFonts w:ascii="Century Gothic" w:hAnsi="Century Gothic"/>
                <w:sz w:val="22"/>
                <w:szCs w:val="22"/>
              </w:rPr>
              <w:t>10770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98BF2BB"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JUZGADO 04 CIVIL DEL CIRCUITO</w:t>
            </w:r>
            <w:r w:rsidR="00CF3BCC">
              <w:rPr>
                <w:rFonts w:ascii="Century Gothic" w:hAnsi="Century Gothic"/>
                <w:sz w:val="22"/>
                <w:szCs w:val="22"/>
              </w:rPr>
              <w:t xml:space="preserve"> DE POPAYÁN</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9DC58B9" w:rsidR="00F67EF8" w:rsidRPr="00BA1E5F" w:rsidRDefault="006B5293" w:rsidP="00F67EF8">
            <w:pPr>
              <w:spacing w:line="276" w:lineRule="auto"/>
              <w:jc w:val="both"/>
              <w:rPr>
                <w:rFonts w:ascii="Century Gothic" w:hAnsi="Century Gothic"/>
                <w:sz w:val="22"/>
                <w:szCs w:val="22"/>
              </w:rPr>
            </w:pPr>
            <w:r>
              <w:rPr>
                <w:rFonts w:ascii="Century Gothic" w:hAnsi="Century Gothic"/>
                <w:sz w:val="22"/>
                <w:szCs w:val="22"/>
              </w:rPr>
              <w:t>POPAYÁN</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41E8C7E2" w:rsidR="00992368" w:rsidRPr="00D64F4E" w:rsidRDefault="00000000" w:rsidP="00F67EF8">
            <w:pPr>
              <w:spacing w:line="276" w:lineRule="auto"/>
              <w:jc w:val="both"/>
              <w:rPr>
                <w:rFonts w:ascii="Century Gothic" w:hAnsi="Century Gothic"/>
                <w:sz w:val="22"/>
                <w:szCs w:val="22"/>
                <w:lang w:val="es-CO"/>
              </w:rPr>
            </w:pPr>
            <w:sdt>
              <w:sdtPr>
                <w:rPr>
                  <w:rStyle w:val="Estilo3"/>
                  <w:b w:val="0"/>
                  <w:color w:val="000000" w:themeColor="text1"/>
                </w:rPr>
                <w:alias w:val="RADICADO"/>
                <w:tag w:val="RADICADO"/>
                <w:id w:val="-31735373"/>
                <w:placeholder>
                  <w:docPart w:val="4832238D0B247142A9DF8FFA7AEEE864"/>
                </w:placeholder>
                <w:text/>
              </w:sdtPr>
              <w:sdtContent>
                <w:r w:rsidR="006B5293" w:rsidRPr="00D61D48">
                  <w:rPr>
                    <w:rStyle w:val="Estilo3"/>
                    <w:b w:val="0"/>
                    <w:color w:val="000000" w:themeColor="text1"/>
                  </w:rPr>
                  <w:t>190013103004-2024-00210-00</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1D2A987E" w14:textId="77777777" w:rsidR="00992368" w:rsidRDefault="006B5293" w:rsidP="00F67EF8">
            <w:pPr>
              <w:spacing w:line="276" w:lineRule="auto"/>
              <w:jc w:val="both"/>
              <w:rPr>
                <w:rFonts w:ascii="Century Gothic" w:hAnsi="Century Gothic"/>
                <w:sz w:val="22"/>
                <w:szCs w:val="22"/>
              </w:rPr>
            </w:pPr>
            <w:r>
              <w:rPr>
                <w:rFonts w:ascii="Century Gothic" w:hAnsi="Century Gothic"/>
                <w:sz w:val="22"/>
                <w:szCs w:val="22"/>
              </w:rPr>
              <w:t>10</w:t>
            </w:r>
            <w:r w:rsidR="0014779A" w:rsidRPr="0014779A">
              <w:rPr>
                <w:rFonts w:ascii="Century Gothic" w:hAnsi="Century Gothic"/>
                <w:sz w:val="22"/>
                <w:szCs w:val="22"/>
              </w:rPr>
              <w:t>/1</w:t>
            </w:r>
            <w:r>
              <w:rPr>
                <w:rFonts w:ascii="Century Gothic" w:hAnsi="Century Gothic"/>
                <w:sz w:val="22"/>
                <w:szCs w:val="22"/>
              </w:rPr>
              <w:t>2</w:t>
            </w:r>
            <w:r w:rsidR="0014779A" w:rsidRPr="0014779A">
              <w:rPr>
                <w:rFonts w:ascii="Century Gothic" w:hAnsi="Century Gothic"/>
                <w:sz w:val="22"/>
                <w:szCs w:val="22"/>
              </w:rPr>
              <w:t>/202</w:t>
            </w:r>
            <w:r>
              <w:rPr>
                <w:rFonts w:ascii="Century Gothic" w:hAnsi="Century Gothic"/>
                <w:sz w:val="22"/>
                <w:szCs w:val="22"/>
              </w:rPr>
              <w:t>4</w:t>
            </w:r>
            <w:r w:rsidR="00CF3BCC">
              <w:rPr>
                <w:rFonts w:ascii="Century Gothic" w:hAnsi="Century Gothic"/>
                <w:sz w:val="22"/>
                <w:szCs w:val="22"/>
              </w:rPr>
              <w:t xml:space="preserve"> (Demanda)</w:t>
            </w:r>
          </w:p>
          <w:p w14:paraId="64AC88EB" w14:textId="22346659" w:rsidR="00CF3BCC" w:rsidRPr="00BA1E5F" w:rsidRDefault="00CF3BCC" w:rsidP="00F67EF8">
            <w:pPr>
              <w:spacing w:line="276" w:lineRule="auto"/>
              <w:jc w:val="both"/>
              <w:rPr>
                <w:rFonts w:ascii="Century Gothic" w:hAnsi="Century Gothic"/>
                <w:sz w:val="22"/>
                <w:szCs w:val="22"/>
              </w:rPr>
            </w:pPr>
            <w:r>
              <w:rPr>
                <w:rFonts w:ascii="Century Gothic" w:hAnsi="Century Gothic"/>
                <w:sz w:val="22"/>
                <w:szCs w:val="22"/>
              </w:rPr>
              <w:t>12/06/2025 (Admisión llamamiento en garantía)</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641E4C84" w14:textId="77777777" w:rsidR="00CF3BCC" w:rsidRDefault="006B5293" w:rsidP="00F67EF8">
            <w:pPr>
              <w:spacing w:line="276" w:lineRule="auto"/>
              <w:jc w:val="both"/>
              <w:rPr>
                <w:rFonts w:ascii="Century Gothic" w:hAnsi="Century Gothic"/>
                <w:sz w:val="22"/>
                <w:szCs w:val="22"/>
              </w:rPr>
            </w:pPr>
            <w:r>
              <w:rPr>
                <w:rFonts w:ascii="Century Gothic" w:hAnsi="Century Gothic"/>
                <w:sz w:val="22"/>
                <w:szCs w:val="22"/>
              </w:rPr>
              <w:t>29</w:t>
            </w:r>
            <w:r w:rsidR="00DA654C">
              <w:rPr>
                <w:rFonts w:ascii="Century Gothic" w:hAnsi="Century Gothic"/>
                <w:sz w:val="22"/>
                <w:szCs w:val="22"/>
              </w:rPr>
              <w:t>/01/2025</w:t>
            </w:r>
            <w:r w:rsidR="00CF3BCC">
              <w:rPr>
                <w:rFonts w:ascii="Century Gothic" w:hAnsi="Century Gothic"/>
                <w:sz w:val="22"/>
                <w:szCs w:val="22"/>
              </w:rPr>
              <w:t xml:space="preserve"> (Demanda)</w:t>
            </w:r>
          </w:p>
          <w:p w14:paraId="41E82979" w14:textId="369313E1" w:rsidR="00CF3BCC" w:rsidRPr="00BA1E5F" w:rsidRDefault="00CF3BCC" w:rsidP="00F67EF8">
            <w:pPr>
              <w:spacing w:line="276" w:lineRule="auto"/>
              <w:jc w:val="both"/>
              <w:rPr>
                <w:rFonts w:ascii="Century Gothic" w:hAnsi="Century Gothic"/>
                <w:sz w:val="22"/>
                <w:szCs w:val="22"/>
              </w:rPr>
            </w:pPr>
            <w:r>
              <w:rPr>
                <w:rFonts w:ascii="Century Gothic" w:hAnsi="Century Gothic"/>
                <w:sz w:val="22"/>
                <w:szCs w:val="22"/>
              </w:rPr>
              <w:t>14/07/2025 (Llamamiento en garantía)</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6B5293">
            <w:pPr>
              <w:spacing w:line="276" w:lineRule="auto"/>
              <w:rPr>
                <w:rFonts w:ascii="Century Gothic" w:hAnsi="Century Gothic"/>
                <w:sz w:val="22"/>
                <w:szCs w:val="22"/>
              </w:rPr>
            </w:pPr>
          </w:p>
          <w:p w14:paraId="687A60F3" w14:textId="234FCA25" w:rsidR="0014779A" w:rsidRPr="0014779A" w:rsidRDefault="006B5293" w:rsidP="00D41C8E">
            <w:pPr>
              <w:pStyle w:val="Prrafodelista"/>
              <w:numPr>
                <w:ilvl w:val="0"/>
                <w:numId w:val="1"/>
              </w:numPr>
              <w:spacing w:line="276" w:lineRule="auto"/>
              <w:jc w:val="both"/>
              <w:rPr>
                <w:rFonts w:ascii="Century Gothic" w:hAnsi="Century Gothic"/>
                <w:sz w:val="22"/>
                <w:szCs w:val="22"/>
              </w:rPr>
            </w:pPr>
            <w:r w:rsidRPr="006B5293">
              <w:rPr>
                <w:rFonts w:ascii="Century Gothic" w:hAnsi="Century Gothic"/>
                <w:sz w:val="22"/>
                <w:szCs w:val="22"/>
                <w:lang w:val="es-CO"/>
              </w:rPr>
              <w:t xml:space="preserve">El 10 de marzo de 2017 ocurrió un accidente de tránsito en la carrera 9 con calle 2 norte, frente al colegio INEM, en el que estuvieron involucrados un vehículo con placas SHT-462, conducido por el señor Fredy </w:t>
            </w:r>
            <w:proofErr w:type="spellStart"/>
            <w:r w:rsidRPr="006B5293">
              <w:rPr>
                <w:rFonts w:ascii="Century Gothic" w:hAnsi="Century Gothic"/>
                <w:sz w:val="22"/>
                <w:szCs w:val="22"/>
                <w:lang w:val="es-CO"/>
              </w:rPr>
              <w:t>Naviel</w:t>
            </w:r>
            <w:proofErr w:type="spellEnd"/>
            <w:r w:rsidRPr="006B5293">
              <w:rPr>
                <w:rFonts w:ascii="Century Gothic" w:hAnsi="Century Gothic"/>
                <w:sz w:val="22"/>
                <w:szCs w:val="22"/>
                <w:lang w:val="es-CO"/>
              </w:rPr>
              <w:t xml:space="preserve"> Muñoz y el señor Santiago Betancourt Muñoz, quién se desplazaba como peatón</w:t>
            </w:r>
            <w:r w:rsidR="0014779A" w:rsidRPr="0014779A">
              <w:rPr>
                <w:rFonts w:ascii="Century Gothic" w:hAnsi="Century Gothic"/>
                <w:sz w:val="22"/>
                <w:szCs w:val="22"/>
                <w:lang w:val="es-CO"/>
              </w:rPr>
              <w:t xml:space="preserve">. </w:t>
            </w:r>
          </w:p>
          <w:p w14:paraId="50A7BAAB" w14:textId="1BD69A73" w:rsidR="0014779A" w:rsidRPr="0014779A" w:rsidRDefault="006B5293" w:rsidP="00D41C8E">
            <w:pPr>
              <w:pStyle w:val="Prrafodelista"/>
              <w:numPr>
                <w:ilvl w:val="0"/>
                <w:numId w:val="1"/>
              </w:numPr>
              <w:spacing w:line="276" w:lineRule="auto"/>
              <w:jc w:val="both"/>
              <w:rPr>
                <w:rFonts w:ascii="Century Gothic" w:hAnsi="Century Gothic"/>
                <w:sz w:val="22"/>
                <w:szCs w:val="22"/>
              </w:rPr>
            </w:pPr>
            <w:r w:rsidRPr="006B5293">
              <w:rPr>
                <w:rFonts w:ascii="Century Gothic" w:hAnsi="Century Gothic"/>
                <w:sz w:val="22"/>
                <w:szCs w:val="22"/>
                <w:lang w:val="es-CO"/>
              </w:rPr>
              <w:t xml:space="preserve">Según lo alegado por la parte demandante, el señor </w:t>
            </w:r>
            <w:proofErr w:type="spellStart"/>
            <w:r w:rsidRPr="006B5293">
              <w:rPr>
                <w:rFonts w:ascii="Century Gothic" w:hAnsi="Century Gothic"/>
                <w:sz w:val="22"/>
                <w:szCs w:val="22"/>
                <w:lang w:val="es-CO"/>
              </w:rPr>
              <w:t>Naviel</w:t>
            </w:r>
            <w:proofErr w:type="spellEnd"/>
            <w:r w:rsidRPr="006B5293">
              <w:rPr>
                <w:rFonts w:ascii="Century Gothic" w:hAnsi="Century Gothic"/>
                <w:sz w:val="22"/>
                <w:szCs w:val="22"/>
                <w:lang w:val="es-CO"/>
              </w:rPr>
              <w:t xml:space="preserve"> Muñoz no había respetado una señal de tránsito, ni respetó la presencia de transeúntes. El Informe Policial de Accidentes de Tránsito (IPAT) codificó la hipótesis 122 " Desobedecer señales o normas de tránsito" en cabeza del vehículo SHT-462 y la hipótesis 409 "Cruzar sin observar" en cabeza del peatón</w:t>
            </w:r>
            <w:r w:rsidR="0014779A" w:rsidRPr="0014779A">
              <w:rPr>
                <w:rFonts w:ascii="Century Gothic" w:hAnsi="Century Gothic"/>
                <w:sz w:val="22"/>
                <w:szCs w:val="22"/>
                <w:lang w:val="es-CO"/>
              </w:rPr>
              <w:t xml:space="preserve">. </w:t>
            </w:r>
          </w:p>
          <w:p w14:paraId="4BF19116" w14:textId="643FA62A" w:rsidR="00B2787D" w:rsidRPr="002B58BA" w:rsidRDefault="006B5293" w:rsidP="00D41C8E">
            <w:pPr>
              <w:pStyle w:val="Prrafodelista"/>
              <w:numPr>
                <w:ilvl w:val="0"/>
                <w:numId w:val="1"/>
              </w:numPr>
              <w:spacing w:line="276" w:lineRule="auto"/>
              <w:jc w:val="both"/>
              <w:rPr>
                <w:rFonts w:ascii="Century Gothic" w:hAnsi="Century Gothic"/>
                <w:sz w:val="22"/>
                <w:szCs w:val="22"/>
              </w:rPr>
            </w:pPr>
            <w:r w:rsidRPr="006B5293">
              <w:rPr>
                <w:rFonts w:ascii="Century Gothic" w:hAnsi="Century Gothic"/>
                <w:sz w:val="22"/>
                <w:szCs w:val="22"/>
                <w:lang w:val="es-CO"/>
              </w:rPr>
              <w:t>En razón a sus lesiones el señor Santiago Betancourt Falleció el 19 de abril de 2017</w:t>
            </w:r>
            <w:r w:rsidR="002B58BA">
              <w:rPr>
                <w:rFonts w:ascii="Century Gothic" w:hAnsi="Century Gothic"/>
                <w:sz w:val="22"/>
                <w:szCs w:val="22"/>
                <w:lang w:val="es-CO"/>
              </w:rPr>
              <w:t xml:space="preserve"> en el centro </w:t>
            </w:r>
            <w:r w:rsidR="00302408">
              <w:rPr>
                <w:rFonts w:ascii="Century Gothic" w:hAnsi="Century Gothic"/>
                <w:sz w:val="22"/>
                <w:szCs w:val="22"/>
                <w:lang w:val="es-CO"/>
              </w:rPr>
              <w:t>médico</w:t>
            </w:r>
            <w:r w:rsidR="002B58BA">
              <w:rPr>
                <w:rFonts w:ascii="Century Gothic" w:hAnsi="Century Gothic"/>
                <w:sz w:val="22"/>
                <w:szCs w:val="22"/>
                <w:lang w:val="es-CO"/>
              </w:rPr>
              <w:t xml:space="preserve"> donde fue atendido. </w:t>
            </w:r>
          </w:p>
          <w:p w14:paraId="1ABCFAE6" w14:textId="77777777" w:rsidR="002B58BA" w:rsidRDefault="002B58BA"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El vehículo de placa SHT462 conducido por el señor Fredy </w:t>
            </w:r>
            <w:proofErr w:type="spellStart"/>
            <w:r>
              <w:rPr>
                <w:rFonts w:ascii="Century Gothic" w:hAnsi="Century Gothic"/>
                <w:sz w:val="22"/>
                <w:szCs w:val="22"/>
              </w:rPr>
              <w:t>Naviel</w:t>
            </w:r>
            <w:proofErr w:type="spellEnd"/>
            <w:r>
              <w:rPr>
                <w:rFonts w:ascii="Century Gothic" w:hAnsi="Century Gothic"/>
                <w:sz w:val="22"/>
                <w:szCs w:val="22"/>
              </w:rPr>
              <w:t xml:space="preserve"> Muñoz contaba con póliza de Responsabilidad Civil Extracontractual emitida por la Equidad Seguros Generales O.C. No. AA003687, la cual registra como tomador a la compañía Cooperativa Transportadores de Timbío </w:t>
            </w:r>
            <w:proofErr w:type="spellStart"/>
            <w:r>
              <w:rPr>
                <w:rFonts w:ascii="Century Gothic" w:hAnsi="Century Gothic"/>
                <w:sz w:val="22"/>
                <w:szCs w:val="22"/>
              </w:rPr>
              <w:t>ltda</w:t>
            </w:r>
            <w:proofErr w:type="spellEnd"/>
            <w:r>
              <w:rPr>
                <w:rFonts w:ascii="Century Gothic" w:hAnsi="Century Gothic"/>
                <w:sz w:val="22"/>
                <w:szCs w:val="22"/>
              </w:rPr>
              <w:t xml:space="preserve"> y como asegurado al señor Rubio Pantoja Torres.</w:t>
            </w:r>
          </w:p>
          <w:p w14:paraId="1A528242" w14:textId="58ED1684" w:rsidR="00BD2345" w:rsidRDefault="002B58BA"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 Los demandantes </w:t>
            </w:r>
            <w:r w:rsidR="00BD2345">
              <w:rPr>
                <w:rFonts w:ascii="Century Gothic" w:hAnsi="Century Gothic"/>
                <w:sz w:val="22"/>
                <w:szCs w:val="22"/>
              </w:rPr>
              <w:t xml:space="preserve">señalan que el señor Santiago Betancourt durante su vida </w:t>
            </w:r>
            <w:r w:rsidR="00302408">
              <w:rPr>
                <w:rFonts w:ascii="Century Gothic" w:hAnsi="Century Gothic"/>
                <w:sz w:val="22"/>
                <w:szCs w:val="22"/>
              </w:rPr>
              <w:t>tenía</w:t>
            </w:r>
            <w:r w:rsidR="00BD2345">
              <w:rPr>
                <w:rFonts w:ascii="Century Gothic" w:hAnsi="Century Gothic"/>
                <w:sz w:val="22"/>
                <w:szCs w:val="22"/>
              </w:rPr>
              <w:t xml:space="preserve"> estado civil soltero y no tuvo hijos, por lo que estaba al cuidado de sus sobrinos, los hoy demandantes quienes le brindaron cuidado permanente ante la fecha de su muerte, por lo que resaltan los perjuicios morales ocasionados con su deceso.</w:t>
            </w:r>
          </w:p>
          <w:p w14:paraId="1BCD7DEF" w14:textId="29D54EBD" w:rsidR="00BD2345" w:rsidRDefault="00BD2345"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lastRenderedPageBreak/>
              <w:t xml:space="preserve">La parte demandante demandó de forma directa pero erróneamente a la compañía La Equidad Seguros de Vida O.C alegando que fue esta compañía quien emitió la respectiva póliza de seguro No. AA003687, sin </w:t>
            </w:r>
            <w:proofErr w:type="gramStart"/>
            <w:r>
              <w:rPr>
                <w:rFonts w:ascii="Century Gothic" w:hAnsi="Century Gothic"/>
                <w:sz w:val="22"/>
                <w:szCs w:val="22"/>
              </w:rPr>
              <w:t>embargo</w:t>
            </w:r>
            <w:proofErr w:type="gramEnd"/>
            <w:r>
              <w:rPr>
                <w:rFonts w:ascii="Century Gothic" w:hAnsi="Century Gothic"/>
                <w:sz w:val="22"/>
                <w:szCs w:val="22"/>
              </w:rPr>
              <w:t xml:space="preserve"> la compañía que realmente emite la póliza es La Equidad Seguros Generales O.C.</w:t>
            </w:r>
          </w:p>
          <w:p w14:paraId="73778153" w14:textId="084320BF" w:rsidR="002B58BA" w:rsidRPr="006B5293" w:rsidRDefault="00BD2345" w:rsidP="00D41C8E">
            <w:pPr>
              <w:pStyle w:val="Prrafodelista"/>
              <w:numPr>
                <w:ilvl w:val="0"/>
                <w:numId w:val="1"/>
              </w:numPr>
              <w:spacing w:line="276" w:lineRule="auto"/>
              <w:jc w:val="both"/>
              <w:rPr>
                <w:rFonts w:ascii="Century Gothic" w:hAnsi="Century Gothic"/>
                <w:sz w:val="22"/>
                <w:szCs w:val="22"/>
              </w:rPr>
            </w:pPr>
            <w:r>
              <w:rPr>
                <w:rFonts w:ascii="Century Gothic" w:hAnsi="Century Gothic"/>
                <w:sz w:val="22"/>
                <w:szCs w:val="22"/>
              </w:rPr>
              <w:t xml:space="preserve">La empresa Cooperativa Transportadora de </w:t>
            </w:r>
            <w:proofErr w:type="spellStart"/>
            <w:r>
              <w:rPr>
                <w:rFonts w:ascii="Century Gothic" w:hAnsi="Century Gothic"/>
                <w:sz w:val="22"/>
                <w:szCs w:val="22"/>
              </w:rPr>
              <w:t>Timbio</w:t>
            </w:r>
            <w:proofErr w:type="spellEnd"/>
            <w:r>
              <w:rPr>
                <w:rFonts w:ascii="Century Gothic" w:hAnsi="Century Gothic"/>
                <w:sz w:val="22"/>
                <w:szCs w:val="22"/>
              </w:rPr>
              <w:t xml:space="preserve"> formuló llamamiento en garantía a la Equidad Seguros Generale O.C. referenciando la Póliza RCE No. AA003687 y la Póliza RC. No. AA003688. </w:t>
            </w:r>
          </w:p>
          <w:p w14:paraId="285181BA" w14:textId="7B6F1F2E" w:rsidR="006B5293" w:rsidRPr="0014779A" w:rsidRDefault="006B5293" w:rsidP="006B5293">
            <w:pPr>
              <w:pStyle w:val="Prrafodelista"/>
              <w:spacing w:line="276" w:lineRule="auto"/>
              <w:jc w:val="both"/>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72C9E249" w14:textId="7CF5A250" w:rsidR="0051185E" w:rsidRDefault="0051185E" w:rsidP="006B5293">
            <w:pPr>
              <w:spacing w:line="276" w:lineRule="auto"/>
              <w:rPr>
                <w:rFonts w:ascii="Century Gothic" w:hAnsi="Century Gothic"/>
                <w:sz w:val="22"/>
                <w:szCs w:val="22"/>
                <w:lang w:val="es-CO"/>
              </w:rPr>
            </w:pPr>
            <w:r>
              <w:rPr>
                <w:rFonts w:ascii="Century Gothic" w:hAnsi="Century Gothic"/>
                <w:sz w:val="22"/>
                <w:szCs w:val="22"/>
                <w:lang w:val="es-CO"/>
              </w:rPr>
              <w:t xml:space="preserve">DE LA DEMANDA: </w:t>
            </w:r>
          </w:p>
          <w:p w14:paraId="09DD4F0B" w14:textId="36AF0119" w:rsidR="006B5293" w:rsidRDefault="006B5293" w:rsidP="006B5293">
            <w:pPr>
              <w:spacing w:line="276" w:lineRule="auto"/>
              <w:rPr>
                <w:rFonts w:ascii="Century Gothic" w:hAnsi="Century Gothic"/>
                <w:sz w:val="22"/>
                <w:szCs w:val="22"/>
                <w:lang w:val="es-CO"/>
              </w:rPr>
            </w:pPr>
            <w:r w:rsidRPr="006B5293">
              <w:rPr>
                <w:rFonts w:ascii="Century Gothic" w:hAnsi="Century Gothic"/>
                <w:sz w:val="22"/>
                <w:szCs w:val="22"/>
                <w:lang w:val="es-CO"/>
              </w:rPr>
              <w:t>$</w:t>
            </w:r>
            <w:r w:rsidR="002F334D">
              <w:rPr>
                <w:rFonts w:ascii="Century Gothic" w:hAnsi="Century Gothic"/>
                <w:sz w:val="22"/>
                <w:szCs w:val="22"/>
                <w:lang w:val="es-CO"/>
              </w:rPr>
              <w:t>1.282.630.000</w:t>
            </w:r>
            <w:r w:rsidRPr="006B5293">
              <w:rPr>
                <w:rFonts w:ascii="Century Gothic" w:hAnsi="Century Gothic"/>
                <w:sz w:val="22"/>
                <w:szCs w:val="22"/>
                <w:lang w:val="es-CO"/>
              </w:rPr>
              <w:t xml:space="preserve"> que se discriminan de la siguiente manera:  </w:t>
            </w:r>
          </w:p>
          <w:p w14:paraId="21BB857D" w14:textId="77777777" w:rsidR="006B5293" w:rsidRDefault="006B5293" w:rsidP="006B5293">
            <w:pPr>
              <w:spacing w:line="276" w:lineRule="auto"/>
              <w:rPr>
                <w:rFonts w:ascii="Century Gothic" w:hAnsi="Century Gothic"/>
                <w:sz w:val="22"/>
                <w:szCs w:val="22"/>
                <w:lang w:val="es-CO"/>
              </w:rPr>
            </w:pPr>
          </w:p>
          <w:p w14:paraId="2B28CA42" w14:textId="022CA76C" w:rsidR="006B5293" w:rsidRDefault="006B5293" w:rsidP="00EA0B78">
            <w:pPr>
              <w:spacing w:line="276" w:lineRule="auto"/>
              <w:jc w:val="both"/>
              <w:rPr>
                <w:rFonts w:ascii="Century Gothic" w:hAnsi="Century Gothic"/>
                <w:sz w:val="22"/>
                <w:szCs w:val="22"/>
                <w:lang w:val="es-CO"/>
              </w:rPr>
            </w:pPr>
            <w:r w:rsidRPr="006B5293">
              <w:rPr>
                <w:rFonts w:ascii="Century Gothic" w:hAnsi="Century Gothic"/>
                <w:b/>
                <w:bCs/>
                <w:sz w:val="22"/>
                <w:szCs w:val="22"/>
                <w:lang w:val="es-CO"/>
              </w:rPr>
              <w:t>Daños Morales:</w:t>
            </w:r>
            <w:r w:rsidRPr="006B5293">
              <w:rPr>
                <w:rFonts w:ascii="Century Gothic" w:hAnsi="Century Gothic"/>
                <w:sz w:val="22"/>
                <w:szCs w:val="22"/>
                <w:lang w:val="es-CO"/>
              </w:rPr>
              <w:t xml:space="preserve"> 900 SMLM ($1.281.150.000 para 2025) divididos así: (i) Jesús Isaac Betancourt Zúñiga 100 SMLMV ($142.350.0</w:t>
            </w:r>
            <w:r w:rsidR="002F334D">
              <w:rPr>
                <w:rFonts w:ascii="Century Gothic" w:hAnsi="Century Gothic"/>
                <w:sz w:val="22"/>
                <w:szCs w:val="22"/>
                <w:lang w:val="es-CO"/>
              </w:rPr>
              <w:t>0</w:t>
            </w:r>
            <w:r w:rsidRPr="006B5293">
              <w:rPr>
                <w:rFonts w:ascii="Century Gothic" w:hAnsi="Century Gothic"/>
                <w:sz w:val="22"/>
                <w:szCs w:val="22"/>
                <w:lang w:val="es-CO"/>
              </w:rPr>
              <w:t>0 para 2025); (</w:t>
            </w:r>
            <w:proofErr w:type="spellStart"/>
            <w:r w:rsidRPr="006B5293">
              <w:rPr>
                <w:rFonts w:ascii="Century Gothic" w:hAnsi="Century Gothic"/>
                <w:sz w:val="22"/>
                <w:szCs w:val="22"/>
                <w:lang w:val="es-CO"/>
              </w:rPr>
              <w:t>ii</w:t>
            </w:r>
            <w:proofErr w:type="spellEnd"/>
            <w:r w:rsidRPr="006B5293">
              <w:rPr>
                <w:rFonts w:ascii="Century Gothic" w:hAnsi="Century Gothic"/>
                <w:sz w:val="22"/>
                <w:szCs w:val="22"/>
                <w:lang w:val="es-CO"/>
              </w:rPr>
              <w:t>) Juan María Betancourt Zúñiga ($142.350.</w:t>
            </w:r>
            <w:r w:rsidR="002F334D">
              <w:rPr>
                <w:rFonts w:ascii="Century Gothic" w:hAnsi="Century Gothic"/>
                <w:sz w:val="22"/>
                <w:szCs w:val="22"/>
                <w:lang w:val="es-CO"/>
              </w:rPr>
              <w:t>0</w:t>
            </w:r>
            <w:r w:rsidRPr="006B5293">
              <w:rPr>
                <w:rFonts w:ascii="Century Gothic" w:hAnsi="Century Gothic"/>
                <w:sz w:val="22"/>
                <w:szCs w:val="22"/>
                <w:lang w:val="es-CO"/>
              </w:rPr>
              <w:t>00 para 2025); (</w:t>
            </w:r>
            <w:proofErr w:type="spellStart"/>
            <w:r w:rsidRPr="006B5293">
              <w:rPr>
                <w:rFonts w:ascii="Century Gothic" w:hAnsi="Century Gothic"/>
                <w:sz w:val="22"/>
                <w:szCs w:val="22"/>
                <w:lang w:val="es-CO"/>
              </w:rPr>
              <w:t>jii</w:t>
            </w:r>
            <w:proofErr w:type="spellEnd"/>
            <w:r w:rsidRPr="006B5293">
              <w:rPr>
                <w:rFonts w:ascii="Century Gothic" w:hAnsi="Century Gothic"/>
                <w:sz w:val="22"/>
                <w:szCs w:val="22"/>
                <w:lang w:val="es-CO"/>
              </w:rPr>
              <w:t>) 100 SMLMV Osvaldo Betancourt Zúñiga ($142.350.0</w:t>
            </w:r>
            <w:r w:rsidR="002F334D">
              <w:rPr>
                <w:rFonts w:ascii="Century Gothic" w:hAnsi="Century Gothic"/>
                <w:sz w:val="22"/>
                <w:szCs w:val="22"/>
                <w:lang w:val="es-CO"/>
              </w:rPr>
              <w:t>0</w:t>
            </w:r>
            <w:r w:rsidRPr="006B5293">
              <w:rPr>
                <w:rFonts w:ascii="Century Gothic" w:hAnsi="Century Gothic"/>
                <w:sz w:val="22"/>
                <w:szCs w:val="22"/>
                <w:lang w:val="es-CO"/>
              </w:rPr>
              <w:t>0 para 2025); (</w:t>
            </w:r>
            <w:proofErr w:type="spellStart"/>
            <w:r w:rsidRPr="006B5293">
              <w:rPr>
                <w:rFonts w:ascii="Century Gothic" w:hAnsi="Century Gothic"/>
                <w:sz w:val="22"/>
                <w:szCs w:val="22"/>
                <w:lang w:val="es-CO"/>
              </w:rPr>
              <w:t>iv</w:t>
            </w:r>
            <w:proofErr w:type="spellEnd"/>
            <w:r w:rsidRPr="006B5293">
              <w:rPr>
                <w:rFonts w:ascii="Century Gothic" w:hAnsi="Century Gothic"/>
                <w:sz w:val="22"/>
                <w:szCs w:val="22"/>
                <w:lang w:val="es-CO"/>
              </w:rPr>
              <w:t xml:space="preserve">) 100 SMLMV Gloria </w:t>
            </w:r>
            <w:proofErr w:type="spellStart"/>
            <w:r w:rsidRPr="006B5293">
              <w:rPr>
                <w:rFonts w:ascii="Century Gothic" w:hAnsi="Century Gothic"/>
                <w:sz w:val="22"/>
                <w:szCs w:val="22"/>
                <w:lang w:val="es-CO"/>
              </w:rPr>
              <w:t>Merida</w:t>
            </w:r>
            <w:proofErr w:type="spellEnd"/>
            <w:r w:rsidRPr="006B5293">
              <w:rPr>
                <w:rFonts w:ascii="Century Gothic" w:hAnsi="Century Gothic"/>
                <w:sz w:val="22"/>
                <w:szCs w:val="22"/>
                <w:lang w:val="es-CO"/>
              </w:rPr>
              <w:t xml:space="preserve"> Betancourt Escobar ($142.350.0</w:t>
            </w:r>
            <w:r w:rsidR="002F334D">
              <w:rPr>
                <w:rFonts w:ascii="Century Gothic" w:hAnsi="Century Gothic"/>
                <w:sz w:val="22"/>
                <w:szCs w:val="22"/>
                <w:lang w:val="es-CO"/>
              </w:rPr>
              <w:t>0</w:t>
            </w:r>
            <w:r w:rsidRPr="006B5293">
              <w:rPr>
                <w:rFonts w:ascii="Century Gothic" w:hAnsi="Century Gothic"/>
                <w:sz w:val="22"/>
                <w:szCs w:val="22"/>
                <w:lang w:val="es-CO"/>
              </w:rPr>
              <w:t xml:space="preserve">0 para 2025); (v) 100 SMLMV </w:t>
            </w:r>
            <w:proofErr w:type="spellStart"/>
            <w:r w:rsidRPr="006B5293">
              <w:rPr>
                <w:rFonts w:ascii="Century Gothic" w:hAnsi="Century Gothic"/>
                <w:sz w:val="22"/>
                <w:szCs w:val="22"/>
                <w:lang w:val="es-CO"/>
              </w:rPr>
              <w:t>Neisa</w:t>
            </w:r>
            <w:proofErr w:type="spellEnd"/>
            <w:r w:rsidRPr="006B5293">
              <w:rPr>
                <w:rFonts w:ascii="Century Gothic" w:hAnsi="Century Gothic"/>
                <w:sz w:val="22"/>
                <w:szCs w:val="22"/>
                <w:lang w:val="es-CO"/>
              </w:rPr>
              <w:t xml:space="preserve"> Ruth Betancourt Escobar ($142.350.00</w:t>
            </w:r>
            <w:r w:rsidR="002F334D">
              <w:rPr>
                <w:rFonts w:ascii="Century Gothic" w:hAnsi="Century Gothic"/>
                <w:sz w:val="22"/>
                <w:szCs w:val="22"/>
                <w:lang w:val="es-CO"/>
              </w:rPr>
              <w:t>0</w:t>
            </w:r>
            <w:r w:rsidRPr="006B5293">
              <w:rPr>
                <w:rFonts w:ascii="Century Gothic" w:hAnsi="Century Gothic"/>
                <w:sz w:val="22"/>
                <w:szCs w:val="22"/>
                <w:lang w:val="es-CO"/>
              </w:rPr>
              <w:t xml:space="preserve"> para 2025); (vi) 100 SMLMV Alirio Betancourt Escobar($142.350.0</w:t>
            </w:r>
            <w:r w:rsidR="002F334D">
              <w:rPr>
                <w:rFonts w:ascii="Century Gothic" w:hAnsi="Century Gothic"/>
                <w:sz w:val="22"/>
                <w:szCs w:val="22"/>
                <w:lang w:val="es-CO"/>
              </w:rPr>
              <w:t>0</w:t>
            </w:r>
            <w:r w:rsidRPr="006B5293">
              <w:rPr>
                <w:rFonts w:ascii="Century Gothic" w:hAnsi="Century Gothic"/>
                <w:sz w:val="22"/>
                <w:szCs w:val="22"/>
                <w:lang w:val="es-CO"/>
              </w:rPr>
              <w:t>0 para 2025); (</w:t>
            </w:r>
            <w:proofErr w:type="spellStart"/>
            <w:r w:rsidRPr="006B5293">
              <w:rPr>
                <w:rFonts w:ascii="Century Gothic" w:hAnsi="Century Gothic"/>
                <w:sz w:val="22"/>
                <w:szCs w:val="22"/>
                <w:lang w:val="es-CO"/>
              </w:rPr>
              <w:t>vii</w:t>
            </w:r>
            <w:proofErr w:type="spellEnd"/>
            <w:r w:rsidRPr="006B5293">
              <w:rPr>
                <w:rFonts w:ascii="Century Gothic" w:hAnsi="Century Gothic"/>
                <w:sz w:val="22"/>
                <w:szCs w:val="22"/>
                <w:lang w:val="es-CO"/>
              </w:rPr>
              <w:t>) 100 SMLMV Ana Julieta Betancourt Escobar ($142.350.00</w:t>
            </w:r>
            <w:r w:rsidR="002F334D">
              <w:rPr>
                <w:rFonts w:ascii="Century Gothic" w:hAnsi="Century Gothic"/>
                <w:sz w:val="22"/>
                <w:szCs w:val="22"/>
                <w:lang w:val="es-CO"/>
              </w:rPr>
              <w:t>0</w:t>
            </w:r>
            <w:r w:rsidRPr="006B5293">
              <w:rPr>
                <w:rFonts w:ascii="Century Gothic" w:hAnsi="Century Gothic"/>
                <w:sz w:val="22"/>
                <w:szCs w:val="22"/>
                <w:lang w:val="es-CO"/>
              </w:rPr>
              <w:t xml:space="preserve"> para 2025); (</w:t>
            </w:r>
            <w:proofErr w:type="spellStart"/>
            <w:r w:rsidRPr="006B5293">
              <w:rPr>
                <w:rFonts w:ascii="Century Gothic" w:hAnsi="Century Gothic"/>
                <w:sz w:val="22"/>
                <w:szCs w:val="22"/>
                <w:lang w:val="es-CO"/>
              </w:rPr>
              <w:t>viii</w:t>
            </w:r>
            <w:proofErr w:type="spellEnd"/>
            <w:r w:rsidRPr="006B5293">
              <w:rPr>
                <w:rFonts w:ascii="Century Gothic" w:hAnsi="Century Gothic"/>
                <w:sz w:val="22"/>
                <w:szCs w:val="22"/>
                <w:lang w:val="es-CO"/>
              </w:rPr>
              <w:t>)100 SMLMV María Elvira Betancourt Escobar($142.350.00</w:t>
            </w:r>
            <w:r w:rsidR="002F334D">
              <w:rPr>
                <w:rFonts w:ascii="Century Gothic" w:hAnsi="Century Gothic"/>
                <w:sz w:val="22"/>
                <w:szCs w:val="22"/>
                <w:lang w:val="es-CO"/>
              </w:rPr>
              <w:t xml:space="preserve">0 </w:t>
            </w:r>
            <w:r w:rsidRPr="006B5293">
              <w:rPr>
                <w:rFonts w:ascii="Century Gothic" w:hAnsi="Century Gothic"/>
                <w:sz w:val="22"/>
                <w:szCs w:val="22"/>
                <w:lang w:val="es-CO"/>
              </w:rPr>
              <w:t>para 2025); (</w:t>
            </w:r>
            <w:proofErr w:type="spellStart"/>
            <w:r w:rsidRPr="006B5293">
              <w:rPr>
                <w:rFonts w:ascii="Century Gothic" w:hAnsi="Century Gothic"/>
                <w:sz w:val="22"/>
                <w:szCs w:val="22"/>
                <w:lang w:val="es-CO"/>
              </w:rPr>
              <w:t>ix</w:t>
            </w:r>
            <w:proofErr w:type="spellEnd"/>
            <w:r w:rsidRPr="006B5293">
              <w:rPr>
                <w:rFonts w:ascii="Century Gothic" w:hAnsi="Century Gothic"/>
                <w:sz w:val="22"/>
                <w:szCs w:val="22"/>
                <w:lang w:val="es-CO"/>
              </w:rPr>
              <w:t xml:space="preserve">) 100 SMLMV Fredy Gerardo Betancourt Escobar </w:t>
            </w:r>
            <w:r w:rsidR="002F334D">
              <w:rPr>
                <w:rFonts w:ascii="Century Gothic" w:hAnsi="Century Gothic"/>
                <w:sz w:val="22"/>
                <w:szCs w:val="22"/>
                <w:lang w:val="es-CO"/>
              </w:rPr>
              <w:t>($142.350.000 para 2025)</w:t>
            </w:r>
          </w:p>
          <w:p w14:paraId="087D2869" w14:textId="77777777" w:rsidR="006B5293" w:rsidRDefault="006B5293" w:rsidP="006B5293">
            <w:pPr>
              <w:spacing w:line="276" w:lineRule="auto"/>
              <w:rPr>
                <w:rFonts w:ascii="Century Gothic" w:hAnsi="Century Gothic"/>
                <w:sz w:val="22"/>
                <w:szCs w:val="22"/>
                <w:lang w:val="es-CO"/>
              </w:rPr>
            </w:pPr>
          </w:p>
          <w:p w14:paraId="513F44DB" w14:textId="124C05AC" w:rsidR="00FD53B3" w:rsidRDefault="006B5293" w:rsidP="006B5293">
            <w:pPr>
              <w:spacing w:line="276" w:lineRule="auto"/>
              <w:rPr>
                <w:rFonts w:ascii="Century Gothic" w:hAnsi="Century Gothic"/>
                <w:sz w:val="22"/>
                <w:szCs w:val="22"/>
                <w:lang w:val="es-CO"/>
              </w:rPr>
            </w:pPr>
            <w:r w:rsidRPr="006B5293">
              <w:rPr>
                <w:rFonts w:ascii="Century Gothic" w:hAnsi="Century Gothic"/>
                <w:b/>
                <w:bCs/>
                <w:sz w:val="22"/>
                <w:szCs w:val="22"/>
                <w:lang w:val="es-CO"/>
              </w:rPr>
              <w:t>Daños Materiales</w:t>
            </w:r>
            <w:r w:rsidRPr="006B5293">
              <w:rPr>
                <w:rFonts w:ascii="Century Gothic" w:hAnsi="Century Gothic"/>
                <w:sz w:val="22"/>
                <w:szCs w:val="22"/>
                <w:lang w:val="es-CO"/>
              </w:rPr>
              <w:t>: $1.480.000</w:t>
            </w:r>
            <w:r w:rsidR="00BD2345">
              <w:rPr>
                <w:rFonts w:ascii="Century Gothic" w:hAnsi="Century Gothic"/>
                <w:sz w:val="22"/>
                <w:szCs w:val="22"/>
                <w:lang w:val="es-CO"/>
              </w:rPr>
              <w:t xml:space="preserve"> </w:t>
            </w:r>
          </w:p>
          <w:p w14:paraId="7FD2C841" w14:textId="77777777" w:rsidR="0051185E" w:rsidRDefault="0051185E" w:rsidP="006B5293">
            <w:pPr>
              <w:spacing w:line="276" w:lineRule="auto"/>
              <w:rPr>
                <w:rFonts w:ascii="Century Gothic" w:hAnsi="Century Gothic"/>
                <w:sz w:val="22"/>
                <w:szCs w:val="22"/>
                <w:lang w:val="es-CO"/>
              </w:rPr>
            </w:pPr>
          </w:p>
          <w:p w14:paraId="3610FC4F" w14:textId="26A54590" w:rsidR="0051185E" w:rsidRDefault="0051185E" w:rsidP="006B5293">
            <w:pPr>
              <w:spacing w:line="276" w:lineRule="auto"/>
              <w:rPr>
                <w:rFonts w:ascii="Century Gothic" w:hAnsi="Century Gothic"/>
                <w:sz w:val="22"/>
                <w:szCs w:val="22"/>
                <w:lang w:val="es-CO"/>
              </w:rPr>
            </w:pPr>
            <w:r>
              <w:rPr>
                <w:rFonts w:ascii="Century Gothic" w:hAnsi="Century Gothic"/>
                <w:sz w:val="22"/>
                <w:szCs w:val="22"/>
                <w:lang w:val="es-CO"/>
              </w:rPr>
              <w:t xml:space="preserve">DEL LLAMAMIENTO EN GARANTÍA: </w:t>
            </w:r>
            <w:r w:rsidR="00043011">
              <w:rPr>
                <w:rFonts w:ascii="Century Gothic" w:hAnsi="Century Gothic"/>
                <w:sz w:val="22"/>
                <w:szCs w:val="22"/>
                <w:lang w:val="es-CO"/>
              </w:rPr>
              <w:t xml:space="preserve">Sin pretensión establecida. </w:t>
            </w:r>
          </w:p>
          <w:p w14:paraId="77C06868" w14:textId="7E8E599E" w:rsidR="0051185E" w:rsidRPr="006B5293" w:rsidRDefault="0051185E" w:rsidP="006B5293">
            <w:pPr>
              <w:spacing w:line="276" w:lineRule="auto"/>
              <w:rPr>
                <w:rFonts w:ascii="Century Gothic" w:hAnsi="Century Gothic"/>
                <w:sz w:val="22"/>
                <w:szCs w:val="22"/>
                <w:lang w:val="es-CO"/>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50E1300F" w:rsidR="00992368" w:rsidRPr="007F6DEA" w:rsidRDefault="002F334D" w:rsidP="003827E1">
            <w:pPr>
              <w:spacing w:line="276" w:lineRule="auto"/>
              <w:rPr>
                <w:rFonts w:ascii="Century Gothic" w:hAnsi="Century Gothic"/>
                <w:sz w:val="22"/>
                <w:szCs w:val="22"/>
                <w:lang w:val="es-CO"/>
              </w:rPr>
            </w:pPr>
            <w:r>
              <w:rPr>
                <w:rFonts w:ascii="Century Gothic" w:hAnsi="Century Gothic"/>
                <w:sz w:val="22"/>
                <w:szCs w:val="22"/>
                <w:lang w:val="es-CO"/>
              </w:rPr>
              <w:t>$1.282.630.000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4836BCB8" w:rsidR="00992368" w:rsidRPr="008142B2" w:rsidRDefault="008142B2" w:rsidP="003827E1">
            <w:pPr>
              <w:spacing w:line="276" w:lineRule="auto"/>
              <w:rPr>
                <w:rFonts w:ascii="Century Gothic" w:hAnsi="Century Gothic"/>
                <w:sz w:val="22"/>
                <w:szCs w:val="22"/>
                <w:lang w:val="es-CO"/>
              </w:rPr>
            </w:pPr>
            <w:r w:rsidRPr="006B5293">
              <w:rPr>
                <w:rFonts w:ascii="Century Gothic" w:hAnsi="Century Gothic"/>
                <w:sz w:val="22"/>
                <w:szCs w:val="22"/>
                <w:lang w:val="es-CO"/>
              </w:rPr>
              <w:t>$</w:t>
            </w:r>
            <w:r>
              <w:rPr>
                <w:rFonts w:ascii="Century Gothic" w:hAnsi="Century Gothic"/>
                <w:sz w:val="22"/>
                <w:szCs w:val="22"/>
                <w:lang w:val="es-CO"/>
              </w:rPr>
              <w:t>385.825.000</w:t>
            </w:r>
          </w:p>
        </w:tc>
      </w:tr>
    </w:tbl>
    <w:p w14:paraId="7C3639C4" w14:textId="77777777" w:rsidR="00537336" w:rsidRDefault="00537336"/>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54298119" w14:textId="49A5A897" w:rsidR="006B5293" w:rsidRDefault="006B5293" w:rsidP="006B5293">
            <w:pPr>
              <w:spacing w:line="276" w:lineRule="auto"/>
              <w:rPr>
                <w:rFonts w:ascii="Century Gothic" w:hAnsi="Century Gothic"/>
                <w:sz w:val="22"/>
                <w:szCs w:val="22"/>
                <w:lang w:val="es-CO"/>
              </w:rPr>
            </w:pPr>
            <w:r w:rsidRPr="006B5293">
              <w:rPr>
                <w:rFonts w:ascii="Century Gothic" w:hAnsi="Century Gothic"/>
                <w:sz w:val="22"/>
                <w:szCs w:val="22"/>
                <w:lang w:val="es-CO"/>
              </w:rPr>
              <w:lastRenderedPageBreak/>
              <w:t>Las pretensiones objetivas ascienden a $</w:t>
            </w:r>
            <w:r w:rsidR="00EA0B78">
              <w:rPr>
                <w:rFonts w:ascii="Century Gothic" w:hAnsi="Century Gothic"/>
                <w:sz w:val="22"/>
                <w:szCs w:val="22"/>
                <w:lang w:val="es-CO"/>
              </w:rPr>
              <w:t>385.825.000</w:t>
            </w:r>
            <w:r w:rsidR="002F334D">
              <w:rPr>
                <w:rFonts w:ascii="Century Gothic" w:hAnsi="Century Gothic"/>
                <w:sz w:val="22"/>
                <w:szCs w:val="22"/>
                <w:lang w:val="es-CO"/>
              </w:rPr>
              <w:t>, teniendo en cuenta lo siguiente:</w:t>
            </w:r>
            <w:r w:rsidRPr="006B5293">
              <w:rPr>
                <w:rFonts w:ascii="Century Gothic" w:hAnsi="Century Gothic"/>
                <w:sz w:val="22"/>
                <w:szCs w:val="22"/>
                <w:lang w:val="es-CO"/>
              </w:rPr>
              <w:t xml:space="preserve"> </w:t>
            </w:r>
          </w:p>
          <w:p w14:paraId="2B7D4B4A" w14:textId="77777777" w:rsidR="006B5293" w:rsidRPr="006B5293" w:rsidRDefault="006B5293" w:rsidP="006B5293">
            <w:pPr>
              <w:spacing w:line="276" w:lineRule="auto"/>
              <w:rPr>
                <w:rFonts w:ascii="Century Gothic" w:hAnsi="Century Gothic"/>
                <w:sz w:val="22"/>
                <w:szCs w:val="22"/>
                <w:lang w:val="es-CO"/>
              </w:rPr>
            </w:pPr>
          </w:p>
          <w:p w14:paraId="574A6C1B" w14:textId="77777777" w:rsidR="006B5293" w:rsidRDefault="006B5293" w:rsidP="00043011">
            <w:pPr>
              <w:spacing w:line="276" w:lineRule="auto"/>
              <w:jc w:val="both"/>
              <w:rPr>
                <w:rFonts w:ascii="Century Gothic" w:hAnsi="Century Gothic"/>
                <w:sz w:val="22"/>
                <w:szCs w:val="22"/>
                <w:lang w:val="es-CO"/>
              </w:rPr>
            </w:pPr>
            <w:r w:rsidRPr="006B5293">
              <w:rPr>
                <w:rFonts w:ascii="Century Gothic" w:hAnsi="Century Gothic"/>
                <w:b/>
                <w:bCs/>
                <w:sz w:val="22"/>
                <w:szCs w:val="22"/>
                <w:lang w:val="es-CO"/>
              </w:rPr>
              <w:t>Daño Emergente:</w:t>
            </w:r>
            <w:r w:rsidRPr="006B5293">
              <w:rPr>
                <w:rFonts w:ascii="Century Gothic" w:hAnsi="Century Gothic"/>
                <w:sz w:val="22"/>
                <w:szCs w:val="22"/>
                <w:lang w:val="es-CO"/>
              </w:rPr>
              <w:t xml:space="preserve"> $1.480.000. Dentro de las pruebas allegadas al expediente, se verifica el pago de $1.480.000 por el servicio fúnebre que se le celebró al señor Santiago Betancourt.  </w:t>
            </w:r>
          </w:p>
          <w:p w14:paraId="185F7EBB" w14:textId="77777777" w:rsidR="006B5293" w:rsidRPr="006B5293" w:rsidRDefault="006B5293" w:rsidP="00043011">
            <w:pPr>
              <w:spacing w:line="276" w:lineRule="auto"/>
              <w:jc w:val="both"/>
              <w:rPr>
                <w:rFonts w:ascii="Century Gothic" w:hAnsi="Century Gothic"/>
                <w:sz w:val="22"/>
                <w:szCs w:val="22"/>
                <w:lang w:val="es-CO"/>
              </w:rPr>
            </w:pPr>
          </w:p>
          <w:p w14:paraId="01662F7F" w14:textId="090616CF" w:rsidR="006B5293" w:rsidRPr="006B5293" w:rsidRDefault="006B5293" w:rsidP="00043011">
            <w:pPr>
              <w:spacing w:line="276" w:lineRule="auto"/>
              <w:jc w:val="both"/>
              <w:rPr>
                <w:rFonts w:ascii="Century Gothic" w:hAnsi="Century Gothic"/>
                <w:sz w:val="22"/>
                <w:szCs w:val="22"/>
                <w:lang w:val="es-CO"/>
              </w:rPr>
            </w:pPr>
            <w:r w:rsidRPr="006B5293">
              <w:rPr>
                <w:rFonts w:ascii="Century Gothic" w:hAnsi="Century Gothic"/>
                <w:b/>
                <w:bCs/>
                <w:sz w:val="22"/>
                <w:szCs w:val="22"/>
                <w:lang w:val="es-CO"/>
              </w:rPr>
              <w:t>Daño Moral:</w:t>
            </w:r>
            <w:r w:rsidRPr="006B5293">
              <w:rPr>
                <w:rFonts w:ascii="Century Gothic" w:hAnsi="Century Gothic"/>
                <w:sz w:val="22"/>
                <w:szCs w:val="22"/>
                <w:lang w:val="es-CO"/>
              </w:rPr>
              <w:t xml:space="preserve"> $</w:t>
            </w:r>
            <w:r w:rsidR="00EA0B78">
              <w:rPr>
                <w:rFonts w:ascii="Century Gothic" w:hAnsi="Century Gothic"/>
                <w:sz w:val="22"/>
                <w:szCs w:val="22"/>
                <w:lang w:val="es-CO"/>
              </w:rPr>
              <w:t>384.345.000</w:t>
            </w:r>
            <w:r w:rsidRPr="006B5293">
              <w:rPr>
                <w:rFonts w:ascii="Century Gothic" w:hAnsi="Century Gothic"/>
                <w:sz w:val="22"/>
                <w:szCs w:val="22"/>
                <w:lang w:val="es-CO"/>
              </w:rPr>
              <w:t>. a) Jesús Isaac Betancourt Zúñiga: $</w:t>
            </w:r>
            <w:r w:rsidR="00EA0B78">
              <w:rPr>
                <w:rFonts w:ascii="Century Gothic" w:hAnsi="Century Gothic"/>
                <w:sz w:val="22"/>
                <w:szCs w:val="22"/>
                <w:lang w:val="es-CO"/>
              </w:rPr>
              <w:t>42.705.000</w:t>
            </w:r>
            <w:r w:rsidRPr="006B5293">
              <w:rPr>
                <w:rFonts w:ascii="Century Gothic" w:hAnsi="Century Gothic"/>
                <w:sz w:val="22"/>
                <w:szCs w:val="22"/>
                <w:lang w:val="es-CO"/>
              </w:rPr>
              <w:t>; b) Juan María Betancourt Zúñiga: $</w:t>
            </w:r>
            <w:r w:rsidR="00EA0B78">
              <w:rPr>
                <w:rFonts w:ascii="Century Gothic" w:hAnsi="Century Gothic"/>
                <w:sz w:val="22"/>
                <w:szCs w:val="22"/>
                <w:lang w:val="es-CO"/>
              </w:rPr>
              <w:t>42.705.000</w:t>
            </w:r>
            <w:r w:rsidRPr="006B5293">
              <w:rPr>
                <w:rFonts w:ascii="Century Gothic" w:hAnsi="Century Gothic"/>
                <w:sz w:val="22"/>
                <w:szCs w:val="22"/>
                <w:lang w:val="es-CO"/>
              </w:rPr>
              <w:t>; c) Osvaldo Betancourt Zúñiga: $</w:t>
            </w:r>
            <w:r w:rsidR="00EA0B78">
              <w:rPr>
                <w:rFonts w:ascii="Century Gothic" w:hAnsi="Century Gothic"/>
                <w:sz w:val="22"/>
                <w:szCs w:val="22"/>
                <w:lang w:val="es-CO"/>
              </w:rPr>
              <w:t>42.705.000</w:t>
            </w:r>
            <w:r w:rsidRPr="006B5293">
              <w:rPr>
                <w:rFonts w:ascii="Century Gothic" w:hAnsi="Century Gothic"/>
                <w:sz w:val="22"/>
                <w:szCs w:val="22"/>
                <w:lang w:val="es-CO"/>
              </w:rPr>
              <w:t>; d) Gloria Mérida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xml:space="preserve">; e) </w:t>
            </w:r>
            <w:proofErr w:type="spellStart"/>
            <w:r w:rsidRPr="006B5293">
              <w:rPr>
                <w:rFonts w:ascii="Century Gothic" w:hAnsi="Century Gothic"/>
                <w:sz w:val="22"/>
                <w:szCs w:val="22"/>
                <w:lang w:val="es-CO"/>
              </w:rPr>
              <w:t>Neisa</w:t>
            </w:r>
            <w:proofErr w:type="spellEnd"/>
            <w:r w:rsidRPr="006B5293">
              <w:rPr>
                <w:rFonts w:ascii="Century Gothic" w:hAnsi="Century Gothic"/>
                <w:sz w:val="22"/>
                <w:szCs w:val="22"/>
                <w:lang w:val="es-CO"/>
              </w:rPr>
              <w:t xml:space="preserve"> Ruth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f) Alirio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g) Ana Julieta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h) María Elvira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i) Fredy Gerardo Betancourt Escobar $</w:t>
            </w:r>
            <w:r w:rsidR="00EA0B78">
              <w:rPr>
                <w:rFonts w:ascii="Century Gothic" w:hAnsi="Century Gothic"/>
                <w:sz w:val="22"/>
                <w:szCs w:val="22"/>
                <w:lang w:val="es-CO"/>
              </w:rPr>
              <w:t>42.705.000</w:t>
            </w:r>
            <w:r w:rsidRPr="006B5293">
              <w:rPr>
                <w:rFonts w:ascii="Century Gothic" w:hAnsi="Century Gothic"/>
                <w:sz w:val="22"/>
                <w:szCs w:val="22"/>
                <w:lang w:val="es-CO"/>
              </w:rPr>
              <w:t xml:space="preserve">;  Lo anterior, de conformidad con la jurisprudencia Corte Suprema de Justicia, </w:t>
            </w:r>
            <w:r w:rsidR="00EA0B78">
              <w:rPr>
                <w:rFonts w:ascii="Century Gothic" w:hAnsi="Century Gothic"/>
                <w:sz w:val="22"/>
                <w:szCs w:val="22"/>
                <w:lang w:val="es-CO"/>
              </w:rPr>
              <w:t>especialmente el baremo fijado por la Corte Suprema de Justicia en la sentencia SC072 de 2025</w:t>
            </w:r>
            <w:r w:rsidRPr="006B5293">
              <w:rPr>
                <w:rFonts w:ascii="Century Gothic" w:hAnsi="Century Gothic"/>
                <w:sz w:val="22"/>
                <w:szCs w:val="22"/>
                <w:lang w:val="es-CO"/>
              </w:rPr>
              <w:t xml:space="preserve"> a través de la cual </w:t>
            </w:r>
            <w:r w:rsidR="00EA0B78">
              <w:rPr>
                <w:rFonts w:ascii="Century Gothic" w:hAnsi="Century Gothic"/>
                <w:sz w:val="22"/>
                <w:szCs w:val="22"/>
                <w:lang w:val="es-CO"/>
              </w:rPr>
              <w:t>estableció el</w:t>
            </w:r>
            <w:r w:rsidRPr="006B5293">
              <w:rPr>
                <w:rFonts w:ascii="Century Gothic" w:hAnsi="Century Gothic"/>
                <w:sz w:val="22"/>
                <w:szCs w:val="22"/>
                <w:lang w:val="es-CO"/>
              </w:rPr>
              <w:t xml:space="preserve"> valor máximo a otorgar </w:t>
            </w:r>
            <w:r w:rsidR="00EA0B78">
              <w:rPr>
                <w:rFonts w:ascii="Century Gothic" w:hAnsi="Century Gothic"/>
                <w:sz w:val="22"/>
                <w:szCs w:val="22"/>
                <w:lang w:val="es-CO"/>
              </w:rPr>
              <w:t xml:space="preserve">en 100 SMMLV, sin embargo teniendo en cuenta que los demandantes se trata de los sobrinos, se otorgará el 30% del valor máximo permitido para cada uno. </w:t>
            </w:r>
            <w:r w:rsidRPr="006B5293">
              <w:rPr>
                <w:rFonts w:ascii="Century Gothic" w:hAnsi="Century Gothic"/>
                <w:sz w:val="22"/>
                <w:szCs w:val="22"/>
                <w:lang w:val="es-CO"/>
              </w:rPr>
              <w:t xml:space="preserve">De igual manera, se hace énfasis en que la presunción de daño para parientes en tercer grado de consanguinidad no genera presunción, no </w:t>
            </w:r>
            <w:proofErr w:type="gramStart"/>
            <w:r w:rsidRPr="006B5293">
              <w:rPr>
                <w:rFonts w:ascii="Century Gothic" w:hAnsi="Century Gothic"/>
                <w:sz w:val="22"/>
                <w:szCs w:val="22"/>
                <w:lang w:val="es-CO"/>
              </w:rPr>
              <w:t>obstante</w:t>
            </w:r>
            <w:proofErr w:type="gramEnd"/>
            <w:r w:rsidRPr="006B5293">
              <w:rPr>
                <w:rFonts w:ascii="Century Gothic" w:hAnsi="Century Gothic"/>
                <w:sz w:val="22"/>
                <w:szCs w:val="22"/>
                <w:lang w:val="es-CO"/>
              </w:rPr>
              <w:t xml:space="preserve"> en la práctica de las </w:t>
            </w:r>
            <w:proofErr w:type="gramStart"/>
            <w:r w:rsidRPr="006B5293">
              <w:rPr>
                <w:rFonts w:ascii="Century Gothic" w:hAnsi="Century Gothic"/>
                <w:sz w:val="22"/>
                <w:szCs w:val="22"/>
                <w:lang w:val="es-CO"/>
              </w:rPr>
              <w:t>pruebas,  con</w:t>
            </w:r>
            <w:proofErr w:type="gramEnd"/>
            <w:r w:rsidRPr="006B5293">
              <w:rPr>
                <w:rFonts w:ascii="Century Gothic" w:hAnsi="Century Gothic"/>
                <w:sz w:val="22"/>
                <w:szCs w:val="22"/>
                <w:lang w:val="es-CO"/>
              </w:rPr>
              <w:t xml:space="preserve"> </w:t>
            </w:r>
            <w:r w:rsidR="008142B2" w:rsidRPr="006B5293">
              <w:rPr>
                <w:rFonts w:ascii="Century Gothic" w:hAnsi="Century Gothic"/>
                <w:sz w:val="22"/>
                <w:szCs w:val="22"/>
                <w:lang w:val="es-CO"/>
              </w:rPr>
              <w:t>los interrogatorios</w:t>
            </w:r>
            <w:r w:rsidRPr="006B5293">
              <w:rPr>
                <w:rFonts w:ascii="Century Gothic" w:hAnsi="Century Gothic"/>
                <w:sz w:val="22"/>
                <w:szCs w:val="22"/>
                <w:lang w:val="es-CO"/>
              </w:rPr>
              <w:t xml:space="preserve"> de parte y las pruebas testimoniales, pueden probarse la cercanía de los demandantes con la víctima directa, esto según sentencia SP12969-2015.</w:t>
            </w:r>
          </w:p>
          <w:p w14:paraId="52772A58" w14:textId="463757A0" w:rsidR="00537336" w:rsidRDefault="00537336" w:rsidP="0095378E">
            <w:pPr>
              <w:spacing w:line="276" w:lineRule="auto"/>
              <w:rPr>
                <w:rFonts w:ascii="Century Gothic" w:hAnsi="Century Gothic"/>
                <w:sz w:val="22"/>
                <w:szCs w:val="22"/>
                <w:lang w:val="es-CO"/>
              </w:rPr>
            </w:pPr>
          </w:p>
          <w:p w14:paraId="29143593" w14:textId="4FA6938D" w:rsidR="00DB6D6D" w:rsidRPr="00DB6D6D" w:rsidRDefault="00DB6D6D" w:rsidP="00DB6D6D">
            <w:pPr>
              <w:spacing w:line="276" w:lineRule="auto"/>
              <w:jc w:val="both"/>
              <w:rPr>
                <w:rFonts w:ascii="Century Gothic" w:hAnsi="Century Gothic"/>
                <w:sz w:val="22"/>
                <w:szCs w:val="22"/>
              </w:rPr>
            </w:pPr>
            <w:r w:rsidRPr="00DB6D6D">
              <w:rPr>
                <w:rFonts w:ascii="Century Gothic" w:hAnsi="Century Gothic"/>
                <w:b/>
                <w:bCs/>
                <w:sz w:val="22"/>
                <w:szCs w:val="22"/>
              </w:rPr>
              <w:t>Valor asegurado:</w:t>
            </w:r>
            <w:r w:rsidRPr="00DB6D6D">
              <w:rPr>
                <w:rFonts w:ascii="Century Gothic" w:hAnsi="Century Gothic"/>
                <w:sz w:val="22"/>
                <w:szCs w:val="22"/>
              </w:rPr>
              <w:t xml:space="preserve"> el valor asegurado corresponde a </w:t>
            </w:r>
            <w:r>
              <w:rPr>
                <w:rFonts w:ascii="Century Gothic" w:hAnsi="Century Gothic"/>
                <w:sz w:val="22"/>
                <w:szCs w:val="22"/>
              </w:rPr>
              <w:t>100</w:t>
            </w:r>
            <w:r w:rsidRPr="00DB6D6D">
              <w:rPr>
                <w:rFonts w:ascii="Century Gothic" w:hAnsi="Century Gothic"/>
                <w:sz w:val="22"/>
                <w:szCs w:val="22"/>
              </w:rPr>
              <w:t xml:space="preserve"> SMLMV equivalente a $</w:t>
            </w:r>
            <w:r>
              <w:rPr>
                <w:rFonts w:ascii="Century Gothic" w:hAnsi="Century Gothic" w:cs="Segoe UI"/>
                <w:sz w:val="22"/>
                <w:szCs w:val="22"/>
                <w:lang w:eastAsia="es-CO"/>
              </w:rPr>
              <w:t>142.350.000.</w:t>
            </w:r>
          </w:p>
          <w:p w14:paraId="07581D99" w14:textId="77777777" w:rsidR="00DB6D6D" w:rsidRPr="00D63A16" w:rsidRDefault="00DB6D6D" w:rsidP="00DB6D6D">
            <w:pPr>
              <w:pStyle w:val="Prrafodelista"/>
              <w:rPr>
                <w:rFonts w:ascii="Century Gothic" w:hAnsi="Century Gothic"/>
                <w:sz w:val="22"/>
                <w:szCs w:val="22"/>
              </w:rPr>
            </w:pPr>
          </w:p>
          <w:p w14:paraId="31FF8AB1" w14:textId="5A743E36" w:rsidR="00537336" w:rsidRPr="00BA1E5F" w:rsidRDefault="00DB6D6D" w:rsidP="00DB6D6D">
            <w:pPr>
              <w:spacing w:line="276" w:lineRule="auto"/>
              <w:jc w:val="both"/>
              <w:rPr>
                <w:rFonts w:ascii="Century Gothic" w:hAnsi="Century Gothic"/>
                <w:sz w:val="22"/>
                <w:szCs w:val="22"/>
              </w:rPr>
            </w:pPr>
            <w:r w:rsidRPr="00D63A16">
              <w:rPr>
                <w:rFonts w:ascii="Century Gothic" w:hAnsi="Century Gothic"/>
                <w:sz w:val="22"/>
                <w:szCs w:val="22"/>
              </w:rPr>
              <w:t>Deducible: Esta póliza no contempla deducibles.</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6F7A3EB0" w14:textId="77777777" w:rsidR="002D2E61" w:rsidRDefault="00DB6D6D" w:rsidP="00DB6D6D">
            <w:pPr>
              <w:spacing w:line="276" w:lineRule="auto"/>
              <w:jc w:val="both"/>
              <w:rPr>
                <w:rFonts w:ascii="Century Gothic" w:hAnsi="Century Gothic"/>
                <w:sz w:val="22"/>
                <w:szCs w:val="22"/>
              </w:rPr>
            </w:pPr>
            <w:r>
              <w:rPr>
                <w:rFonts w:ascii="Century Gothic" w:hAnsi="Century Gothic"/>
                <w:sz w:val="22"/>
                <w:szCs w:val="22"/>
              </w:rPr>
              <w:t xml:space="preserve">DE LA DEMANDA: </w:t>
            </w:r>
          </w:p>
          <w:p w14:paraId="5CD2CAC4"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HECHO EXCLUSIVO DE LA VÍCTIMA, COMO CAUSAL EXIMENTE DE RESPONSABILIDAD DE QUIENES INTEGRAN LA PARTE PASIVA DE LA ACCIÓN.</w:t>
            </w:r>
          </w:p>
          <w:p w14:paraId="019DE5F9" w14:textId="7FB1A34D"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 xml:space="preserve">INEXISTENCIA DE RESPONSABILIDAD A CARGO DE LOS DEMANDADOS POR LA FALTA DE ACREDITACIÓN DEL NEXO CAUSAL. </w:t>
            </w:r>
          </w:p>
          <w:p w14:paraId="05B102EF"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SUBSIDIARIA: REDUCCIÓN DE INDEMNIZACIÓN EN ATENCIÓN A LA CONCURRENCIA DE CULPAS.</w:t>
            </w:r>
          </w:p>
          <w:p w14:paraId="092294CE"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TASACIÓN INDEBIDA E INJUSTIFICADA DE LOS SUPUESTOS PERJUICIOS MORALES PRETENDIDOS POR LOS DEMANDANTES</w:t>
            </w:r>
          </w:p>
          <w:p w14:paraId="0F39062B"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IMPROCEDENCIA DEL LUCRO CESANTE SOLICITADO POR LA PARTE ACTORA-FALTA DE PRUEBA DEL PERJUICIO</w:t>
            </w:r>
          </w:p>
          <w:p w14:paraId="53DDC492" w14:textId="77777777" w:rsidR="00DB6D6D" w:rsidRPr="00B534BE" w:rsidRDefault="00DB6D6D" w:rsidP="00DB6D6D">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ENRIQUECIMIENTO SIN JUSTA CAUSA</w:t>
            </w:r>
          </w:p>
          <w:p w14:paraId="3BD3F17F" w14:textId="77777777" w:rsidR="00B534BE" w:rsidRDefault="00DB6D6D"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GÉNERICA Y OTRAS</w:t>
            </w:r>
          </w:p>
          <w:p w14:paraId="2E4036C6"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PRESCRIPCIÓN DE LAS ACCIONES DERIVADAS DEL CONTRATO DE SEGURO.</w:t>
            </w:r>
          </w:p>
          <w:p w14:paraId="4CF11729"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FALTA DE COBERTURA MATERIAL ANTE LA CONFIGURACIÓN DE RIESGOS EXPRESAMENTE EXCLUIDOS DEL AMPARO DE LA PÓLIZA.</w:t>
            </w:r>
          </w:p>
          <w:p w14:paraId="43BEDA7A"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lastRenderedPageBreak/>
              <w:t>INEXISTENCIA DE OBLIGACIÓN DE INDEMNIZAR A CARGO DE LA EQUIDAD SEGUROS GENERALES O.C. POR INCUMPLIMIENTO DE LAS CARGAS DEL ARTÍCULO 1077 DEL CÓDIGO DE COMERCIO</w:t>
            </w:r>
          </w:p>
          <w:p w14:paraId="4EC9ECAC"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SUJECIÓN A LAS CONDICIONES PARTICULARES Y GENERALES DEL CONTRATO DE SEGURO, EN LA QUE SE IDENTIFICA LA PÓLIZA, EL CLAUSULADO Y LOS AMPAROS</w:t>
            </w:r>
          </w:p>
          <w:p w14:paraId="02BA6FCD"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CARÁCTER INDEMNIZATORIO DEL CONTRATO DE SEGURO</w:t>
            </w:r>
          </w:p>
          <w:p w14:paraId="3B819AB6"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AUSENCIA DE SOLIDARIDAD ENTRE EQUIDAD SEGUROS Y LOS DEMÁS DEMANDADOS.</w:t>
            </w:r>
          </w:p>
          <w:p w14:paraId="0B02F035" w14:textId="77777777"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EN CUALQUIER CASO, DE NINGUNA FORMA SE PODRÁ EXCEDER EL LÍMITE DEL VALOR ASEGURADO EN LA PÓLIZA DE SEGURO RCE SERVICIO PÚBLICO NO. AA003687.</w:t>
            </w:r>
          </w:p>
          <w:p w14:paraId="2AE55826" w14:textId="1A716380" w:rsidR="00B534BE" w:rsidRPr="00B534BE" w:rsidRDefault="00B534BE" w:rsidP="00B534BE">
            <w:pPr>
              <w:pStyle w:val="Prrafodelista"/>
              <w:numPr>
                <w:ilvl w:val="0"/>
                <w:numId w:val="4"/>
              </w:numPr>
              <w:spacing w:line="276" w:lineRule="auto"/>
              <w:jc w:val="both"/>
              <w:rPr>
                <w:rFonts w:ascii="Century Gothic" w:hAnsi="Century Gothic"/>
                <w:sz w:val="22"/>
                <w:szCs w:val="22"/>
              </w:rPr>
            </w:pPr>
            <w:r w:rsidRPr="00B534BE">
              <w:rPr>
                <w:rFonts w:ascii="Century Gothic" w:hAnsi="Century Gothic"/>
                <w:sz w:val="22"/>
                <w:szCs w:val="22"/>
              </w:rPr>
              <w:t>DISPONIBILIDAD DE LA SUMA ASEGURADA</w:t>
            </w:r>
          </w:p>
          <w:p w14:paraId="0E1C8614" w14:textId="77777777" w:rsidR="00B534BE" w:rsidRPr="00B534BE" w:rsidRDefault="00B534BE" w:rsidP="00B534BE">
            <w:pPr>
              <w:spacing w:line="276" w:lineRule="auto"/>
              <w:jc w:val="both"/>
              <w:rPr>
                <w:rFonts w:ascii="Century Gothic" w:hAnsi="Century Gothic"/>
                <w:sz w:val="22"/>
                <w:szCs w:val="22"/>
              </w:rPr>
            </w:pPr>
          </w:p>
          <w:p w14:paraId="7EEB8AB0" w14:textId="77777777" w:rsidR="00B534BE" w:rsidRDefault="00B534BE" w:rsidP="00B534BE">
            <w:pPr>
              <w:spacing w:line="276" w:lineRule="auto"/>
              <w:jc w:val="both"/>
              <w:rPr>
                <w:rFonts w:ascii="Century Gothic" w:hAnsi="Century Gothic"/>
                <w:sz w:val="22"/>
                <w:szCs w:val="22"/>
              </w:rPr>
            </w:pPr>
            <w:r w:rsidRPr="00B534BE">
              <w:rPr>
                <w:rFonts w:ascii="Century Gothic" w:hAnsi="Century Gothic"/>
                <w:sz w:val="22"/>
                <w:szCs w:val="22"/>
              </w:rPr>
              <w:t>FRENTE AL LLAMAMIENTO EN GARANTÍA:</w:t>
            </w:r>
            <w:r>
              <w:rPr>
                <w:rFonts w:ascii="Century Gothic" w:hAnsi="Century Gothic"/>
                <w:sz w:val="22"/>
                <w:szCs w:val="22"/>
              </w:rPr>
              <w:t xml:space="preserve"> </w:t>
            </w:r>
          </w:p>
          <w:p w14:paraId="53F85F3C" w14:textId="77777777" w:rsidR="00B534BE" w:rsidRDefault="00B534BE" w:rsidP="00B534BE">
            <w:pPr>
              <w:spacing w:line="276" w:lineRule="auto"/>
              <w:jc w:val="both"/>
              <w:rPr>
                <w:rFonts w:ascii="Century Gothic" w:hAnsi="Century Gothic"/>
                <w:sz w:val="22"/>
                <w:szCs w:val="22"/>
              </w:rPr>
            </w:pPr>
          </w:p>
          <w:p w14:paraId="7D1A1F2F"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PRESCRIPCIÓN DE LAS ACCIONES DERIVADAS DEL CONTRATO DE SEGURO FRENTE AL ASEGURADO.</w:t>
            </w:r>
          </w:p>
          <w:p w14:paraId="7DEA2CC5"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APLICACIÓN DEL PRINCIPIO DE CONGRUENCIA.</w:t>
            </w:r>
          </w:p>
          <w:p w14:paraId="753043D2"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FALTA DE COBERTURA MATERIAL ANTE LA CONFIGURACIÓN DE RIESGOS EXPRESAMENTE EXCLUIDOS DEL AMPARO DE LA PÓLIZA NO. AA003687</w:t>
            </w:r>
          </w:p>
          <w:p w14:paraId="2EA0BB04" w14:textId="4FB1DB20"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 xml:space="preserve">FALTA DE COBERTURA MATERIAL DEL CONTRATO DE SEGURO, POR CUANTO LA PÓLIZA DE SEGURO RCC No. AA003687 NO AMPARA LA RESPONSABILIDAD CIVIL EXTRACONTRACTUAL. </w:t>
            </w:r>
          </w:p>
          <w:p w14:paraId="743A8EE6"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INEXISTENCIA DE OBLIGACIÓN DE INDEMNIZAR A CARGO DE LA EQUIDAD SEGUROS GENERALES O.C. POR CUANTO NO SE HA REALIZADO EL RIESGO ASEGURADO DE LA PÓLIZA AA003687 Y AA003688.</w:t>
            </w:r>
          </w:p>
          <w:p w14:paraId="73B729C8"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SUJECIÓN A LAS CONDICIONES PARTICULARES Y GENERALES DEL CONTRATO DE SEGURO, EN LA QUE SE IDENTIFICA LA PÓLIZA, EL CLAUSULADO Y LOS AMPAROS.</w:t>
            </w:r>
          </w:p>
          <w:p w14:paraId="1D27FAF4"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CARÁCTER INDEMNIZATORIO DEL CONTRATO DE SEGURO.</w:t>
            </w:r>
          </w:p>
          <w:p w14:paraId="57C8F8BA" w14:textId="77777777"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EN CUALQUIER CASO, DE NINGUNA FORMA SE PODRÁ EXCEDER EL LÍMITE DEL VALOR ASEGURADO EN LA PÓLIZA DE SEGURO RCE SERVICIO PÚBLICO NO. AA003687 Y PÓLIZA RCC NO. AA003688.</w:t>
            </w:r>
          </w:p>
          <w:p w14:paraId="52CE2D52" w14:textId="58491A6D" w:rsidR="00B534BE" w:rsidRPr="00B534BE" w:rsidRDefault="00B534BE" w:rsidP="00B534BE">
            <w:pPr>
              <w:pStyle w:val="Prrafodelista"/>
              <w:numPr>
                <w:ilvl w:val="0"/>
                <w:numId w:val="6"/>
              </w:numPr>
              <w:spacing w:line="276" w:lineRule="auto"/>
              <w:jc w:val="both"/>
              <w:rPr>
                <w:rFonts w:ascii="Century Gothic" w:hAnsi="Century Gothic"/>
                <w:sz w:val="22"/>
                <w:szCs w:val="22"/>
              </w:rPr>
            </w:pPr>
            <w:r w:rsidRPr="00B534BE">
              <w:rPr>
                <w:rFonts w:ascii="Century Gothic" w:hAnsi="Century Gothic"/>
                <w:sz w:val="22"/>
                <w:szCs w:val="22"/>
              </w:rPr>
              <w:t>DISPONIBILIDAD DE LA SUMA ASEGURADA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29E0D2C" w:rsidR="00EE687D" w:rsidRPr="00BA1E5F" w:rsidRDefault="00000000" w:rsidP="00EB6AB4">
            <w:pPr>
              <w:jc w:val="both"/>
              <w:rPr>
                <w:rFonts w:ascii="Century Gothic" w:hAnsi="Century Gothic" w:cs="Segoe UI"/>
                <w:sz w:val="22"/>
                <w:szCs w:val="22"/>
                <w:lang w:eastAsia="es-CO"/>
              </w:rPr>
            </w:pPr>
            <w:sdt>
              <w:sdtPr>
                <w:rPr>
                  <w:rFonts w:ascii="Century Gothic" w:hAnsi="Century Gothic"/>
                  <w:lang w:val="es-CO"/>
                </w:rPr>
                <w:alias w:val="NUMUERO SINIESTRO"/>
                <w:tag w:val="NUMERO SINIESTRO"/>
                <w:id w:val="1952504439"/>
                <w:placeholder>
                  <w:docPart w:val="CE95B9C05249C14FAD6B3FD0717CC272"/>
                </w:placeholder>
                <w:text/>
              </w:sdtPr>
              <w:sdtContent>
                <w:r w:rsidR="00375EE0" w:rsidRPr="00375EE0">
                  <w:rPr>
                    <w:rFonts w:ascii="Century Gothic" w:hAnsi="Century Gothic"/>
                    <w:lang w:val="es-CO"/>
                  </w:rPr>
                  <w:t>10074829</w:t>
                </w:r>
              </w:sdtContent>
            </w:sdt>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4D6CFBCA" w:rsidR="006F0CAA" w:rsidRPr="00BA1E5F" w:rsidRDefault="008142B2" w:rsidP="00EB6A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EE687D" w:rsidRPr="00BA1E5F" w14:paraId="00877764" w14:textId="77777777" w:rsidTr="0095378E">
        <w:trPr>
          <w:trHeight w:val="454"/>
        </w:trPr>
        <w:tc>
          <w:tcPr>
            <w:tcW w:w="3266" w:type="dxa"/>
            <w:vAlign w:val="center"/>
            <w:hideMark/>
          </w:tcPr>
          <w:p w14:paraId="749E810E" w14:textId="77777777" w:rsidR="00EE687D" w:rsidRPr="00C07D60" w:rsidRDefault="00EE687D" w:rsidP="00EB6AB4">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Póliza</w:t>
            </w:r>
          </w:p>
        </w:tc>
        <w:tc>
          <w:tcPr>
            <w:tcW w:w="6941" w:type="dxa"/>
            <w:vAlign w:val="center"/>
          </w:tcPr>
          <w:p w14:paraId="7FC9EC9E" w14:textId="50EF4C22" w:rsidR="00EE687D" w:rsidRPr="008142B2" w:rsidRDefault="008142B2" w:rsidP="00EB6AB4">
            <w:pPr>
              <w:jc w:val="both"/>
              <w:rPr>
                <w:rFonts w:ascii="Century Gothic" w:hAnsi="Century Gothic" w:cs="Segoe UI"/>
                <w:sz w:val="22"/>
                <w:szCs w:val="22"/>
                <w:lang w:val="es-CO" w:eastAsia="es-CO"/>
              </w:rPr>
            </w:pPr>
            <w:r w:rsidRPr="008142B2">
              <w:rPr>
                <w:rFonts w:ascii="Century Gothic" w:hAnsi="Century Gothic" w:cs="Segoe UI"/>
                <w:sz w:val="22"/>
                <w:szCs w:val="22"/>
                <w:lang w:val="es-CO" w:eastAsia="es-CO"/>
              </w:rPr>
              <w:t>AA003688</w:t>
            </w:r>
          </w:p>
        </w:tc>
      </w:tr>
      <w:tr w:rsidR="00C61A82" w:rsidRPr="00BA1E5F" w14:paraId="3260B646" w14:textId="77777777" w:rsidTr="00E13C08">
        <w:trPr>
          <w:trHeight w:val="454"/>
        </w:trPr>
        <w:tc>
          <w:tcPr>
            <w:tcW w:w="3266" w:type="dxa"/>
            <w:vAlign w:val="center"/>
            <w:hideMark/>
          </w:tcPr>
          <w:p w14:paraId="67FBF2E5"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Certificado</w:t>
            </w:r>
          </w:p>
        </w:tc>
        <w:tc>
          <w:tcPr>
            <w:tcW w:w="6941" w:type="dxa"/>
          </w:tcPr>
          <w:p w14:paraId="47A2248B" w14:textId="07488C2C" w:rsidR="00C61A82" w:rsidRPr="00C07D60" w:rsidRDefault="00DB6D6D" w:rsidP="00C61A82">
            <w:pPr>
              <w:jc w:val="both"/>
              <w:rPr>
                <w:rFonts w:ascii="Century Gothic" w:hAnsi="Century Gothic" w:cs="Segoe UI"/>
                <w:sz w:val="22"/>
                <w:szCs w:val="22"/>
                <w:lang w:eastAsia="es-CO"/>
              </w:rPr>
            </w:pPr>
            <w:r>
              <w:rPr>
                <w:rFonts w:ascii="Century Gothic" w:hAnsi="Century Gothic"/>
                <w:sz w:val="22"/>
                <w:szCs w:val="22"/>
              </w:rPr>
              <w:t>AA033116</w:t>
            </w:r>
          </w:p>
        </w:tc>
      </w:tr>
      <w:tr w:rsidR="00C61A82" w:rsidRPr="00BA1E5F" w14:paraId="0BC7C6A3" w14:textId="77777777" w:rsidTr="0095378E">
        <w:trPr>
          <w:trHeight w:val="454"/>
        </w:trPr>
        <w:tc>
          <w:tcPr>
            <w:tcW w:w="3266" w:type="dxa"/>
            <w:vAlign w:val="center"/>
            <w:hideMark/>
          </w:tcPr>
          <w:p w14:paraId="433D63BC"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Orden</w:t>
            </w:r>
          </w:p>
        </w:tc>
        <w:tc>
          <w:tcPr>
            <w:tcW w:w="6941" w:type="dxa"/>
            <w:vAlign w:val="center"/>
          </w:tcPr>
          <w:p w14:paraId="25280801" w14:textId="45B576DC" w:rsidR="00C61A82" w:rsidRPr="00C07D60" w:rsidRDefault="00DB6D6D" w:rsidP="00C61A82">
            <w:pPr>
              <w:jc w:val="both"/>
              <w:rPr>
                <w:rFonts w:ascii="Century Gothic" w:hAnsi="Century Gothic" w:cs="Segoe UI"/>
                <w:sz w:val="22"/>
                <w:szCs w:val="22"/>
                <w:lang w:eastAsia="es-CO"/>
              </w:rPr>
            </w:pPr>
            <w:r>
              <w:rPr>
                <w:rFonts w:ascii="Century Gothic" w:hAnsi="Century Gothic" w:cs="Segoe UI"/>
                <w:sz w:val="22"/>
                <w:szCs w:val="22"/>
                <w:lang w:eastAsia="es-CO"/>
              </w:rPr>
              <w:t>302</w:t>
            </w:r>
          </w:p>
        </w:tc>
      </w:tr>
      <w:tr w:rsidR="00C61A82" w:rsidRPr="00BA1E5F" w14:paraId="3ACEF28A" w14:textId="77777777" w:rsidTr="0095378E">
        <w:trPr>
          <w:trHeight w:val="454"/>
        </w:trPr>
        <w:tc>
          <w:tcPr>
            <w:tcW w:w="3266" w:type="dxa"/>
            <w:vAlign w:val="center"/>
          </w:tcPr>
          <w:p w14:paraId="0881BFDC" w14:textId="40C44F4A"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Sucursal</w:t>
            </w:r>
          </w:p>
        </w:tc>
        <w:tc>
          <w:tcPr>
            <w:tcW w:w="6941" w:type="dxa"/>
            <w:vAlign w:val="center"/>
          </w:tcPr>
          <w:p w14:paraId="74AA0D59" w14:textId="32A549C4"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10001</w:t>
            </w:r>
            <w:r w:rsidR="008142B2">
              <w:rPr>
                <w:rFonts w:ascii="Century Gothic" w:hAnsi="Century Gothic" w:cs="Segoe UI"/>
                <w:sz w:val="22"/>
                <w:szCs w:val="22"/>
                <w:lang w:eastAsia="es-CO"/>
              </w:rPr>
              <w:t>3</w:t>
            </w:r>
            <w:r>
              <w:rPr>
                <w:rFonts w:ascii="Century Gothic" w:hAnsi="Century Gothic" w:cs="Segoe UI"/>
                <w:sz w:val="22"/>
                <w:szCs w:val="22"/>
                <w:lang w:eastAsia="es-CO"/>
              </w:rPr>
              <w:t>.</w:t>
            </w:r>
          </w:p>
        </w:tc>
      </w:tr>
      <w:tr w:rsidR="00C61A82" w:rsidRPr="00BA1E5F" w14:paraId="4BCD09C7" w14:textId="77777777" w:rsidTr="00B97ADF">
        <w:trPr>
          <w:trHeight w:val="454"/>
        </w:trPr>
        <w:tc>
          <w:tcPr>
            <w:tcW w:w="3266" w:type="dxa"/>
            <w:vAlign w:val="center"/>
            <w:hideMark/>
          </w:tcPr>
          <w:p w14:paraId="0A1C1E81" w14:textId="17519C6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lastRenderedPageBreak/>
              <w:t>Placa del vehículo</w:t>
            </w:r>
          </w:p>
        </w:tc>
        <w:tc>
          <w:tcPr>
            <w:tcW w:w="6941" w:type="dxa"/>
          </w:tcPr>
          <w:p w14:paraId="73CAF2AF" w14:textId="0FFFCBB8"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SHT-462</w:t>
            </w:r>
          </w:p>
        </w:tc>
      </w:tr>
      <w:tr w:rsidR="00C61A82" w:rsidRPr="00BA1E5F" w14:paraId="0BA9ECEE" w14:textId="77777777" w:rsidTr="00470F9D">
        <w:trPr>
          <w:trHeight w:val="454"/>
        </w:trPr>
        <w:tc>
          <w:tcPr>
            <w:tcW w:w="3266" w:type="dxa"/>
            <w:vAlign w:val="center"/>
          </w:tcPr>
          <w:p w14:paraId="7B70AF59" w14:textId="749D67B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siniestro</w:t>
            </w:r>
          </w:p>
        </w:tc>
        <w:tc>
          <w:tcPr>
            <w:tcW w:w="6941" w:type="dxa"/>
          </w:tcPr>
          <w:p w14:paraId="2D03F3BA" w14:textId="1D2750E6" w:rsidR="00C61A82" w:rsidRPr="00C07D60" w:rsidRDefault="00375EE0" w:rsidP="00C61A82">
            <w:pPr>
              <w:jc w:val="both"/>
              <w:rPr>
                <w:rFonts w:ascii="Century Gothic" w:hAnsi="Century Gothic" w:cs="Segoe UI"/>
                <w:sz w:val="22"/>
                <w:szCs w:val="22"/>
                <w:lang w:eastAsia="es-CO"/>
              </w:rPr>
            </w:pPr>
            <w:r>
              <w:rPr>
                <w:rFonts w:ascii="Century Gothic" w:hAnsi="Century Gothic"/>
                <w:sz w:val="22"/>
                <w:szCs w:val="22"/>
              </w:rPr>
              <w:t>10 de marzo de 2017</w:t>
            </w:r>
          </w:p>
        </w:tc>
      </w:tr>
      <w:tr w:rsidR="00C61A82" w:rsidRPr="00BA1E5F" w14:paraId="05412033" w14:textId="77777777" w:rsidTr="00F3507E">
        <w:trPr>
          <w:trHeight w:val="454"/>
        </w:trPr>
        <w:tc>
          <w:tcPr>
            <w:tcW w:w="3266" w:type="dxa"/>
            <w:vAlign w:val="center"/>
          </w:tcPr>
          <w:p w14:paraId="43E688BB" w14:textId="54B02C3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aviso</w:t>
            </w:r>
          </w:p>
        </w:tc>
        <w:tc>
          <w:tcPr>
            <w:tcW w:w="6941" w:type="dxa"/>
          </w:tcPr>
          <w:p w14:paraId="7E184CA4" w14:textId="5A49843E"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30 de enero de 2018</w:t>
            </w:r>
          </w:p>
        </w:tc>
      </w:tr>
      <w:tr w:rsidR="00C61A82" w:rsidRPr="00BA1E5F" w14:paraId="6DB6B020" w14:textId="77777777" w:rsidTr="0095378E">
        <w:trPr>
          <w:trHeight w:val="454"/>
        </w:trPr>
        <w:tc>
          <w:tcPr>
            <w:tcW w:w="3266" w:type="dxa"/>
            <w:vAlign w:val="center"/>
          </w:tcPr>
          <w:p w14:paraId="13FCE7D8" w14:textId="6EA7D194"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8A925EF" w:rsidR="00C61A82" w:rsidRPr="008142B2" w:rsidRDefault="008142B2" w:rsidP="00C61A82">
            <w:pPr>
              <w:jc w:val="both"/>
              <w:rPr>
                <w:rFonts w:ascii="Century Gothic" w:hAnsi="Century Gothic" w:cs="Segoe UI"/>
                <w:sz w:val="22"/>
                <w:szCs w:val="22"/>
                <w:lang w:val="es-CO" w:eastAsia="es-CO"/>
              </w:rPr>
            </w:pPr>
            <w:r w:rsidRPr="008142B2">
              <w:rPr>
                <w:rFonts w:ascii="Century Gothic" w:hAnsi="Century Gothic" w:cs="Segoe UI"/>
                <w:sz w:val="22"/>
                <w:szCs w:val="22"/>
                <w:lang w:val="es-CO" w:eastAsia="es-CO"/>
              </w:rPr>
              <w:t>RETENCIÓN</w:t>
            </w:r>
          </w:p>
        </w:tc>
      </w:tr>
      <w:tr w:rsidR="00C61A82" w:rsidRPr="00BA1E5F" w14:paraId="2F1DA9E6" w14:textId="77777777" w:rsidTr="0095378E">
        <w:trPr>
          <w:trHeight w:val="454"/>
        </w:trPr>
        <w:tc>
          <w:tcPr>
            <w:tcW w:w="3266" w:type="dxa"/>
            <w:vAlign w:val="center"/>
          </w:tcPr>
          <w:p w14:paraId="3ECF2237" w14:textId="5FB6285C"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Tomador</w:t>
            </w:r>
          </w:p>
        </w:tc>
        <w:tc>
          <w:tcPr>
            <w:tcW w:w="6941" w:type="dxa"/>
            <w:vAlign w:val="center"/>
          </w:tcPr>
          <w:p w14:paraId="2B607964" w14:textId="28B33AC9" w:rsidR="00C61A82" w:rsidRPr="00C07D60" w:rsidRDefault="00375EE0" w:rsidP="00C61A82">
            <w:pPr>
              <w:jc w:val="both"/>
              <w:rPr>
                <w:rFonts w:ascii="Century Gothic" w:hAnsi="Century Gothic" w:cs="Segoe UI"/>
                <w:sz w:val="22"/>
                <w:szCs w:val="22"/>
                <w:lang w:eastAsia="es-CO"/>
              </w:rPr>
            </w:pPr>
            <w:r>
              <w:rPr>
                <w:rFonts w:ascii="Century Gothic" w:hAnsi="Century Gothic"/>
                <w:color w:val="000000" w:themeColor="text1"/>
                <w:sz w:val="22"/>
                <w:szCs w:val="22"/>
              </w:rPr>
              <w:t>COOP. TRANSPORTADORA DE TIMBIO LTDA</w:t>
            </w:r>
            <w:r w:rsidR="00F55307" w:rsidRPr="00C07D60">
              <w:rPr>
                <w:rFonts w:ascii="Century Gothic" w:hAnsi="Century Gothic"/>
                <w:color w:val="000000" w:themeColor="text1"/>
                <w:sz w:val="22"/>
                <w:szCs w:val="22"/>
              </w:rPr>
              <w:t>.</w:t>
            </w:r>
          </w:p>
        </w:tc>
      </w:tr>
      <w:tr w:rsidR="00C61A82" w:rsidRPr="00BA1E5F" w14:paraId="1165CBE1" w14:textId="77777777" w:rsidTr="0095378E">
        <w:trPr>
          <w:trHeight w:val="454"/>
        </w:trPr>
        <w:tc>
          <w:tcPr>
            <w:tcW w:w="3266" w:type="dxa"/>
            <w:vAlign w:val="center"/>
          </w:tcPr>
          <w:p w14:paraId="640F2169" w14:textId="4903327C"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EFC8813" w:rsidR="00C61A82" w:rsidRPr="00C07D60" w:rsidRDefault="00375EE0" w:rsidP="00C61A82">
            <w:pPr>
              <w:jc w:val="both"/>
              <w:rPr>
                <w:rFonts w:ascii="Century Gothic" w:hAnsi="Century Gothic" w:cs="Segoe UI"/>
                <w:sz w:val="22"/>
                <w:szCs w:val="22"/>
                <w:lang w:eastAsia="es-CO"/>
              </w:rPr>
            </w:pPr>
            <w:r>
              <w:rPr>
                <w:rFonts w:ascii="Century Gothic" w:hAnsi="Century Gothic" w:cs="Segoe UI"/>
                <w:sz w:val="22"/>
                <w:szCs w:val="22"/>
                <w:lang w:eastAsia="es-CO"/>
              </w:rPr>
              <w:t>RUBIO PANTOJA TORRES</w:t>
            </w:r>
          </w:p>
        </w:tc>
      </w:tr>
      <w:tr w:rsidR="00C61A82" w:rsidRPr="00BA1E5F" w14:paraId="513C2A8D" w14:textId="77777777" w:rsidTr="00A16F80">
        <w:trPr>
          <w:trHeight w:val="454"/>
        </w:trPr>
        <w:tc>
          <w:tcPr>
            <w:tcW w:w="3266" w:type="dxa"/>
            <w:vAlign w:val="center"/>
            <w:hideMark/>
          </w:tcPr>
          <w:p w14:paraId="5E1FDA28" w14:textId="16DB1B8E"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Ramo</w:t>
            </w:r>
          </w:p>
        </w:tc>
        <w:tc>
          <w:tcPr>
            <w:tcW w:w="6941" w:type="dxa"/>
          </w:tcPr>
          <w:p w14:paraId="0701202E" w14:textId="6397D899" w:rsidR="00C61A82" w:rsidRPr="008142B2" w:rsidRDefault="008142B2" w:rsidP="00C61A82">
            <w:pPr>
              <w:jc w:val="both"/>
              <w:rPr>
                <w:rFonts w:ascii="Century Gothic" w:hAnsi="Century Gothic" w:cs="Segoe UI"/>
                <w:sz w:val="22"/>
                <w:szCs w:val="22"/>
                <w:lang w:val="es-CO" w:eastAsia="es-CO"/>
              </w:rPr>
            </w:pPr>
            <w:r w:rsidRPr="008142B2">
              <w:rPr>
                <w:rFonts w:ascii="Century Gothic" w:hAnsi="Century Gothic" w:cs="Segoe UI"/>
                <w:sz w:val="22"/>
                <w:szCs w:val="22"/>
                <w:lang w:val="es-CO" w:eastAsia="es-CO"/>
              </w:rPr>
              <w:t>RC CONTRACTAL</w:t>
            </w:r>
          </w:p>
        </w:tc>
      </w:tr>
      <w:tr w:rsidR="00C61A82" w:rsidRPr="00BA1E5F" w14:paraId="2F8ECFA3" w14:textId="77777777" w:rsidTr="0095378E">
        <w:trPr>
          <w:trHeight w:val="454"/>
        </w:trPr>
        <w:tc>
          <w:tcPr>
            <w:tcW w:w="3266" w:type="dxa"/>
            <w:vAlign w:val="center"/>
            <w:hideMark/>
          </w:tcPr>
          <w:p w14:paraId="0C3932A6" w14:textId="2792643B"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6A8A923" w:rsidR="00C61A82" w:rsidRPr="008142B2" w:rsidRDefault="008142B2" w:rsidP="00C61A82">
            <w:pPr>
              <w:jc w:val="both"/>
              <w:rPr>
                <w:rFonts w:ascii="Century Gothic" w:hAnsi="Century Gothic" w:cs="Segoe UI"/>
                <w:sz w:val="22"/>
                <w:szCs w:val="22"/>
                <w:lang w:val="es-CO" w:eastAsia="es-CO"/>
              </w:rPr>
            </w:pPr>
            <w:r w:rsidRPr="008142B2">
              <w:rPr>
                <w:rFonts w:ascii="Century Gothic" w:hAnsi="Century Gothic" w:cs="Segoe UI"/>
                <w:sz w:val="22"/>
                <w:szCs w:val="22"/>
                <w:lang w:val="es-CO" w:eastAsia="es-CO"/>
              </w:rPr>
              <w:t>MUERTE ACCIDENTAL</w:t>
            </w:r>
          </w:p>
        </w:tc>
      </w:tr>
      <w:tr w:rsidR="00C61A82" w:rsidRPr="00BA1E5F" w14:paraId="59B4A554" w14:textId="77777777" w:rsidTr="0095378E">
        <w:trPr>
          <w:trHeight w:val="454"/>
        </w:trPr>
        <w:tc>
          <w:tcPr>
            <w:tcW w:w="3266" w:type="dxa"/>
            <w:vAlign w:val="center"/>
            <w:hideMark/>
          </w:tcPr>
          <w:p w14:paraId="0412A958"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6BEE2359" w:rsidR="00C61A82" w:rsidRPr="008142B2" w:rsidRDefault="008142B2" w:rsidP="00C61A82">
            <w:pPr>
              <w:jc w:val="both"/>
              <w:rPr>
                <w:rFonts w:ascii="Century Gothic" w:hAnsi="Century Gothic" w:cs="Segoe UI"/>
                <w:sz w:val="22"/>
                <w:szCs w:val="22"/>
                <w:lang w:val="es-CO" w:eastAsia="es-CO"/>
              </w:rPr>
            </w:pPr>
            <w:r w:rsidRPr="008142B2">
              <w:rPr>
                <w:rFonts w:ascii="Century Gothic" w:hAnsi="Century Gothic" w:cs="Segoe UI"/>
                <w:sz w:val="22"/>
                <w:szCs w:val="22"/>
                <w:lang w:val="es-CO" w:eastAsia="es-CO"/>
              </w:rPr>
              <w:t>100 POR PUESTO/PERSONA</w:t>
            </w:r>
          </w:p>
        </w:tc>
      </w:tr>
      <w:tr w:rsidR="00C61A82" w:rsidRPr="00BA1E5F" w14:paraId="2F24D88E" w14:textId="77777777" w:rsidTr="0095378E">
        <w:trPr>
          <w:trHeight w:val="454"/>
        </w:trPr>
        <w:tc>
          <w:tcPr>
            <w:tcW w:w="3266" w:type="dxa"/>
            <w:vAlign w:val="center"/>
          </w:tcPr>
          <w:p w14:paraId="0E72F2CD" w14:textId="1A6BE851"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2E81E5" w:rsidR="00C61A82" w:rsidRPr="00C07D60" w:rsidRDefault="00C07D60"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N/A</w:t>
            </w:r>
          </w:p>
        </w:tc>
      </w:tr>
      <w:tr w:rsidR="00C61A82" w:rsidRPr="00BA1E5F" w14:paraId="658B9E4D" w14:textId="77777777" w:rsidTr="0095378E">
        <w:trPr>
          <w:trHeight w:val="454"/>
        </w:trPr>
        <w:tc>
          <w:tcPr>
            <w:tcW w:w="3266" w:type="dxa"/>
            <w:vAlign w:val="center"/>
            <w:hideMark/>
          </w:tcPr>
          <w:p w14:paraId="02377331" w14:textId="79A3F98F"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35D590C" w:rsidR="00375EE0" w:rsidRPr="00375EE0" w:rsidRDefault="008142B2" w:rsidP="00C61A82">
            <w:pPr>
              <w:jc w:val="both"/>
              <w:rPr>
                <w:rFonts w:ascii="Century Gothic" w:hAnsi="Century Gothic"/>
                <w:sz w:val="22"/>
                <w:szCs w:val="22"/>
              </w:rPr>
            </w:pPr>
            <w:r>
              <w:rPr>
                <w:rFonts w:ascii="Century Gothic" w:hAnsi="Century Gothic"/>
                <w:sz w:val="22"/>
                <w:szCs w:val="22"/>
              </w:rPr>
              <w:t>$</w:t>
            </w:r>
            <w:r w:rsidR="00375EE0">
              <w:rPr>
                <w:rFonts w:ascii="Century Gothic" w:hAnsi="Century Gothic"/>
                <w:sz w:val="22"/>
                <w:szCs w:val="22"/>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1514B09" w:rsidR="002633C0" w:rsidRPr="00BA1E5F" w:rsidRDefault="00E947B7"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2A07E8B4" w:rsidR="002633C0" w:rsidRPr="00BA1E5F" w:rsidRDefault="008142B2" w:rsidP="003314A2">
            <w:pPr>
              <w:spacing w:line="360" w:lineRule="auto"/>
              <w:rPr>
                <w:rFonts w:ascii="Century Gothic" w:hAnsi="Century Gothic"/>
                <w:sz w:val="22"/>
                <w:szCs w:val="22"/>
              </w:rPr>
            </w:pPr>
            <w:r>
              <w:rPr>
                <w:rFonts w:ascii="Century Gothic" w:hAnsi="Century Gothic"/>
                <w:sz w:val="22"/>
                <w:szCs w:val="22"/>
              </w:rPr>
              <w:t>$192.912.500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147B5EEF" w14:textId="5C435A87" w:rsidR="00DB6D6D" w:rsidRDefault="00DB6D6D" w:rsidP="00DB6D6D">
            <w:pPr>
              <w:spacing w:line="360" w:lineRule="auto"/>
              <w:jc w:val="both"/>
              <w:rPr>
                <w:rFonts w:ascii="Century Gothic" w:hAnsi="Century Gothic"/>
                <w:sz w:val="22"/>
                <w:szCs w:val="22"/>
              </w:rPr>
            </w:pPr>
            <w:r w:rsidRPr="001E0B01">
              <w:rPr>
                <w:rFonts w:ascii="Century Gothic" w:hAnsi="Century Gothic"/>
                <w:sz w:val="22"/>
                <w:szCs w:val="22"/>
              </w:rPr>
              <w:t>La contingencia se califica como</w:t>
            </w:r>
            <w:r>
              <w:rPr>
                <w:rFonts w:ascii="Century Gothic" w:hAnsi="Century Gothic"/>
                <w:sz w:val="22"/>
                <w:szCs w:val="22"/>
              </w:rPr>
              <w:t xml:space="preserve"> </w:t>
            </w:r>
            <w:r w:rsidR="00B534BE">
              <w:rPr>
                <w:rFonts w:ascii="Century Gothic" w:hAnsi="Century Gothic"/>
                <w:sz w:val="22"/>
                <w:szCs w:val="22"/>
              </w:rPr>
              <w:t>REMOTA</w:t>
            </w:r>
            <w:r>
              <w:rPr>
                <w:rFonts w:ascii="Century Gothic" w:hAnsi="Century Gothic"/>
                <w:sz w:val="22"/>
                <w:szCs w:val="22"/>
              </w:rPr>
              <w:t xml:space="preserve"> teniendo en cuenta que </w:t>
            </w:r>
            <w:r w:rsidR="00B534BE">
              <w:rPr>
                <w:rFonts w:ascii="Century Gothic" w:hAnsi="Century Gothic"/>
                <w:sz w:val="22"/>
                <w:szCs w:val="22"/>
              </w:rPr>
              <w:t xml:space="preserve">se configuró la prescripción ordinaria de la acción de contrato de seguro frente al asegurado dado el llamamiento tardío propuesto por la Cooperativa Transportadora de </w:t>
            </w:r>
            <w:proofErr w:type="spellStart"/>
            <w:r w:rsidR="00B534BE">
              <w:rPr>
                <w:rFonts w:ascii="Century Gothic" w:hAnsi="Century Gothic"/>
                <w:sz w:val="22"/>
                <w:szCs w:val="22"/>
              </w:rPr>
              <w:t>Timbio</w:t>
            </w:r>
            <w:proofErr w:type="spellEnd"/>
            <w:r w:rsidR="00B534BE">
              <w:rPr>
                <w:rFonts w:ascii="Century Gothic" w:hAnsi="Century Gothic"/>
                <w:sz w:val="22"/>
                <w:szCs w:val="22"/>
              </w:rPr>
              <w:t xml:space="preserve">, así mismo </w:t>
            </w:r>
            <w:r w:rsidR="00391A8E">
              <w:rPr>
                <w:rFonts w:ascii="Century Gothic" w:hAnsi="Century Gothic"/>
                <w:sz w:val="22"/>
                <w:szCs w:val="22"/>
              </w:rPr>
              <w:t xml:space="preserve">a pesar de que no se vinculó a la compañía de forma directa, </w:t>
            </w:r>
            <w:r w:rsidR="00B534BE">
              <w:rPr>
                <w:rFonts w:ascii="Century Gothic" w:hAnsi="Century Gothic"/>
                <w:sz w:val="22"/>
                <w:szCs w:val="22"/>
              </w:rPr>
              <w:t xml:space="preserve">se configuró la prescripción extraordinaria </w:t>
            </w:r>
            <w:r w:rsidR="00391A8E">
              <w:rPr>
                <w:rFonts w:ascii="Century Gothic" w:hAnsi="Century Gothic"/>
                <w:sz w:val="22"/>
                <w:szCs w:val="22"/>
              </w:rPr>
              <w:t xml:space="preserve">frente a la </w:t>
            </w:r>
            <w:r w:rsidR="0012584C">
              <w:rPr>
                <w:rFonts w:ascii="Century Gothic" w:hAnsi="Century Gothic"/>
                <w:sz w:val="22"/>
                <w:szCs w:val="22"/>
              </w:rPr>
              <w:t>víctima</w:t>
            </w:r>
            <w:r w:rsidR="00391A8E">
              <w:rPr>
                <w:rFonts w:ascii="Century Gothic" w:hAnsi="Century Gothic"/>
                <w:sz w:val="22"/>
                <w:szCs w:val="22"/>
              </w:rPr>
              <w:t xml:space="preserve"> directa por cuanto transcurrieron más de cinco años desde </w:t>
            </w:r>
            <w:r w:rsidR="0012584C">
              <w:rPr>
                <w:rFonts w:ascii="Century Gothic" w:hAnsi="Century Gothic"/>
                <w:sz w:val="22"/>
                <w:szCs w:val="22"/>
              </w:rPr>
              <w:t xml:space="preserve">la ocurrencia de </w:t>
            </w:r>
            <w:r w:rsidR="00391A8E">
              <w:rPr>
                <w:rFonts w:ascii="Century Gothic" w:hAnsi="Century Gothic"/>
                <w:sz w:val="22"/>
                <w:szCs w:val="22"/>
              </w:rPr>
              <w:t>los hechos que dieron base a la acción y desde la primera reclamación que se realizó a la compañía aseguradora.</w:t>
            </w:r>
          </w:p>
          <w:p w14:paraId="5BF5B995" w14:textId="77777777" w:rsidR="00DB6D6D" w:rsidRDefault="00DB6D6D" w:rsidP="00DB6D6D">
            <w:pPr>
              <w:spacing w:line="360" w:lineRule="auto"/>
              <w:jc w:val="both"/>
              <w:rPr>
                <w:rFonts w:ascii="Century Gothic" w:hAnsi="Century Gothic"/>
                <w:sz w:val="22"/>
                <w:szCs w:val="22"/>
              </w:rPr>
            </w:pPr>
          </w:p>
          <w:p w14:paraId="59017E06" w14:textId="1ED12B88" w:rsidR="00DB6D6D" w:rsidRDefault="004968DD" w:rsidP="00DB6D6D">
            <w:pPr>
              <w:spacing w:line="360" w:lineRule="auto"/>
              <w:jc w:val="both"/>
              <w:rPr>
                <w:rFonts w:ascii="Century Gothic" w:hAnsi="Century Gothic"/>
                <w:sz w:val="22"/>
                <w:szCs w:val="22"/>
              </w:rPr>
            </w:pPr>
            <w:r>
              <w:rPr>
                <w:rFonts w:ascii="Century Gothic" w:hAnsi="Century Gothic"/>
                <w:sz w:val="22"/>
                <w:szCs w:val="22"/>
              </w:rPr>
              <w:t xml:space="preserve">Los hechos ocurrieron dentro de la vigencia de la póliza </w:t>
            </w:r>
            <w:r w:rsidR="00DB6D6D">
              <w:rPr>
                <w:rFonts w:ascii="Century Gothic" w:hAnsi="Century Gothic"/>
                <w:sz w:val="22"/>
                <w:szCs w:val="22"/>
              </w:rPr>
              <w:t>R.C. Extracontractual No.</w:t>
            </w:r>
            <w:r w:rsidR="00391A8E">
              <w:rPr>
                <w:rFonts w:ascii="Century Gothic" w:hAnsi="Century Gothic"/>
                <w:sz w:val="22"/>
                <w:szCs w:val="22"/>
              </w:rPr>
              <w:t xml:space="preserve"> </w:t>
            </w:r>
            <w:r w:rsidR="00391A8E" w:rsidRPr="00375EE0">
              <w:rPr>
                <w:rFonts w:ascii="Century Gothic" w:hAnsi="Century Gothic"/>
                <w:sz w:val="22"/>
                <w:szCs w:val="22"/>
              </w:rPr>
              <w:t>AA003687</w:t>
            </w:r>
            <w:r>
              <w:rPr>
                <w:rFonts w:ascii="Century Gothic" w:hAnsi="Century Gothic"/>
                <w:sz w:val="22"/>
                <w:szCs w:val="22"/>
              </w:rPr>
              <w:t xml:space="preserve">, sin embargo, la acción está prescrita por lo tanto no es viable su afectación. </w:t>
            </w:r>
          </w:p>
          <w:p w14:paraId="505D1A92" w14:textId="77777777" w:rsidR="004968DD" w:rsidRDefault="004968DD" w:rsidP="00DB6D6D">
            <w:pPr>
              <w:spacing w:line="360" w:lineRule="auto"/>
              <w:jc w:val="both"/>
              <w:rPr>
                <w:rFonts w:ascii="Century Gothic" w:hAnsi="Century Gothic"/>
                <w:sz w:val="22"/>
                <w:szCs w:val="22"/>
              </w:rPr>
            </w:pPr>
          </w:p>
          <w:p w14:paraId="294CA08C" w14:textId="756D6B99" w:rsidR="00DB6D6D" w:rsidRDefault="00DB6D6D" w:rsidP="00DB6D6D">
            <w:pPr>
              <w:spacing w:line="360" w:lineRule="auto"/>
              <w:jc w:val="both"/>
              <w:rPr>
                <w:rFonts w:ascii="Century Gothic" w:hAnsi="Century Gothic"/>
                <w:sz w:val="22"/>
                <w:szCs w:val="22"/>
              </w:rPr>
            </w:pPr>
            <w:r>
              <w:rPr>
                <w:rFonts w:ascii="Century Gothic" w:hAnsi="Century Gothic"/>
                <w:sz w:val="22"/>
                <w:szCs w:val="22"/>
              </w:rPr>
              <w:t xml:space="preserve">Por otra parte, la póliza </w:t>
            </w:r>
            <w:r w:rsidR="00391A8E">
              <w:rPr>
                <w:rFonts w:ascii="Century Gothic" w:hAnsi="Century Gothic"/>
                <w:sz w:val="22"/>
                <w:szCs w:val="22"/>
              </w:rPr>
              <w:t xml:space="preserve">RC. AA003688 </w:t>
            </w:r>
            <w:r w:rsidR="004968DD">
              <w:rPr>
                <w:rFonts w:ascii="Century Gothic" w:hAnsi="Century Gothic"/>
                <w:sz w:val="22"/>
                <w:szCs w:val="22"/>
              </w:rPr>
              <w:t>no presta cobertura material</w:t>
            </w:r>
            <w:r>
              <w:rPr>
                <w:rFonts w:ascii="Century Gothic" w:hAnsi="Century Gothic"/>
                <w:sz w:val="22"/>
                <w:szCs w:val="22"/>
              </w:rPr>
              <w:t xml:space="preserve"> </w:t>
            </w:r>
            <w:r w:rsidR="004968DD">
              <w:rPr>
                <w:rFonts w:ascii="Century Gothic" w:hAnsi="Century Gothic"/>
                <w:sz w:val="22"/>
                <w:szCs w:val="22"/>
              </w:rPr>
              <w:t>porque</w:t>
            </w:r>
            <w:r>
              <w:rPr>
                <w:rFonts w:ascii="Century Gothic" w:hAnsi="Century Gothic"/>
                <w:sz w:val="22"/>
                <w:szCs w:val="22"/>
              </w:rPr>
              <w:t xml:space="preserve"> ampara exclusivamente los daños ocasionados a pasajeros del vehículo asegurado, más no a terceros como ocurre en el caso de marras. </w:t>
            </w:r>
          </w:p>
          <w:p w14:paraId="7BB7D1B4" w14:textId="77777777" w:rsidR="00DB6D6D" w:rsidRDefault="00DB6D6D" w:rsidP="00DB6D6D">
            <w:pPr>
              <w:spacing w:line="360" w:lineRule="auto"/>
              <w:jc w:val="both"/>
              <w:rPr>
                <w:rFonts w:ascii="Century Gothic" w:hAnsi="Century Gothic"/>
                <w:sz w:val="22"/>
                <w:szCs w:val="22"/>
              </w:rPr>
            </w:pPr>
          </w:p>
          <w:p w14:paraId="41A99FF0" w14:textId="69820725" w:rsidR="00DB6D6D" w:rsidRPr="00742285" w:rsidRDefault="004968DD" w:rsidP="00DB6D6D">
            <w:pPr>
              <w:spacing w:line="360" w:lineRule="auto"/>
              <w:jc w:val="both"/>
              <w:rPr>
                <w:rFonts w:ascii="Century Gothic" w:hAnsi="Century Gothic"/>
                <w:sz w:val="20"/>
                <w:szCs w:val="20"/>
              </w:rPr>
            </w:pPr>
            <w:r>
              <w:rPr>
                <w:rFonts w:ascii="Century Gothic" w:hAnsi="Century Gothic"/>
                <w:sz w:val="22"/>
                <w:szCs w:val="22"/>
              </w:rPr>
              <w:t>F</w:t>
            </w:r>
            <w:r w:rsidR="00DB6D6D">
              <w:rPr>
                <w:rFonts w:ascii="Century Gothic" w:hAnsi="Century Gothic"/>
                <w:sz w:val="22"/>
                <w:szCs w:val="22"/>
              </w:rPr>
              <w:t xml:space="preserve">rente a la responsabilidad del asegurado debe advertirse que está probada, principalmente, de acuerdo con el Informe Policial de Accidente de Tránsito donde se atribuyó al vehículo asegurado la hipótesis </w:t>
            </w:r>
            <w:r w:rsidR="00C04666">
              <w:rPr>
                <w:rFonts w:ascii="Century Gothic" w:hAnsi="Century Gothic"/>
                <w:sz w:val="22"/>
                <w:szCs w:val="22"/>
              </w:rPr>
              <w:t>112</w:t>
            </w:r>
            <w:r w:rsidR="00DB6D6D">
              <w:rPr>
                <w:rFonts w:ascii="Century Gothic" w:hAnsi="Century Gothic"/>
                <w:sz w:val="22"/>
                <w:szCs w:val="22"/>
              </w:rPr>
              <w:t xml:space="preserve"> (</w:t>
            </w:r>
            <w:r w:rsidR="00C04666">
              <w:rPr>
                <w:rFonts w:ascii="Century Gothic" w:hAnsi="Century Gothic"/>
                <w:sz w:val="22"/>
                <w:szCs w:val="22"/>
              </w:rPr>
              <w:t>Desobedecer señales o normas de tránsito</w:t>
            </w:r>
            <w:r w:rsidR="00DB6D6D">
              <w:rPr>
                <w:rFonts w:ascii="Century Gothic" w:hAnsi="Century Gothic"/>
                <w:sz w:val="22"/>
                <w:szCs w:val="22"/>
              </w:rPr>
              <w:t xml:space="preserve">) sin evidenciar alguna causa extraña para la ocurrencia del accidente por lo que su actuación y el deber de cuidado sobre el vehículo recaerá sobre </w:t>
            </w:r>
            <w:r>
              <w:rPr>
                <w:rFonts w:ascii="Century Gothic" w:hAnsi="Century Gothic"/>
                <w:sz w:val="22"/>
                <w:szCs w:val="22"/>
              </w:rPr>
              <w:t>él</w:t>
            </w:r>
            <w:r w:rsidR="00C04666">
              <w:rPr>
                <w:rFonts w:ascii="Century Gothic" w:hAnsi="Century Gothic"/>
                <w:sz w:val="22"/>
                <w:szCs w:val="22"/>
              </w:rPr>
              <w:t xml:space="preserve">, cabe resaltar que si bien en el informe IPAT se estableció la causal 409 (cruzar sin observar), se evidencia que el peatón circulaba sobre un paso peatonal cebrado y debidamente señalizado por lo que la alegación frente al hecho exclusivo de la víctima </w:t>
            </w:r>
            <w:r>
              <w:rPr>
                <w:rFonts w:ascii="Century Gothic" w:hAnsi="Century Gothic"/>
                <w:sz w:val="22"/>
                <w:szCs w:val="22"/>
              </w:rPr>
              <w:t>tiene una vocación de prosperidad baja</w:t>
            </w:r>
            <w:r w:rsidR="00C04666">
              <w:rPr>
                <w:rFonts w:ascii="Century Gothic" w:hAnsi="Century Gothic"/>
                <w:sz w:val="22"/>
                <w:szCs w:val="22"/>
              </w:rPr>
              <w:t>.</w:t>
            </w:r>
            <w:r w:rsidR="00DB6D6D" w:rsidRPr="00742285">
              <w:rPr>
                <w:rFonts w:ascii="Century Gothic" w:hAnsi="Century Gothic"/>
                <w:bCs/>
                <w:sz w:val="22"/>
                <w:szCs w:val="22"/>
              </w:rPr>
              <w:t xml:space="preserve"> Por lo anterior, </w:t>
            </w:r>
            <w:r>
              <w:rPr>
                <w:rFonts w:ascii="Century Gothic" w:hAnsi="Century Gothic"/>
                <w:bCs/>
                <w:sz w:val="22"/>
                <w:szCs w:val="22"/>
              </w:rPr>
              <w:t>se concluye que la responsabilidad del conductor del vehículo asegurado está probada.</w:t>
            </w:r>
          </w:p>
          <w:p w14:paraId="58FF1192" w14:textId="31569038" w:rsidR="004201E1" w:rsidRPr="00BA1E5F" w:rsidRDefault="004201E1" w:rsidP="00C04666">
            <w:pPr>
              <w:spacing w:line="360" w:lineRule="auto"/>
              <w:jc w:val="both"/>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279E8B24" w14:textId="379D25A9"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AF19C9">
              <w:rPr>
                <w:rFonts w:ascii="Century Gothic" w:hAnsi="Century Gothic"/>
                <w:b/>
                <w:bCs/>
                <w:sz w:val="22"/>
                <w:szCs w:val="22"/>
              </w:rPr>
              <w:t>:</w:t>
            </w:r>
            <w:r w:rsidR="00391A8E">
              <w:rPr>
                <w:rFonts w:ascii="Century Gothic" w:hAnsi="Century Gothic"/>
                <w:b/>
                <w:bCs/>
                <w:sz w:val="22"/>
                <w:szCs w:val="22"/>
              </w:rPr>
              <w:t xml:space="preserve"> BSDM</w:t>
            </w:r>
          </w:p>
          <w:p w14:paraId="3A806213" w14:textId="6E737EA4" w:rsidR="00AF19C9" w:rsidRPr="00BA1E5F" w:rsidRDefault="00AF19C9" w:rsidP="00BA1E5F">
            <w:pPr>
              <w:spacing w:line="360" w:lineRule="auto"/>
              <w:jc w:val="center"/>
              <w:rPr>
                <w:rFonts w:ascii="Century Gothic" w:hAnsi="Century Gothic"/>
                <w:b/>
                <w:bCs/>
                <w:sz w:val="22"/>
                <w:szCs w:val="22"/>
              </w:rPr>
            </w:pPr>
            <w:r w:rsidRPr="00AF19C9">
              <w:rPr>
                <w:rFonts w:ascii="Century Gothic" w:hAnsi="Century Gothic"/>
                <w:b/>
                <w:bCs/>
                <w:sz w:val="22"/>
                <w:szCs w:val="22"/>
              </w:rPr>
              <w:t>GH Abogados &amp; Asociados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95CDD" w14:textId="77777777" w:rsidR="00CD3566" w:rsidRDefault="00CD3566" w:rsidP="00E7033F">
      <w:r>
        <w:separator/>
      </w:r>
    </w:p>
  </w:endnote>
  <w:endnote w:type="continuationSeparator" w:id="0">
    <w:p w14:paraId="24AA3384" w14:textId="77777777" w:rsidR="00CD3566" w:rsidRDefault="00CD3566"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6D0E8" w14:textId="77777777" w:rsidR="00CD3566" w:rsidRDefault="00CD3566" w:rsidP="00E7033F">
      <w:r>
        <w:separator/>
      </w:r>
    </w:p>
  </w:footnote>
  <w:footnote w:type="continuationSeparator" w:id="0">
    <w:p w14:paraId="2D5A29C6" w14:textId="77777777" w:rsidR="00CD3566" w:rsidRDefault="00CD3566"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7781B"/>
    <w:multiLevelType w:val="hybridMultilevel"/>
    <w:tmpl w:val="649E6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A25D24"/>
    <w:multiLevelType w:val="multilevel"/>
    <w:tmpl w:val="019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04BF5"/>
    <w:multiLevelType w:val="hybridMultilevel"/>
    <w:tmpl w:val="557CC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8509D8"/>
    <w:multiLevelType w:val="hybridMultilevel"/>
    <w:tmpl w:val="5AF84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861851"/>
    <w:multiLevelType w:val="hybridMultilevel"/>
    <w:tmpl w:val="A77E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242779">
    <w:abstractNumId w:val="1"/>
  </w:num>
  <w:num w:numId="2" w16cid:durableId="1252936886">
    <w:abstractNumId w:val="4"/>
  </w:num>
  <w:num w:numId="3" w16cid:durableId="1410689310">
    <w:abstractNumId w:val="5"/>
  </w:num>
  <w:num w:numId="4" w16cid:durableId="1328941529">
    <w:abstractNumId w:val="3"/>
  </w:num>
  <w:num w:numId="5" w16cid:durableId="1386946279">
    <w:abstractNumId w:val="2"/>
  </w:num>
  <w:num w:numId="6" w16cid:durableId="138563674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43011"/>
    <w:rsid w:val="000554F9"/>
    <w:rsid w:val="00060489"/>
    <w:rsid w:val="00072BFC"/>
    <w:rsid w:val="000C74BC"/>
    <w:rsid w:val="000D23FC"/>
    <w:rsid w:val="000F5348"/>
    <w:rsid w:val="001129B6"/>
    <w:rsid w:val="0012584C"/>
    <w:rsid w:val="00137B30"/>
    <w:rsid w:val="0014779A"/>
    <w:rsid w:val="001611D3"/>
    <w:rsid w:val="00172DD0"/>
    <w:rsid w:val="00181E11"/>
    <w:rsid w:val="001C44B4"/>
    <w:rsid w:val="001E096B"/>
    <w:rsid w:val="001E1616"/>
    <w:rsid w:val="001E5C79"/>
    <w:rsid w:val="002047E8"/>
    <w:rsid w:val="00263011"/>
    <w:rsid w:val="002633C0"/>
    <w:rsid w:val="00267833"/>
    <w:rsid w:val="002A0E98"/>
    <w:rsid w:val="002B58BA"/>
    <w:rsid w:val="002D2E61"/>
    <w:rsid w:val="002E7EB5"/>
    <w:rsid w:val="002F334D"/>
    <w:rsid w:val="00302408"/>
    <w:rsid w:val="00311097"/>
    <w:rsid w:val="00314CAF"/>
    <w:rsid w:val="00324E27"/>
    <w:rsid w:val="003314A2"/>
    <w:rsid w:val="00375EE0"/>
    <w:rsid w:val="003827E1"/>
    <w:rsid w:val="00391A8E"/>
    <w:rsid w:val="003B44CB"/>
    <w:rsid w:val="003B7F1A"/>
    <w:rsid w:val="003F6621"/>
    <w:rsid w:val="00403BFC"/>
    <w:rsid w:val="004201E1"/>
    <w:rsid w:val="00437455"/>
    <w:rsid w:val="004376ED"/>
    <w:rsid w:val="00460AAF"/>
    <w:rsid w:val="00493936"/>
    <w:rsid w:val="004968DD"/>
    <w:rsid w:val="004C7D4E"/>
    <w:rsid w:val="004E6465"/>
    <w:rsid w:val="00504FFB"/>
    <w:rsid w:val="0051185E"/>
    <w:rsid w:val="00537336"/>
    <w:rsid w:val="00566691"/>
    <w:rsid w:val="005F61D3"/>
    <w:rsid w:val="006056E7"/>
    <w:rsid w:val="00694306"/>
    <w:rsid w:val="006A1563"/>
    <w:rsid w:val="006B5293"/>
    <w:rsid w:val="006D4B21"/>
    <w:rsid w:val="006F0CAA"/>
    <w:rsid w:val="006F1307"/>
    <w:rsid w:val="00706658"/>
    <w:rsid w:val="00761B63"/>
    <w:rsid w:val="007C37D7"/>
    <w:rsid w:val="007E732F"/>
    <w:rsid w:val="007F268F"/>
    <w:rsid w:val="007F6DEA"/>
    <w:rsid w:val="008142B2"/>
    <w:rsid w:val="008973E0"/>
    <w:rsid w:val="008B59F4"/>
    <w:rsid w:val="008B61E5"/>
    <w:rsid w:val="008B685D"/>
    <w:rsid w:val="008E249B"/>
    <w:rsid w:val="008F6B57"/>
    <w:rsid w:val="00903AF5"/>
    <w:rsid w:val="009115E9"/>
    <w:rsid w:val="009178AD"/>
    <w:rsid w:val="0095378E"/>
    <w:rsid w:val="00962BAE"/>
    <w:rsid w:val="009820E4"/>
    <w:rsid w:val="0098679E"/>
    <w:rsid w:val="00987619"/>
    <w:rsid w:val="00992368"/>
    <w:rsid w:val="00996B7A"/>
    <w:rsid w:val="009A06ED"/>
    <w:rsid w:val="009A6B38"/>
    <w:rsid w:val="009B7AF4"/>
    <w:rsid w:val="009D75FA"/>
    <w:rsid w:val="00A34FF8"/>
    <w:rsid w:val="00A90588"/>
    <w:rsid w:val="00A939EB"/>
    <w:rsid w:val="00A949C0"/>
    <w:rsid w:val="00AF19C9"/>
    <w:rsid w:val="00B17659"/>
    <w:rsid w:val="00B2787D"/>
    <w:rsid w:val="00B534BE"/>
    <w:rsid w:val="00B90E05"/>
    <w:rsid w:val="00BA0472"/>
    <w:rsid w:val="00BA1E5F"/>
    <w:rsid w:val="00BD2345"/>
    <w:rsid w:val="00C04666"/>
    <w:rsid w:val="00C07D60"/>
    <w:rsid w:val="00C61A82"/>
    <w:rsid w:val="00CB0983"/>
    <w:rsid w:val="00CC387B"/>
    <w:rsid w:val="00CD3566"/>
    <w:rsid w:val="00CF3BCC"/>
    <w:rsid w:val="00D110EB"/>
    <w:rsid w:val="00D33414"/>
    <w:rsid w:val="00D35F0D"/>
    <w:rsid w:val="00D41C8E"/>
    <w:rsid w:val="00D64F4E"/>
    <w:rsid w:val="00DA654C"/>
    <w:rsid w:val="00DB6D6D"/>
    <w:rsid w:val="00DD6A64"/>
    <w:rsid w:val="00DE5BEB"/>
    <w:rsid w:val="00E61260"/>
    <w:rsid w:val="00E65A58"/>
    <w:rsid w:val="00E7033F"/>
    <w:rsid w:val="00E802BC"/>
    <w:rsid w:val="00E947B7"/>
    <w:rsid w:val="00EA0B78"/>
    <w:rsid w:val="00EB5FFB"/>
    <w:rsid w:val="00EE687D"/>
    <w:rsid w:val="00F46F10"/>
    <w:rsid w:val="00F52737"/>
    <w:rsid w:val="00F55307"/>
    <w:rsid w:val="00F62D63"/>
    <w:rsid w:val="00F67EF8"/>
    <w:rsid w:val="00F8251A"/>
    <w:rsid w:val="00F856C2"/>
    <w:rsid w:val="00F90650"/>
    <w:rsid w:val="00FC01A7"/>
    <w:rsid w:val="00FC0C4C"/>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FF8"/>
    <w:pPr>
      <w:ind w:left="720"/>
      <w:contextualSpacing/>
    </w:pPr>
  </w:style>
  <w:style w:type="paragraph" w:customStyle="1" w:styleId="Default">
    <w:name w:val="Default"/>
    <w:rsid w:val="00DB6D6D"/>
    <w:pPr>
      <w:autoSpaceDE w:val="0"/>
      <w:autoSpaceDN w:val="0"/>
      <w:adjustRightInd w:val="0"/>
    </w:pPr>
    <w:rPr>
      <w:rFonts w:ascii="Arial" w:hAnsi="Arial" w:cs="Arial"/>
      <w:color w:val="000000"/>
      <w:lang w:val="es-CO"/>
    </w:rPr>
  </w:style>
  <w:style w:type="character" w:styleId="Refdecomentario">
    <w:name w:val="annotation reference"/>
    <w:basedOn w:val="Fuentedeprrafopredeter"/>
    <w:uiPriority w:val="99"/>
    <w:semiHidden/>
    <w:unhideWhenUsed/>
    <w:rsid w:val="001611D3"/>
    <w:rPr>
      <w:sz w:val="16"/>
      <w:szCs w:val="16"/>
    </w:rPr>
  </w:style>
  <w:style w:type="paragraph" w:styleId="Textocomentario">
    <w:name w:val="annotation text"/>
    <w:basedOn w:val="Normal"/>
    <w:link w:val="TextocomentarioCar"/>
    <w:uiPriority w:val="99"/>
    <w:semiHidden/>
    <w:unhideWhenUsed/>
    <w:rsid w:val="001611D3"/>
    <w:rPr>
      <w:sz w:val="20"/>
      <w:szCs w:val="20"/>
    </w:rPr>
  </w:style>
  <w:style w:type="character" w:customStyle="1" w:styleId="TextocomentarioCar">
    <w:name w:val="Texto comentario Car"/>
    <w:basedOn w:val="Fuentedeprrafopredeter"/>
    <w:link w:val="Textocomentario"/>
    <w:uiPriority w:val="99"/>
    <w:semiHidden/>
    <w:rsid w:val="001611D3"/>
    <w:rPr>
      <w:sz w:val="20"/>
      <w:szCs w:val="20"/>
    </w:rPr>
  </w:style>
  <w:style w:type="paragraph" w:styleId="Asuntodelcomentario">
    <w:name w:val="annotation subject"/>
    <w:basedOn w:val="Textocomentario"/>
    <w:next w:val="Textocomentario"/>
    <w:link w:val="AsuntodelcomentarioCar"/>
    <w:uiPriority w:val="99"/>
    <w:semiHidden/>
    <w:unhideWhenUsed/>
    <w:rsid w:val="001611D3"/>
    <w:rPr>
      <w:b/>
      <w:bCs/>
    </w:rPr>
  </w:style>
  <w:style w:type="character" w:customStyle="1" w:styleId="AsuntodelcomentarioCar">
    <w:name w:val="Asunto del comentario Car"/>
    <w:basedOn w:val="TextocomentarioCar"/>
    <w:link w:val="Asuntodelcomentario"/>
    <w:uiPriority w:val="99"/>
    <w:semiHidden/>
    <w:rsid w:val="00161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3925">
      <w:bodyDiv w:val="1"/>
      <w:marLeft w:val="0"/>
      <w:marRight w:val="0"/>
      <w:marTop w:val="0"/>
      <w:marBottom w:val="0"/>
      <w:divBdr>
        <w:top w:val="none" w:sz="0" w:space="0" w:color="auto"/>
        <w:left w:val="none" w:sz="0" w:space="0" w:color="auto"/>
        <w:bottom w:val="none" w:sz="0" w:space="0" w:color="auto"/>
        <w:right w:val="none" w:sz="0" w:space="0" w:color="auto"/>
      </w:divBdr>
    </w:div>
    <w:div w:id="229393610">
      <w:bodyDiv w:val="1"/>
      <w:marLeft w:val="0"/>
      <w:marRight w:val="0"/>
      <w:marTop w:val="0"/>
      <w:marBottom w:val="0"/>
      <w:divBdr>
        <w:top w:val="none" w:sz="0" w:space="0" w:color="auto"/>
        <w:left w:val="none" w:sz="0" w:space="0" w:color="auto"/>
        <w:bottom w:val="none" w:sz="0" w:space="0" w:color="auto"/>
        <w:right w:val="none" w:sz="0" w:space="0" w:color="auto"/>
      </w:divBdr>
      <w:divsChild>
        <w:div w:id="1291015970">
          <w:marLeft w:val="0"/>
          <w:marRight w:val="0"/>
          <w:marTop w:val="0"/>
          <w:marBottom w:val="0"/>
          <w:divBdr>
            <w:top w:val="none" w:sz="0" w:space="0" w:color="auto"/>
            <w:left w:val="none" w:sz="0" w:space="0" w:color="auto"/>
            <w:bottom w:val="none" w:sz="0" w:space="0" w:color="auto"/>
            <w:right w:val="none" w:sz="0" w:space="0" w:color="auto"/>
          </w:divBdr>
        </w:div>
        <w:div w:id="1392269127">
          <w:marLeft w:val="0"/>
          <w:marRight w:val="0"/>
          <w:marTop w:val="240"/>
          <w:marBottom w:val="240"/>
          <w:divBdr>
            <w:top w:val="none" w:sz="0" w:space="0" w:color="auto"/>
            <w:left w:val="none" w:sz="0" w:space="0" w:color="auto"/>
            <w:bottom w:val="none" w:sz="0" w:space="0" w:color="auto"/>
            <w:right w:val="none" w:sz="0" w:space="0" w:color="auto"/>
          </w:divBdr>
        </w:div>
        <w:div w:id="456997602">
          <w:marLeft w:val="0"/>
          <w:marRight w:val="0"/>
          <w:marTop w:val="240"/>
          <w:marBottom w:val="240"/>
          <w:divBdr>
            <w:top w:val="none" w:sz="0" w:space="0" w:color="auto"/>
            <w:left w:val="none" w:sz="0" w:space="0" w:color="auto"/>
            <w:bottom w:val="none" w:sz="0" w:space="0" w:color="auto"/>
            <w:right w:val="none" w:sz="0" w:space="0" w:color="auto"/>
          </w:divBdr>
        </w:div>
        <w:div w:id="162164390">
          <w:marLeft w:val="0"/>
          <w:marRight w:val="0"/>
          <w:marTop w:val="240"/>
          <w:marBottom w:val="240"/>
          <w:divBdr>
            <w:top w:val="none" w:sz="0" w:space="0" w:color="auto"/>
            <w:left w:val="none" w:sz="0" w:space="0" w:color="auto"/>
            <w:bottom w:val="none" w:sz="0" w:space="0" w:color="auto"/>
            <w:right w:val="none" w:sz="0" w:space="0" w:color="auto"/>
          </w:divBdr>
        </w:div>
        <w:div w:id="312684634">
          <w:marLeft w:val="0"/>
          <w:marRight w:val="0"/>
          <w:marTop w:val="240"/>
          <w:marBottom w:val="240"/>
          <w:divBdr>
            <w:top w:val="none" w:sz="0" w:space="0" w:color="auto"/>
            <w:left w:val="none" w:sz="0" w:space="0" w:color="auto"/>
            <w:bottom w:val="none" w:sz="0" w:space="0" w:color="auto"/>
            <w:right w:val="none" w:sz="0" w:space="0" w:color="auto"/>
          </w:divBdr>
        </w:div>
        <w:div w:id="2067681257">
          <w:marLeft w:val="0"/>
          <w:marRight w:val="0"/>
          <w:marTop w:val="240"/>
          <w:marBottom w:val="240"/>
          <w:divBdr>
            <w:top w:val="none" w:sz="0" w:space="0" w:color="auto"/>
            <w:left w:val="none" w:sz="0" w:space="0" w:color="auto"/>
            <w:bottom w:val="none" w:sz="0" w:space="0" w:color="auto"/>
            <w:right w:val="none" w:sz="0" w:space="0" w:color="auto"/>
          </w:divBdr>
        </w:div>
        <w:div w:id="1972468682">
          <w:marLeft w:val="0"/>
          <w:marRight w:val="0"/>
          <w:marTop w:val="240"/>
          <w:marBottom w:val="240"/>
          <w:divBdr>
            <w:top w:val="none" w:sz="0" w:space="0" w:color="auto"/>
            <w:left w:val="none" w:sz="0" w:space="0" w:color="auto"/>
            <w:bottom w:val="none" w:sz="0" w:space="0" w:color="auto"/>
            <w:right w:val="none" w:sz="0" w:space="0" w:color="auto"/>
          </w:divBdr>
        </w:div>
        <w:div w:id="1506436131">
          <w:marLeft w:val="0"/>
          <w:marRight w:val="0"/>
          <w:marTop w:val="240"/>
          <w:marBottom w:val="240"/>
          <w:divBdr>
            <w:top w:val="none" w:sz="0" w:space="0" w:color="auto"/>
            <w:left w:val="none" w:sz="0" w:space="0" w:color="auto"/>
            <w:bottom w:val="none" w:sz="0" w:space="0" w:color="auto"/>
            <w:right w:val="none" w:sz="0" w:space="0" w:color="auto"/>
          </w:divBdr>
        </w:div>
        <w:div w:id="1260021338">
          <w:marLeft w:val="0"/>
          <w:marRight w:val="0"/>
          <w:marTop w:val="240"/>
          <w:marBottom w:val="240"/>
          <w:divBdr>
            <w:top w:val="none" w:sz="0" w:space="0" w:color="auto"/>
            <w:left w:val="none" w:sz="0" w:space="0" w:color="auto"/>
            <w:bottom w:val="none" w:sz="0" w:space="0" w:color="auto"/>
            <w:right w:val="none" w:sz="0" w:space="0" w:color="auto"/>
          </w:divBdr>
        </w:div>
        <w:div w:id="1093669269">
          <w:marLeft w:val="0"/>
          <w:marRight w:val="0"/>
          <w:marTop w:val="240"/>
          <w:marBottom w:val="240"/>
          <w:divBdr>
            <w:top w:val="none" w:sz="0" w:space="0" w:color="auto"/>
            <w:left w:val="none" w:sz="0" w:space="0" w:color="auto"/>
            <w:bottom w:val="none" w:sz="0" w:space="0" w:color="auto"/>
            <w:right w:val="none" w:sz="0" w:space="0" w:color="auto"/>
          </w:divBdr>
        </w:div>
        <w:div w:id="1773433166">
          <w:marLeft w:val="0"/>
          <w:marRight w:val="0"/>
          <w:marTop w:val="240"/>
          <w:marBottom w:val="240"/>
          <w:divBdr>
            <w:top w:val="none" w:sz="0" w:space="0" w:color="auto"/>
            <w:left w:val="none" w:sz="0" w:space="0" w:color="auto"/>
            <w:bottom w:val="none" w:sz="0" w:space="0" w:color="auto"/>
            <w:right w:val="none" w:sz="0" w:space="0" w:color="auto"/>
          </w:divBdr>
        </w:div>
        <w:div w:id="505751747">
          <w:marLeft w:val="0"/>
          <w:marRight w:val="0"/>
          <w:marTop w:val="240"/>
          <w:marBottom w:val="240"/>
          <w:divBdr>
            <w:top w:val="none" w:sz="0" w:space="0" w:color="auto"/>
            <w:left w:val="none" w:sz="0" w:space="0" w:color="auto"/>
            <w:bottom w:val="none" w:sz="0" w:space="0" w:color="auto"/>
            <w:right w:val="none" w:sz="0" w:space="0" w:color="auto"/>
          </w:divBdr>
        </w:div>
        <w:div w:id="1495145350">
          <w:marLeft w:val="0"/>
          <w:marRight w:val="0"/>
          <w:marTop w:val="240"/>
          <w:marBottom w:val="240"/>
          <w:divBdr>
            <w:top w:val="none" w:sz="0" w:space="0" w:color="auto"/>
            <w:left w:val="none" w:sz="0" w:space="0" w:color="auto"/>
            <w:bottom w:val="none" w:sz="0" w:space="0" w:color="auto"/>
            <w:right w:val="none" w:sz="0" w:space="0" w:color="auto"/>
          </w:divBdr>
        </w:div>
        <w:div w:id="1410467796">
          <w:marLeft w:val="0"/>
          <w:marRight w:val="0"/>
          <w:marTop w:val="240"/>
          <w:marBottom w:val="240"/>
          <w:divBdr>
            <w:top w:val="none" w:sz="0" w:space="0" w:color="auto"/>
            <w:left w:val="none" w:sz="0" w:space="0" w:color="auto"/>
            <w:bottom w:val="none" w:sz="0" w:space="0" w:color="auto"/>
            <w:right w:val="none" w:sz="0" w:space="0" w:color="auto"/>
          </w:divBdr>
        </w:div>
        <w:div w:id="619070550">
          <w:marLeft w:val="0"/>
          <w:marRight w:val="0"/>
          <w:marTop w:val="240"/>
          <w:marBottom w:val="240"/>
          <w:divBdr>
            <w:top w:val="none" w:sz="0" w:space="0" w:color="auto"/>
            <w:left w:val="none" w:sz="0" w:space="0" w:color="auto"/>
            <w:bottom w:val="none" w:sz="0" w:space="0" w:color="auto"/>
            <w:right w:val="none" w:sz="0" w:space="0" w:color="auto"/>
          </w:divBdr>
        </w:div>
        <w:div w:id="165100675">
          <w:marLeft w:val="0"/>
          <w:marRight w:val="0"/>
          <w:marTop w:val="240"/>
          <w:marBottom w:val="240"/>
          <w:divBdr>
            <w:top w:val="none" w:sz="0" w:space="0" w:color="auto"/>
            <w:left w:val="none" w:sz="0" w:space="0" w:color="auto"/>
            <w:bottom w:val="none" w:sz="0" w:space="0" w:color="auto"/>
            <w:right w:val="none" w:sz="0" w:space="0" w:color="auto"/>
          </w:divBdr>
        </w:div>
        <w:div w:id="1711760092">
          <w:marLeft w:val="0"/>
          <w:marRight w:val="0"/>
          <w:marTop w:val="240"/>
          <w:marBottom w:val="240"/>
          <w:divBdr>
            <w:top w:val="none" w:sz="0" w:space="0" w:color="auto"/>
            <w:left w:val="none" w:sz="0" w:space="0" w:color="auto"/>
            <w:bottom w:val="none" w:sz="0" w:space="0" w:color="auto"/>
            <w:right w:val="none" w:sz="0" w:space="0" w:color="auto"/>
          </w:divBdr>
        </w:div>
        <w:div w:id="1365138506">
          <w:marLeft w:val="0"/>
          <w:marRight w:val="0"/>
          <w:marTop w:val="0"/>
          <w:marBottom w:val="0"/>
          <w:divBdr>
            <w:top w:val="none" w:sz="0" w:space="0" w:color="auto"/>
            <w:left w:val="none" w:sz="0" w:space="0" w:color="auto"/>
            <w:bottom w:val="none" w:sz="0" w:space="0" w:color="auto"/>
            <w:right w:val="none" w:sz="0" w:space="0" w:color="auto"/>
          </w:divBdr>
        </w:div>
        <w:div w:id="865993895">
          <w:marLeft w:val="0"/>
          <w:marRight w:val="0"/>
          <w:marTop w:val="240"/>
          <w:marBottom w:val="240"/>
          <w:divBdr>
            <w:top w:val="none" w:sz="0" w:space="0" w:color="auto"/>
            <w:left w:val="none" w:sz="0" w:space="0" w:color="auto"/>
            <w:bottom w:val="none" w:sz="0" w:space="0" w:color="auto"/>
            <w:right w:val="none" w:sz="0" w:space="0" w:color="auto"/>
          </w:divBdr>
        </w:div>
        <w:div w:id="797839248">
          <w:marLeft w:val="0"/>
          <w:marRight w:val="0"/>
          <w:marTop w:val="240"/>
          <w:marBottom w:val="240"/>
          <w:divBdr>
            <w:top w:val="none" w:sz="0" w:space="0" w:color="auto"/>
            <w:left w:val="none" w:sz="0" w:space="0" w:color="auto"/>
            <w:bottom w:val="none" w:sz="0" w:space="0" w:color="auto"/>
            <w:right w:val="none" w:sz="0" w:space="0" w:color="auto"/>
          </w:divBdr>
        </w:div>
        <w:div w:id="1947811038">
          <w:marLeft w:val="0"/>
          <w:marRight w:val="0"/>
          <w:marTop w:val="240"/>
          <w:marBottom w:val="240"/>
          <w:divBdr>
            <w:top w:val="none" w:sz="0" w:space="0" w:color="auto"/>
            <w:left w:val="none" w:sz="0" w:space="0" w:color="auto"/>
            <w:bottom w:val="none" w:sz="0" w:space="0" w:color="auto"/>
            <w:right w:val="none" w:sz="0" w:space="0" w:color="auto"/>
          </w:divBdr>
        </w:div>
        <w:div w:id="1225333474">
          <w:marLeft w:val="0"/>
          <w:marRight w:val="0"/>
          <w:marTop w:val="240"/>
          <w:marBottom w:val="240"/>
          <w:divBdr>
            <w:top w:val="none" w:sz="0" w:space="0" w:color="auto"/>
            <w:left w:val="none" w:sz="0" w:space="0" w:color="auto"/>
            <w:bottom w:val="none" w:sz="0" w:space="0" w:color="auto"/>
            <w:right w:val="none" w:sz="0" w:space="0" w:color="auto"/>
          </w:divBdr>
        </w:div>
        <w:div w:id="361440662">
          <w:marLeft w:val="0"/>
          <w:marRight w:val="0"/>
          <w:marTop w:val="240"/>
          <w:marBottom w:val="240"/>
          <w:divBdr>
            <w:top w:val="none" w:sz="0" w:space="0" w:color="auto"/>
            <w:left w:val="none" w:sz="0" w:space="0" w:color="auto"/>
            <w:bottom w:val="none" w:sz="0" w:space="0" w:color="auto"/>
            <w:right w:val="none" w:sz="0" w:space="0" w:color="auto"/>
          </w:divBdr>
        </w:div>
        <w:div w:id="1372726546">
          <w:marLeft w:val="0"/>
          <w:marRight w:val="0"/>
          <w:marTop w:val="240"/>
          <w:marBottom w:val="240"/>
          <w:divBdr>
            <w:top w:val="none" w:sz="0" w:space="0" w:color="auto"/>
            <w:left w:val="none" w:sz="0" w:space="0" w:color="auto"/>
            <w:bottom w:val="none" w:sz="0" w:space="0" w:color="auto"/>
            <w:right w:val="none" w:sz="0" w:space="0" w:color="auto"/>
          </w:divBdr>
        </w:div>
        <w:div w:id="2032796215">
          <w:marLeft w:val="0"/>
          <w:marRight w:val="0"/>
          <w:marTop w:val="240"/>
          <w:marBottom w:val="240"/>
          <w:divBdr>
            <w:top w:val="none" w:sz="0" w:space="0" w:color="auto"/>
            <w:left w:val="none" w:sz="0" w:space="0" w:color="auto"/>
            <w:bottom w:val="none" w:sz="0" w:space="0" w:color="auto"/>
            <w:right w:val="none" w:sz="0" w:space="0" w:color="auto"/>
          </w:divBdr>
        </w:div>
        <w:div w:id="1212621326">
          <w:marLeft w:val="0"/>
          <w:marRight w:val="0"/>
          <w:marTop w:val="240"/>
          <w:marBottom w:val="240"/>
          <w:divBdr>
            <w:top w:val="none" w:sz="0" w:space="0" w:color="auto"/>
            <w:left w:val="none" w:sz="0" w:space="0" w:color="auto"/>
            <w:bottom w:val="none" w:sz="0" w:space="0" w:color="auto"/>
            <w:right w:val="none" w:sz="0" w:space="0" w:color="auto"/>
          </w:divBdr>
        </w:div>
        <w:div w:id="618804047">
          <w:marLeft w:val="0"/>
          <w:marRight w:val="0"/>
          <w:marTop w:val="240"/>
          <w:marBottom w:val="240"/>
          <w:divBdr>
            <w:top w:val="none" w:sz="0" w:space="0" w:color="auto"/>
            <w:left w:val="none" w:sz="0" w:space="0" w:color="auto"/>
            <w:bottom w:val="none" w:sz="0" w:space="0" w:color="auto"/>
            <w:right w:val="none" w:sz="0" w:space="0" w:color="auto"/>
          </w:divBdr>
        </w:div>
        <w:div w:id="1323393607">
          <w:marLeft w:val="0"/>
          <w:marRight w:val="0"/>
          <w:marTop w:val="240"/>
          <w:marBottom w:val="240"/>
          <w:divBdr>
            <w:top w:val="none" w:sz="0" w:space="0" w:color="auto"/>
            <w:left w:val="none" w:sz="0" w:space="0" w:color="auto"/>
            <w:bottom w:val="none" w:sz="0" w:space="0" w:color="auto"/>
            <w:right w:val="none" w:sz="0" w:space="0" w:color="auto"/>
          </w:divBdr>
        </w:div>
        <w:div w:id="1920363659">
          <w:marLeft w:val="0"/>
          <w:marRight w:val="0"/>
          <w:marTop w:val="240"/>
          <w:marBottom w:val="240"/>
          <w:divBdr>
            <w:top w:val="none" w:sz="0" w:space="0" w:color="auto"/>
            <w:left w:val="none" w:sz="0" w:space="0" w:color="auto"/>
            <w:bottom w:val="none" w:sz="0" w:space="0" w:color="auto"/>
            <w:right w:val="none" w:sz="0" w:space="0" w:color="auto"/>
          </w:divBdr>
        </w:div>
        <w:div w:id="75513672">
          <w:marLeft w:val="0"/>
          <w:marRight w:val="0"/>
          <w:marTop w:val="240"/>
          <w:marBottom w:val="240"/>
          <w:divBdr>
            <w:top w:val="none" w:sz="0" w:space="0" w:color="auto"/>
            <w:left w:val="none" w:sz="0" w:space="0" w:color="auto"/>
            <w:bottom w:val="none" w:sz="0" w:space="0" w:color="auto"/>
            <w:right w:val="none" w:sz="0" w:space="0" w:color="auto"/>
          </w:divBdr>
        </w:div>
        <w:div w:id="1972513849">
          <w:marLeft w:val="0"/>
          <w:marRight w:val="0"/>
          <w:marTop w:val="240"/>
          <w:marBottom w:val="240"/>
          <w:divBdr>
            <w:top w:val="none" w:sz="0" w:space="0" w:color="auto"/>
            <w:left w:val="none" w:sz="0" w:space="0" w:color="auto"/>
            <w:bottom w:val="none" w:sz="0" w:space="0" w:color="auto"/>
            <w:right w:val="none" w:sz="0" w:space="0" w:color="auto"/>
          </w:divBdr>
        </w:div>
        <w:div w:id="2060932147">
          <w:marLeft w:val="0"/>
          <w:marRight w:val="0"/>
          <w:marTop w:val="240"/>
          <w:marBottom w:val="240"/>
          <w:divBdr>
            <w:top w:val="none" w:sz="0" w:space="0" w:color="auto"/>
            <w:left w:val="none" w:sz="0" w:space="0" w:color="auto"/>
            <w:bottom w:val="none" w:sz="0" w:space="0" w:color="auto"/>
            <w:right w:val="none" w:sz="0" w:space="0" w:color="auto"/>
          </w:divBdr>
        </w:div>
        <w:div w:id="249847957">
          <w:marLeft w:val="0"/>
          <w:marRight w:val="0"/>
          <w:marTop w:val="240"/>
          <w:marBottom w:val="240"/>
          <w:divBdr>
            <w:top w:val="none" w:sz="0" w:space="0" w:color="auto"/>
            <w:left w:val="none" w:sz="0" w:space="0" w:color="auto"/>
            <w:bottom w:val="none" w:sz="0" w:space="0" w:color="auto"/>
            <w:right w:val="none" w:sz="0" w:space="0" w:color="auto"/>
          </w:divBdr>
        </w:div>
        <w:div w:id="1125271745">
          <w:marLeft w:val="0"/>
          <w:marRight w:val="0"/>
          <w:marTop w:val="240"/>
          <w:marBottom w:val="240"/>
          <w:divBdr>
            <w:top w:val="none" w:sz="0" w:space="0" w:color="auto"/>
            <w:left w:val="none" w:sz="0" w:space="0" w:color="auto"/>
            <w:bottom w:val="none" w:sz="0" w:space="0" w:color="auto"/>
            <w:right w:val="none" w:sz="0" w:space="0" w:color="auto"/>
          </w:divBdr>
        </w:div>
        <w:div w:id="641812724">
          <w:marLeft w:val="0"/>
          <w:marRight w:val="0"/>
          <w:marTop w:val="240"/>
          <w:marBottom w:val="240"/>
          <w:divBdr>
            <w:top w:val="none" w:sz="0" w:space="0" w:color="auto"/>
            <w:left w:val="none" w:sz="0" w:space="0" w:color="auto"/>
            <w:bottom w:val="none" w:sz="0" w:space="0" w:color="auto"/>
            <w:right w:val="none" w:sz="0" w:space="0" w:color="auto"/>
          </w:divBdr>
        </w:div>
        <w:div w:id="1596132646">
          <w:marLeft w:val="0"/>
          <w:marRight w:val="0"/>
          <w:marTop w:val="240"/>
          <w:marBottom w:val="240"/>
          <w:divBdr>
            <w:top w:val="none" w:sz="0" w:space="0" w:color="auto"/>
            <w:left w:val="none" w:sz="0" w:space="0" w:color="auto"/>
            <w:bottom w:val="none" w:sz="0" w:space="0" w:color="auto"/>
            <w:right w:val="none" w:sz="0" w:space="0" w:color="auto"/>
          </w:divBdr>
        </w:div>
        <w:div w:id="1133058396">
          <w:marLeft w:val="0"/>
          <w:marRight w:val="0"/>
          <w:marTop w:val="240"/>
          <w:marBottom w:val="240"/>
          <w:divBdr>
            <w:top w:val="none" w:sz="0" w:space="0" w:color="auto"/>
            <w:left w:val="none" w:sz="0" w:space="0" w:color="auto"/>
            <w:bottom w:val="none" w:sz="0" w:space="0" w:color="auto"/>
            <w:right w:val="none" w:sz="0" w:space="0" w:color="auto"/>
          </w:divBdr>
        </w:div>
        <w:div w:id="1064723766">
          <w:marLeft w:val="0"/>
          <w:marRight w:val="0"/>
          <w:marTop w:val="240"/>
          <w:marBottom w:val="240"/>
          <w:divBdr>
            <w:top w:val="none" w:sz="0" w:space="0" w:color="auto"/>
            <w:left w:val="none" w:sz="0" w:space="0" w:color="auto"/>
            <w:bottom w:val="none" w:sz="0" w:space="0" w:color="auto"/>
            <w:right w:val="none" w:sz="0" w:space="0" w:color="auto"/>
          </w:divBdr>
        </w:div>
      </w:divsChild>
    </w:div>
    <w:div w:id="236089119">
      <w:bodyDiv w:val="1"/>
      <w:marLeft w:val="0"/>
      <w:marRight w:val="0"/>
      <w:marTop w:val="0"/>
      <w:marBottom w:val="0"/>
      <w:divBdr>
        <w:top w:val="none" w:sz="0" w:space="0" w:color="auto"/>
        <w:left w:val="none" w:sz="0" w:space="0" w:color="auto"/>
        <w:bottom w:val="none" w:sz="0" w:space="0" w:color="auto"/>
        <w:right w:val="none" w:sz="0" w:space="0" w:color="auto"/>
      </w:divBdr>
    </w:div>
    <w:div w:id="274337777">
      <w:bodyDiv w:val="1"/>
      <w:marLeft w:val="0"/>
      <w:marRight w:val="0"/>
      <w:marTop w:val="0"/>
      <w:marBottom w:val="0"/>
      <w:divBdr>
        <w:top w:val="none" w:sz="0" w:space="0" w:color="auto"/>
        <w:left w:val="none" w:sz="0" w:space="0" w:color="auto"/>
        <w:bottom w:val="none" w:sz="0" w:space="0" w:color="auto"/>
        <w:right w:val="none" w:sz="0" w:space="0" w:color="auto"/>
      </w:divBdr>
      <w:divsChild>
        <w:div w:id="1150053346">
          <w:marLeft w:val="0"/>
          <w:marRight w:val="0"/>
          <w:marTop w:val="240"/>
          <w:marBottom w:val="240"/>
          <w:divBdr>
            <w:top w:val="none" w:sz="0" w:space="0" w:color="auto"/>
            <w:left w:val="none" w:sz="0" w:space="0" w:color="auto"/>
            <w:bottom w:val="none" w:sz="0" w:space="0" w:color="auto"/>
            <w:right w:val="none" w:sz="0" w:space="0" w:color="auto"/>
          </w:divBdr>
        </w:div>
        <w:div w:id="175507477">
          <w:marLeft w:val="0"/>
          <w:marRight w:val="0"/>
          <w:marTop w:val="240"/>
          <w:marBottom w:val="240"/>
          <w:divBdr>
            <w:top w:val="none" w:sz="0" w:space="0" w:color="auto"/>
            <w:left w:val="none" w:sz="0" w:space="0" w:color="auto"/>
            <w:bottom w:val="none" w:sz="0" w:space="0" w:color="auto"/>
            <w:right w:val="none" w:sz="0" w:space="0" w:color="auto"/>
          </w:divBdr>
        </w:div>
        <w:div w:id="2057124239">
          <w:marLeft w:val="0"/>
          <w:marRight w:val="0"/>
          <w:marTop w:val="240"/>
          <w:marBottom w:val="240"/>
          <w:divBdr>
            <w:top w:val="none" w:sz="0" w:space="0" w:color="auto"/>
            <w:left w:val="none" w:sz="0" w:space="0" w:color="auto"/>
            <w:bottom w:val="none" w:sz="0" w:space="0" w:color="auto"/>
            <w:right w:val="none" w:sz="0" w:space="0" w:color="auto"/>
          </w:divBdr>
        </w:div>
        <w:div w:id="1838308390">
          <w:marLeft w:val="0"/>
          <w:marRight w:val="0"/>
          <w:marTop w:val="240"/>
          <w:marBottom w:val="240"/>
          <w:divBdr>
            <w:top w:val="none" w:sz="0" w:space="0" w:color="auto"/>
            <w:left w:val="none" w:sz="0" w:space="0" w:color="auto"/>
            <w:bottom w:val="none" w:sz="0" w:space="0" w:color="auto"/>
            <w:right w:val="none" w:sz="0" w:space="0" w:color="auto"/>
          </w:divBdr>
        </w:div>
        <w:div w:id="947733444">
          <w:marLeft w:val="0"/>
          <w:marRight w:val="0"/>
          <w:marTop w:val="240"/>
          <w:marBottom w:val="240"/>
          <w:divBdr>
            <w:top w:val="none" w:sz="0" w:space="0" w:color="auto"/>
            <w:left w:val="none" w:sz="0" w:space="0" w:color="auto"/>
            <w:bottom w:val="none" w:sz="0" w:space="0" w:color="auto"/>
            <w:right w:val="none" w:sz="0" w:space="0" w:color="auto"/>
          </w:divBdr>
        </w:div>
        <w:div w:id="555698767">
          <w:marLeft w:val="0"/>
          <w:marRight w:val="0"/>
          <w:marTop w:val="240"/>
          <w:marBottom w:val="240"/>
          <w:divBdr>
            <w:top w:val="none" w:sz="0" w:space="0" w:color="auto"/>
            <w:left w:val="none" w:sz="0" w:space="0" w:color="auto"/>
            <w:bottom w:val="none" w:sz="0" w:space="0" w:color="auto"/>
            <w:right w:val="none" w:sz="0" w:space="0" w:color="auto"/>
          </w:divBdr>
        </w:div>
        <w:div w:id="1506901177">
          <w:marLeft w:val="0"/>
          <w:marRight w:val="0"/>
          <w:marTop w:val="240"/>
          <w:marBottom w:val="240"/>
          <w:divBdr>
            <w:top w:val="none" w:sz="0" w:space="0" w:color="auto"/>
            <w:left w:val="none" w:sz="0" w:space="0" w:color="auto"/>
            <w:bottom w:val="none" w:sz="0" w:space="0" w:color="auto"/>
            <w:right w:val="none" w:sz="0" w:space="0" w:color="auto"/>
          </w:divBdr>
        </w:div>
        <w:div w:id="659426936">
          <w:marLeft w:val="0"/>
          <w:marRight w:val="0"/>
          <w:marTop w:val="240"/>
          <w:marBottom w:val="240"/>
          <w:divBdr>
            <w:top w:val="none" w:sz="0" w:space="0" w:color="auto"/>
            <w:left w:val="none" w:sz="0" w:space="0" w:color="auto"/>
            <w:bottom w:val="none" w:sz="0" w:space="0" w:color="auto"/>
            <w:right w:val="none" w:sz="0" w:space="0" w:color="auto"/>
          </w:divBdr>
        </w:div>
        <w:div w:id="24212086">
          <w:marLeft w:val="0"/>
          <w:marRight w:val="0"/>
          <w:marTop w:val="240"/>
          <w:marBottom w:val="240"/>
          <w:divBdr>
            <w:top w:val="none" w:sz="0" w:space="0" w:color="auto"/>
            <w:left w:val="none" w:sz="0" w:space="0" w:color="auto"/>
            <w:bottom w:val="none" w:sz="0" w:space="0" w:color="auto"/>
            <w:right w:val="none" w:sz="0" w:space="0" w:color="auto"/>
          </w:divBdr>
        </w:div>
        <w:div w:id="593317483">
          <w:marLeft w:val="0"/>
          <w:marRight w:val="0"/>
          <w:marTop w:val="240"/>
          <w:marBottom w:val="240"/>
          <w:divBdr>
            <w:top w:val="none" w:sz="0" w:space="0" w:color="auto"/>
            <w:left w:val="none" w:sz="0" w:space="0" w:color="auto"/>
            <w:bottom w:val="none" w:sz="0" w:space="0" w:color="auto"/>
            <w:right w:val="none" w:sz="0" w:space="0" w:color="auto"/>
          </w:divBdr>
        </w:div>
      </w:divsChild>
    </w:div>
    <w:div w:id="374963920">
      <w:bodyDiv w:val="1"/>
      <w:marLeft w:val="0"/>
      <w:marRight w:val="0"/>
      <w:marTop w:val="0"/>
      <w:marBottom w:val="0"/>
      <w:divBdr>
        <w:top w:val="none" w:sz="0" w:space="0" w:color="auto"/>
        <w:left w:val="none" w:sz="0" w:space="0" w:color="auto"/>
        <w:bottom w:val="none" w:sz="0" w:space="0" w:color="auto"/>
        <w:right w:val="none" w:sz="0" w:space="0" w:color="auto"/>
      </w:divBdr>
    </w:div>
    <w:div w:id="446390892">
      <w:bodyDiv w:val="1"/>
      <w:marLeft w:val="0"/>
      <w:marRight w:val="0"/>
      <w:marTop w:val="0"/>
      <w:marBottom w:val="0"/>
      <w:divBdr>
        <w:top w:val="none" w:sz="0" w:space="0" w:color="auto"/>
        <w:left w:val="none" w:sz="0" w:space="0" w:color="auto"/>
        <w:bottom w:val="none" w:sz="0" w:space="0" w:color="auto"/>
        <w:right w:val="none" w:sz="0" w:space="0" w:color="auto"/>
      </w:divBdr>
      <w:divsChild>
        <w:div w:id="839344832">
          <w:marLeft w:val="0"/>
          <w:marRight w:val="0"/>
          <w:marTop w:val="240"/>
          <w:marBottom w:val="240"/>
          <w:divBdr>
            <w:top w:val="none" w:sz="0" w:space="0" w:color="auto"/>
            <w:left w:val="none" w:sz="0" w:space="0" w:color="auto"/>
            <w:bottom w:val="none" w:sz="0" w:space="0" w:color="auto"/>
            <w:right w:val="none" w:sz="0" w:space="0" w:color="auto"/>
          </w:divBdr>
        </w:div>
        <w:div w:id="1365180779">
          <w:marLeft w:val="0"/>
          <w:marRight w:val="0"/>
          <w:marTop w:val="240"/>
          <w:marBottom w:val="240"/>
          <w:divBdr>
            <w:top w:val="none" w:sz="0" w:space="0" w:color="auto"/>
            <w:left w:val="none" w:sz="0" w:space="0" w:color="auto"/>
            <w:bottom w:val="none" w:sz="0" w:space="0" w:color="auto"/>
            <w:right w:val="none" w:sz="0" w:space="0" w:color="auto"/>
          </w:divBdr>
        </w:div>
        <w:div w:id="1218082683">
          <w:marLeft w:val="0"/>
          <w:marRight w:val="0"/>
          <w:marTop w:val="240"/>
          <w:marBottom w:val="240"/>
          <w:divBdr>
            <w:top w:val="none" w:sz="0" w:space="0" w:color="auto"/>
            <w:left w:val="none" w:sz="0" w:space="0" w:color="auto"/>
            <w:bottom w:val="none" w:sz="0" w:space="0" w:color="auto"/>
            <w:right w:val="none" w:sz="0" w:space="0" w:color="auto"/>
          </w:divBdr>
        </w:div>
        <w:div w:id="336688657">
          <w:marLeft w:val="0"/>
          <w:marRight w:val="0"/>
          <w:marTop w:val="240"/>
          <w:marBottom w:val="240"/>
          <w:divBdr>
            <w:top w:val="none" w:sz="0" w:space="0" w:color="auto"/>
            <w:left w:val="none" w:sz="0" w:space="0" w:color="auto"/>
            <w:bottom w:val="none" w:sz="0" w:space="0" w:color="auto"/>
            <w:right w:val="none" w:sz="0" w:space="0" w:color="auto"/>
          </w:divBdr>
        </w:div>
        <w:div w:id="1338314053">
          <w:marLeft w:val="0"/>
          <w:marRight w:val="0"/>
          <w:marTop w:val="240"/>
          <w:marBottom w:val="240"/>
          <w:divBdr>
            <w:top w:val="none" w:sz="0" w:space="0" w:color="auto"/>
            <w:left w:val="none" w:sz="0" w:space="0" w:color="auto"/>
            <w:bottom w:val="none" w:sz="0" w:space="0" w:color="auto"/>
            <w:right w:val="none" w:sz="0" w:space="0" w:color="auto"/>
          </w:divBdr>
        </w:div>
        <w:div w:id="1883785582">
          <w:marLeft w:val="0"/>
          <w:marRight w:val="0"/>
          <w:marTop w:val="240"/>
          <w:marBottom w:val="240"/>
          <w:divBdr>
            <w:top w:val="none" w:sz="0" w:space="0" w:color="auto"/>
            <w:left w:val="none" w:sz="0" w:space="0" w:color="auto"/>
            <w:bottom w:val="none" w:sz="0" w:space="0" w:color="auto"/>
            <w:right w:val="none" w:sz="0" w:space="0" w:color="auto"/>
          </w:divBdr>
        </w:div>
        <w:div w:id="1181745208">
          <w:marLeft w:val="0"/>
          <w:marRight w:val="0"/>
          <w:marTop w:val="240"/>
          <w:marBottom w:val="240"/>
          <w:divBdr>
            <w:top w:val="none" w:sz="0" w:space="0" w:color="auto"/>
            <w:left w:val="none" w:sz="0" w:space="0" w:color="auto"/>
            <w:bottom w:val="none" w:sz="0" w:space="0" w:color="auto"/>
            <w:right w:val="none" w:sz="0" w:space="0" w:color="auto"/>
          </w:divBdr>
        </w:div>
        <w:div w:id="1558709402">
          <w:marLeft w:val="0"/>
          <w:marRight w:val="0"/>
          <w:marTop w:val="240"/>
          <w:marBottom w:val="240"/>
          <w:divBdr>
            <w:top w:val="none" w:sz="0" w:space="0" w:color="auto"/>
            <w:left w:val="none" w:sz="0" w:space="0" w:color="auto"/>
            <w:bottom w:val="none" w:sz="0" w:space="0" w:color="auto"/>
            <w:right w:val="none" w:sz="0" w:space="0" w:color="auto"/>
          </w:divBdr>
        </w:div>
        <w:div w:id="1083189397">
          <w:marLeft w:val="0"/>
          <w:marRight w:val="0"/>
          <w:marTop w:val="240"/>
          <w:marBottom w:val="240"/>
          <w:divBdr>
            <w:top w:val="none" w:sz="0" w:space="0" w:color="auto"/>
            <w:left w:val="none" w:sz="0" w:space="0" w:color="auto"/>
            <w:bottom w:val="none" w:sz="0" w:space="0" w:color="auto"/>
            <w:right w:val="none" w:sz="0" w:space="0" w:color="auto"/>
          </w:divBdr>
        </w:div>
        <w:div w:id="1404178173">
          <w:marLeft w:val="0"/>
          <w:marRight w:val="0"/>
          <w:marTop w:val="240"/>
          <w:marBottom w:val="240"/>
          <w:divBdr>
            <w:top w:val="none" w:sz="0" w:space="0" w:color="auto"/>
            <w:left w:val="none" w:sz="0" w:space="0" w:color="auto"/>
            <w:bottom w:val="none" w:sz="0" w:space="0" w:color="auto"/>
            <w:right w:val="none" w:sz="0" w:space="0" w:color="auto"/>
          </w:divBdr>
        </w:div>
      </w:divsChild>
    </w:div>
    <w:div w:id="486744404">
      <w:bodyDiv w:val="1"/>
      <w:marLeft w:val="0"/>
      <w:marRight w:val="0"/>
      <w:marTop w:val="0"/>
      <w:marBottom w:val="0"/>
      <w:divBdr>
        <w:top w:val="none" w:sz="0" w:space="0" w:color="auto"/>
        <w:left w:val="none" w:sz="0" w:space="0" w:color="auto"/>
        <w:bottom w:val="none" w:sz="0" w:space="0" w:color="auto"/>
        <w:right w:val="none" w:sz="0" w:space="0" w:color="auto"/>
      </w:divBdr>
    </w:div>
    <w:div w:id="685061779">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3">
          <w:marLeft w:val="0"/>
          <w:marRight w:val="0"/>
          <w:marTop w:val="0"/>
          <w:marBottom w:val="0"/>
          <w:divBdr>
            <w:top w:val="none" w:sz="0" w:space="0" w:color="auto"/>
            <w:left w:val="none" w:sz="0" w:space="0" w:color="auto"/>
            <w:bottom w:val="none" w:sz="0" w:space="0" w:color="auto"/>
            <w:right w:val="none" w:sz="0" w:space="0" w:color="auto"/>
          </w:divBdr>
        </w:div>
        <w:div w:id="1422291457">
          <w:marLeft w:val="0"/>
          <w:marRight w:val="0"/>
          <w:marTop w:val="240"/>
          <w:marBottom w:val="240"/>
          <w:divBdr>
            <w:top w:val="none" w:sz="0" w:space="0" w:color="auto"/>
            <w:left w:val="none" w:sz="0" w:space="0" w:color="auto"/>
            <w:bottom w:val="none" w:sz="0" w:space="0" w:color="auto"/>
            <w:right w:val="none" w:sz="0" w:space="0" w:color="auto"/>
          </w:divBdr>
        </w:div>
        <w:div w:id="1951351319">
          <w:marLeft w:val="0"/>
          <w:marRight w:val="0"/>
          <w:marTop w:val="240"/>
          <w:marBottom w:val="240"/>
          <w:divBdr>
            <w:top w:val="none" w:sz="0" w:space="0" w:color="auto"/>
            <w:left w:val="none" w:sz="0" w:space="0" w:color="auto"/>
            <w:bottom w:val="none" w:sz="0" w:space="0" w:color="auto"/>
            <w:right w:val="none" w:sz="0" w:space="0" w:color="auto"/>
          </w:divBdr>
        </w:div>
        <w:div w:id="2056924781">
          <w:marLeft w:val="0"/>
          <w:marRight w:val="0"/>
          <w:marTop w:val="240"/>
          <w:marBottom w:val="240"/>
          <w:divBdr>
            <w:top w:val="none" w:sz="0" w:space="0" w:color="auto"/>
            <w:left w:val="none" w:sz="0" w:space="0" w:color="auto"/>
            <w:bottom w:val="none" w:sz="0" w:space="0" w:color="auto"/>
            <w:right w:val="none" w:sz="0" w:space="0" w:color="auto"/>
          </w:divBdr>
        </w:div>
        <w:div w:id="1945528942">
          <w:marLeft w:val="0"/>
          <w:marRight w:val="0"/>
          <w:marTop w:val="240"/>
          <w:marBottom w:val="240"/>
          <w:divBdr>
            <w:top w:val="none" w:sz="0" w:space="0" w:color="auto"/>
            <w:left w:val="none" w:sz="0" w:space="0" w:color="auto"/>
            <w:bottom w:val="none" w:sz="0" w:space="0" w:color="auto"/>
            <w:right w:val="none" w:sz="0" w:space="0" w:color="auto"/>
          </w:divBdr>
        </w:div>
        <w:div w:id="849493517">
          <w:marLeft w:val="0"/>
          <w:marRight w:val="0"/>
          <w:marTop w:val="240"/>
          <w:marBottom w:val="240"/>
          <w:divBdr>
            <w:top w:val="none" w:sz="0" w:space="0" w:color="auto"/>
            <w:left w:val="none" w:sz="0" w:space="0" w:color="auto"/>
            <w:bottom w:val="none" w:sz="0" w:space="0" w:color="auto"/>
            <w:right w:val="none" w:sz="0" w:space="0" w:color="auto"/>
          </w:divBdr>
        </w:div>
        <w:div w:id="277950550">
          <w:marLeft w:val="0"/>
          <w:marRight w:val="0"/>
          <w:marTop w:val="240"/>
          <w:marBottom w:val="240"/>
          <w:divBdr>
            <w:top w:val="none" w:sz="0" w:space="0" w:color="auto"/>
            <w:left w:val="none" w:sz="0" w:space="0" w:color="auto"/>
            <w:bottom w:val="none" w:sz="0" w:space="0" w:color="auto"/>
            <w:right w:val="none" w:sz="0" w:space="0" w:color="auto"/>
          </w:divBdr>
        </w:div>
        <w:div w:id="149371321">
          <w:marLeft w:val="0"/>
          <w:marRight w:val="0"/>
          <w:marTop w:val="240"/>
          <w:marBottom w:val="240"/>
          <w:divBdr>
            <w:top w:val="none" w:sz="0" w:space="0" w:color="auto"/>
            <w:left w:val="none" w:sz="0" w:space="0" w:color="auto"/>
            <w:bottom w:val="none" w:sz="0" w:space="0" w:color="auto"/>
            <w:right w:val="none" w:sz="0" w:space="0" w:color="auto"/>
          </w:divBdr>
        </w:div>
        <w:div w:id="176892595">
          <w:marLeft w:val="0"/>
          <w:marRight w:val="0"/>
          <w:marTop w:val="240"/>
          <w:marBottom w:val="240"/>
          <w:divBdr>
            <w:top w:val="none" w:sz="0" w:space="0" w:color="auto"/>
            <w:left w:val="none" w:sz="0" w:space="0" w:color="auto"/>
            <w:bottom w:val="none" w:sz="0" w:space="0" w:color="auto"/>
            <w:right w:val="none" w:sz="0" w:space="0" w:color="auto"/>
          </w:divBdr>
        </w:div>
        <w:div w:id="1723945842">
          <w:marLeft w:val="0"/>
          <w:marRight w:val="0"/>
          <w:marTop w:val="240"/>
          <w:marBottom w:val="240"/>
          <w:divBdr>
            <w:top w:val="none" w:sz="0" w:space="0" w:color="auto"/>
            <w:left w:val="none" w:sz="0" w:space="0" w:color="auto"/>
            <w:bottom w:val="none" w:sz="0" w:space="0" w:color="auto"/>
            <w:right w:val="none" w:sz="0" w:space="0" w:color="auto"/>
          </w:divBdr>
        </w:div>
        <w:div w:id="1454790372">
          <w:marLeft w:val="0"/>
          <w:marRight w:val="0"/>
          <w:marTop w:val="240"/>
          <w:marBottom w:val="240"/>
          <w:divBdr>
            <w:top w:val="none" w:sz="0" w:space="0" w:color="auto"/>
            <w:left w:val="none" w:sz="0" w:space="0" w:color="auto"/>
            <w:bottom w:val="none" w:sz="0" w:space="0" w:color="auto"/>
            <w:right w:val="none" w:sz="0" w:space="0" w:color="auto"/>
          </w:divBdr>
        </w:div>
        <w:div w:id="1245577896">
          <w:marLeft w:val="0"/>
          <w:marRight w:val="0"/>
          <w:marTop w:val="240"/>
          <w:marBottom w:val="240"/>
          <w:divBdr>
            <w:top w:val="none" w:sz="0" w:space="0" w:color="auto"/>
            <w:left w:val="none" w:sz="0" w:space="0" w:color="auto"/>
            <w:bottom w:val="none" w:sz="0" w:space="0" w:color="auto"/>
            <w:right w:val="none" w:sz="0" w:space="0" w:color="auto"/>
          </w:divBdr>
        </w:div>
        <w:div w:id="2042393306">
          <w:marLeft w:val="0"/>
          <w:marRight w:val="0"/>
          <w:marTop w:val="240"/>
          <w:marBottom w:val="240"/>
          <w:divBdr>
            <w:top w:val="none" w:sz="0" w:space="0" w:color="auto"/>
            <w:left w:val="none" w:sz="0" w:space="0" w:color="auto"/>
            <w:bottom w:val="none" w:sz="0" w:space="0" w:color="auto"/>
            <w:right w:val="none" w:sz="0" w:space="0" w:color="auto"/>
          </w:divBdr>
        </w:div>
        <w:div w:id="82651016">
          <w:marLeft w:val="0"/>
          <w:marRight w:val="0"/>
          <w:marTop w:val="240"/>
          <w:marBottom w:val="240"/>
          <w:divBdr>
            <w:top w:val="none" w:sz="0" w:space="0" w:color="auto"/>
            <w:left w:val="none" w:sz="0" w:space="0" w:color="auto"/>
            <w:bottom w:val="none" w:sz="0" w:space="0" w:color="auto"/>
            <w:right w:val="none" w:sz="0" w:space="0" w:color="auto"/>
          </w:divBdr>
        </w:div>
        <w:div w:id="1200389679">
          <w:marLeft w:val="0"/>
          <w:marRight w:val="0"/>
          <w:marTop w:val="240"/>
          <w:marBottom w:val="240"/>
          <w:divBdr>
            <w:top w:val="none" w:sz="0" w:space="0" w:color="auto"/>
            <w:left w:val="none" w:sz="0" w:space="0" w:color="auto"/>
            <w:bottom w:val="none" w:sz="0" w:space="0" w:color="auto"/>
            <w:right w:val="none" w:sz="0" w:space="0" w:color="auto"/>
          </w:divBdr>
        </w:div>
        <w:div w:id="331682634">
          <w:marLeft w:val="0"/>
          <w:marRight w:val="0"/>
          <w:marTop w:val="240"/>
          <w:marBottom w:val="240"/>
          <w:divBdr>
            <w:top w:val="none" w:sz="0" w:space="0" w:color="auto"/>
            <w:left w:val="none" w:sz="0" w:space="0" w:color="auto"/>
            <w:bottom w:val="none" w:sz="0" w:space="0" w:color="auto"/>
            <w:right w:val="none" w:sz="0" w:space="0" w:color="auto"/>
          </w:divBdr>
        </w:div>
        <w:div w:id="2076930688">
          <w:marLeft w:val="0"/>
          <w:marRight w:val="0"/>
          <w:marTop w:val="240"/>
          <w:marBottom w:val="240"/>
          <w:divBdr>
            <w:top w:val="none" w:sz="0" w:space="0" w:color="auto"/>
            <w:left w:val="none" w:sz="0" w:space="0" w:color="auto"/>
            <w:bottom w:val="none" w:sz="0" w:space="0" w:color="auto"/>
            <w:right w:val="none" w:sz="0" w:space="0" w:color="auto"/>
          </w:divBdr>
        </w:div>
        <w:div w:id="1073044707">
          <w:marLeft w:val="0"/>
          <w:marRight w:val="0"/>
          <w:marTop w:val="0"/>
          <w:marBottom w:val="0"/>
          <w:divBdr>
            <w:top w:val="none" w:sz="0" w:space="0" w:color="auto"/>
            <w:left w:val="none" w:sz="0" w:space="0" w:color="auto"/>
            <w:bottom w:val="none" w:sz="0" w:space="0" w:color="auto"/>
            <w:right w:val="none" w:sz="0" w:space="0" w:color="auto"/>
          </w:divBdr>
        </w:div>
        <w:div w:id="2003241832">
          <w:marLeft w:val="0"/>
          <w:marRight w:val="0"/>
          <w:marTop w:val="240"/>
          <w:marBottom w:val="240"/>
          <w:divBdr>
            <w:top w:val="none" w:sz="0" w:space="0" w:color="auto"/>
            <w:left w:val="none" w:sz="0" w:space="0" w:color="auto"/>
            <w:bottom w:val="none" w:sz="0" w:space="0" w:color="auto"/>
            <w:right w:val="none" w:sz="0" w:space="0" w:color="auto"/>
          </w:divBdr>
        </w:div>
        <w:div w:id="806705549">
          <w:marLeft w:val="0"/>
          <w:marRight w:val="0"/>
          <w:marTop w:val="240"/>
          <w:marBottom w:val="240"/>
          <w:divBdr>
            <w:top w:val="none" w:sz="0" w:space="0" w:color="auto"/>
            <w:left w:val="none" w:sz="0" w:space="0" w:color="auto"/>
            <w:bottom w:val="none" w:sz="0" w:space="0" w:color="auto"/>
            <w:right w:val="none" w:sz="0" w:space="0" w:color="auto"/>
          </w:divBdr>
        </w:div>
        <w:div w:id="145242267">
          <w:marLeft w:val="0"/>
          <w:marRight w:val="0"/>
          <w:marTop w:val="240"/>
          <w:marBottom w:val="240"/>
          <w:divBdr>
            <w:top w:val="none" w:sz="0" w:space="0" w:color="auto"/>
            <w:left w:val="none" w:sz="0" w:space="0" w:color="auto"/>
            <w:bottom w:val="none" w:sz="0" w:space="0" w:color="auto"/>
            <w:right w:val="none" w:sz="0" w:space="0" w:color="auto"/>
          </w:divBdr>
        </w:div>
        <w:div w:id="1420951947">
          <w:marLeft w:val="0"/>
          <w:marRight w:val="0"/>
          <w:marTop w:val="240"/>
          <w:marBottom w:val="240"/>
          <w:divBdr>
            <w:top w:val="none" w:sz="0" w:space="0" w:color="auto"/>
            <w:left w:val="none" w:sz="0" w:space="0" w:color="auto"/>
            <w:bottom w:val="none" w:sz="0" w:space="0" w:color="auto"/>
            <w:right w:val="none" w:sz="0" w:space="0" w:color="auto"/>
          </w:divBdr>
        </w:div>
        <w:div w:id="1163886141">
          <w:marLeft w:val="0"/>
          <w:marRight w:val="0"/>
          <w:marTop w:val="240"/>
          <w:marBottom w:val="240"/>
          <w:divBdr>
            <w:top w:val="none" w:sz="0" w:space="0" w:color="auto"/>
            <w:left w:val="none" w:sz="0" w:space="0" w:color="auto"/>
            <w:bottom w:val="none" w:sz="0" w:space="0" w:color="auto"/>
            <w:right w:val="none" w:sz="0" w:space="0" w:color="auto"/>
          </w:divBdr>
        </w:div>
        <w:div w:id="1223520735">
          <w:marLeft w:val="0"/>
          <w:marRight w:val="0"/>
          <w:marTop w:val="240"/>
          <w:marBottom w:val="240"/>
          <w:divBdr>
            <w:top w:val="none" w:sz="0" w:space="0" w:color="auto"/>
            <w:left w:val="none" w:sz="0" w:space="0" w:color="auto"/>
            <w:bottom w:val="none" w:sz="0" w:space="0" w:color="auto"/>
            <w:right w:val="none" w:sz="0" w:space="0" w:color="auto"/>
          </w:divBdr>
        </w:div>
        <w:div w:id="533274511">
          <w:marLeft w:val="0"/>
          <w:marRight w:val="0"/>
          <w:marTop w:val="240"/>
          <w:marBottom w:val="240"/>
          <w:divBdr>
            <w:top w:val="none" w:sz="0" w:space="0" w:color="auto"/>
            <w:left w:val="none" w:sz="0" w:space="0" w:color="auto"/>
            <w:bottom w:val="none" w:sz="0" w:space="0" w:color="auto"/>
            <w:right w:val="none" w:sz="0" w:space="0" w:color="auto"/>
          </w:divBdr>
        </w:div>
        <w:div w:id="1342200297">
          <w:marLeft w:val="0"/>
          <w:marRight w:val="0"/>
          <w:marTop w:val="240"/>
          <w:marBottom w:val="240"/>
          <w:divBdr>
            <w:top w:val="none" w:sz="0" w:space="0" w:color="auto"/>
            <w:left w:val="none" w:sz="0" w:space="0" w:color="auto"/>
            <w:bottom w:val="none" w:sz="0" w:space="0" w:color="auto"/>
            <w:right w:val="none" w:sz="0" w:space="0" w:color="auto"/>
          </w:divBdr>
        </w:div>
        <w:div w:id="1468204389">
          <w:marLeft w:val="0"/>
          <w:marRight w:val="0"/>
          <w:marTop w:val="240"/>
          <w:marBottom w:val="240"/>
          <w:divBdr>
            <w:top w:val="none" w:sz="0" w:space="0" w:color="auto"/>
            <w:left w:val="none" w:sz="0" w:space="0" w:color="auto"/>
            <w:bottom w:val="none" w:sz="0" w:space="0" w:color="auto"/>
            <w:right w:val="none" w:sz="0" w:space="0" w:color="auto"/>
          </w:divBdr>
        </w:div>
        <w:div w:id="230434886">
          <w:marLeft w:val="0"/>
          <w:marRight w:val="0"/>
          <w:marTop w:val="240"/>
          <w:marBottom w:val="240"/>
          <w:divBdr>
            <w:top w:val="none" w:sz="0" w:space="0" w:color="auto"/>
            <w:left w:val="none" w:sz="0" w:space="0" w:color="auto"/>
            <w:bottom w:val="none" w:sz="0" w:space="0" w:color="auto"/>
            <w:right w:val="none" w:sz="0" w:space="0" w:color="auto"/>
          </w:divBdr>
        </w:div>
        <w:div w:id="1889999210">
          <w:marLeft w:val="0"/>
          <w:marRight w:val="0"/>
          <w:marTop w:val="240"/>
          <w:marBottom w:val="240"/>
          <w:divBdr>
            <w:top w:val="none" w:sz="0" w:space="0" w:color="auto"/>
            <w:left w:val="none" w:sz="0" w:space="0" w:color="auto"/>
            <w:bottom w:val="none" w:sz="0" w:space="0" w:color="auto"/>
            <w:right w:val="none" w:sz="0" w:space="0" w:color="auto"/>
          </w:divBdr>
        </w:div>
        <w:div w:id="144981515">
          <w:marLeft w:val="0"/>
          <w:marRight w:val="0"/>
          <w:marTop w:val="240"/>
          <w:marBottom w:val="240"/>
          <w:divBdr>
            <w:top w:val="none" w:sz="0" w:space="0" w:color="auto"/>
            <w:left w:val="none" w:sz="0" w:space="0" w:color="auto"/>
            <w:bottom w:val="none" w:sz="0" w:space="0" w:color="auto"/>
            <w:right w:val="none" w:sz="0" w:space="0" w:color="auto"/>
          </w:divBdr>
        </w:div>
        <w:div w:id="220872357">
          <w:marLeft w:val="0"/>
          <w:marRight w:val="0"/>
          <w:marTop w:val="240"/>
          <w:marBottom w:val="240"/>
          <w:divBdr>
            <w:top w:val="none" w:sz="0" w:space="0" w:color="auto"/>
            <w:left w:val="none" w:sz="0" w:space="0" w:color="auto"/>
            <w:bottom w:val="none" w:sz="0" w:space="0" w:color="auto"/>
            <w:right w:val="none" w:sz="0" w:space="0" w:color="auto"/>
          </w:divBdr>
        </w:div>
        <w:div w:id="1528520527">
          <w:marLeft w:val="0"/>
          <w:marRight w:val="0"/>
          <w:marTop w:val="240"/>
          <w:marBottom w:val="240"/>
          <w:divBdr>
            <w:top w:val="none" w:sz="0" w:space="0" w:color="auto"/>
            <w:left w:val="none" w:sz="0" w:space="0" w:color="auto"/>
            <w:bottom w:val="none" w:sz="0" w:space="0" w:color="auto"/>
            <w:right w:val="none" w:sz="0" w:space="0" w:color="auto"/>
          </w:divBdr>
        </w:div>
        <w:div w:id="68306234">
          <w:marLeft w:val="0"/>
          <w:marRight w:val="0"/>
          <w:marTop w:val="240"/>
          <w:marBottom w:val="240"/>
          <w:divBdr>
            <w:top w:val="none" w:sz="0" w:space="0" w:color="auto"/>
            <w:left w:val="none" w:sz="0" w:space="0" w:color="auto"/>
            <w:bottom w:val="none" w:sz="0" w:space="0" w:color="auto"/>
            <w:right w:val="none" w:sz="0" w:space="0" w:color="auto"/>
          </w:divBdr>
        </w:div>
        <w:div w:id="1072658262">
          <w:marLeft w:val="0"/>
          <w:marRight w:val="0"/>
          <w:marTop w:val="240"/>
          <w:marBottom w:val="240"/>
          <w:divBdr>
            <w:top w:val="none" w:sz="0" w:space="0" w:color="auto"/>
            <w:left w:val="none" w:sz="0" w:space="0" w:color="auto"/>
            <w:bottom w:val="none" w:sz="0" w:space="0" w:color="auto"/>
            <w:right w:val="none" w:sz="0" w:space="0" w:color="auto"/>
          </w:divBdr>
        </w:div>
        <w:div w:id="1582254165">
          <w:marLeft w:val="0"/>
          <w:marRight w:val="0"/>
          <w:marTop w:val="240"/>
          <w:marBottom w:val="240"/>
          <w:divBdr>
            <w:top w:val="none" w:sz="0" w:space="0" w:color="auto"/>
            <w:left w:val="none" w:sz="0" w:space="0" w:color="auto"/>
            <w:bottom w:val="none" w:sz="0" w:space="0" w:color="auto"/>
            <w:right w:val="none" w:sz="0" w:space="0" w:color="auto"/>
          </w:divBdr>
        </w:div>
        <w:div w:id="1348672918">
          <w:marLeft w:val="0"/>
          <w:marRight w:val="0"/>
          <w:marTop w:val="240"/>
          <w:marBottom w:val="240"/>
          <w:divBdr>
            <w:top w:val="none" w:sz="0" w:space="0" w:color="auto"/>
            <w:left w:val="none" w:sz="0" w:space="0" w:color="auto"/>
            <w:bottom w:val="none" w:sz="0" w:space="0" w:color="auto"/>
            <w:right w:val="none" w:sz="0" w:space="0" w:color="auto"/>
          </w:divBdr>
        </w:div>
        <w:div w:id="971790876">
          <w:marLeft w:val="0"/>
          <w:marRight w:val="0"/>
          <w:marTop w:val="240"/>
          <w:marBottom w:val="240"/>
          <w:divBdr>
            <w:top w:val="none" w:sz="0" w:space="0" w:color="auto"/>
            <w:left w:val="none" w:sz="0" w:space="0" w:color="auto"/>
            <w:bottom w:val="none" w:sz="0" w:space="0" w:color="auto"/>
            <w:right w:val="none" w:sz="0" w:space="0" w:color="auto"/>
          </w:divBdr>
        </w:div>
        <w:div w:id="574630918">
          <w:marLeft w:val="0"/>
          <w:marRight w:val="0"/>
          <w:marTop w:val="240"/>
          <w:marBottom w:val="240"/>
          <w:divBdr>
            <w:top w:val="none" w:sz="0" w:space="0" w:color="auto"/>
            <w:left w:val="none" w:sz="0" w:space="0" w:color="auto"/>
            <w:bottom w:val="none" w:sz="0" w:space="0" w:color="auto"/>
            <w:right w:val="none" w:sz="0" w:space="0" w:color="auto"/>
          </w:divBdr>
        </w:div>
      </w:divsChild>
    </w:div>
    <w:div w:id="729228817">
      <w:bodyDiv w:val="1"/>
      <w:marLeft w:val="0"/>
      <w:marRight w:val="0"/>
      <w:marTop w:val="0"/>
      <w:marBottom w:val="0"/>
      <w:divBdr>
        <w:top w:val="none" w:sz="0" w:space="0" w:color="auto"/>
        <w:left w:val="none" w:sz="0" w:space="0" w:color="auto"/>
        <w:bottom w:val="none" w:sz="0" w:space="0" w:color="auto"/>
        <w:right w:val="none" w:sz="0" w:space="0" w:color="auto"/>
      </w:divBdr>
      <w:divsChild>
        <w:div w:id="849179346">
          <w:marLeft w:val="0"/>
          <w:marRight w:val="0"/>
          <w:marTop w:val="240"/>
          <w:marBottom w:val="240"/>
          <w:divBdr>
            <w:top w:val="none" w:sz="0" w:space="0" w:color="auto"/>
            <w:left w:val="none" w:sz="0" w:space="0" w:color="auto"/>
            <w:bottom w:val="none" w:sz="0" w:space="0" w:color="auto"/>
            <w:right w:val="none" w:sz="0" w:space="0" w:color="auto"/>
          </w:divBdr>
        </w:div>
        <w:div w:id="440271868">
          <w:marLeft w:val="0"/>
          <w:marRight w:val="0"/>
          <w:marTop w:val="240"/>
          <w:marBottom w:val="240"/>
          <w:divBdr>
            <w:top w:val="none" w:sz="0" w:space="0" w:color="auto"/>
            <w:left w:val="none" w:sz="0" w:space="0" w:color="auto"/>
            <w:bottom w:val="none" w:sz="0" w:space="0" w:color="auto"/>
            <w:right w:val="none" w:sz="0" w:space="0" w:color="auto"/>
          </w:divBdr>
        </w:div>
        <w:div w:id="1063872451">
          <w:marLeft w:val="0"/>
          <w:marRight w:val="0"/>
          <w:marTop w:val="240"/>
          <w:marBottom w:val="240"/>
          <w:divBdr>
            <w:top w:val="none" w:sz="0" w:space="0" w:color="auto"/>
            <w:left w:val="none" w:sz="0" w:space="0" w:color="auto"/>
            <w:bottom w:val="none" w:sz="0" w:space="0" w:color="auto"/>
            <w:right w:val="none" w:sz="0" w:space="0" w:color="auto"/>
          </w:divBdr>
        </w:div>
        <w:div w:id="1247298851">
          <w:marLeft w:val="0"/>
          <w:marRight w:val="0"/>
          <w:marTop w:val="240"/>
          <w:marBottom w:val="240"/>
          <w:divBdr>
            <w:top w:val="none" w:sz="0" w:space="0" w:color="auto"/>
            <w:left w:val="none" w:sz="0" w:space="0" w:color="auto"/>
            <w:bottom w:val="none" w:sz="0" w:space="0" w:color="auto"/>
            <w:right w:val="none" w:sz="0" w:space="0" w:color="auto"/>
          </w:divBdr>
        </w:div>
        <w:div w:id="728841008">
          <w:marLeft w:val="0"/>
          <w:marRight w:val="0"/>
          <w:marTop w:val="240"/>
          <w:marBottom w:val="240"/>
          <w:divBdr>
            <w:top w:val="none" w:sz="0" w:space="0" w:color="auto"/>
            <w:left w:val="none" w:sz="0" w:space="0" w:color="auto"/>
            <w:bottom w:val="none" w:sz="0" w:space="0" w:color="auto"/>
            <w:right w:val="none" w:sz="0" w:space="0" w:color="auto"/>
          </w:divBdr>
        </w:div>
        <w:div w:id="1397364531">
          <w:marLeft w:val="0"/>
          <w:marRight w:val="0"/>
          <w:marTop w:val="240"/>
          <w:marBottom w:val="240"/>
          <w:divBdr>
            <w:top w:val="none" w:sz="0" w:space="0" w:color="auto"/>
            <w:left w:val="none" w:sz="0" w:space="0" w:color="auto"/>
            <w:bottom w:val="none" w:sz="0" w:space="0" w:color="auto"/>
            <w:right w:val="none" w:sz="0" w:space="0" w:color="auto"/>
          </w:divBdr>
        </w:div>
        <w:div w:id="740103397">
          <w:marLeft w:val="0"/>
          <w:marRight w:val="0"/>
          <w:marTop w:val="240"/>
          <w:marBottom w:val="240"/>
          <w:divBdr>
            <w:top w:val="none" w:sz="0" w:space="0" w:color="auto"/>
            <w:left w:val="none" w:sz="0" w:space="0" w:color="auto"/>
            <w:bottom w:val="none" w:sz="0" w:space="0" w:color="auto"/>
            <w:right w:val="none" w:sz="0" w:space="0" w:color="auto"/>
          </w:divBdr>
        </w:div>
        <w:div w:id="1415854374">
          <w:marLeft w:val="0"/>
          <w:marRight w:val="0"/>
          <w:marTop w:val="240"/>
          <w:marBottom w:val="240"/>
          <w:divBdr>
            <w:top w:val="none" w:sz="0" w:space="0" w:color="auto"/>
            <w:left w:val="none" w:sz="0" w:space="0" w:color="auto"/>
            <w:bottom w:val="none" w:sz="0" w:space="0" w:color="auto"/>
            <w:right w:val="none" w:sz="0" w:space="0" w:color="auto"/>
          </w:divBdr>
        </w:div>
        <w:div w:id="961155058">
          <w:marLeft w:val="0"/>
          <w:marRight w:val="0"/>
          <w:marTop w:val="240"/>
          <w:marBottom w:val="240"/>
          <w:divBdr>
            <w:top w:val="none" w:sz="0" w:space="0" w:color="auto"/>
            <w:left w:val="none" w:sz="0" w:space="0" w:color="auto"/>
            <w:bottom w:val="none" w:sz="0" w:space="0" w:color="auto"/>
            <w:right w:val="none" w:sz="0" w:space="0" w:color="auto"/>
          </w:divBdr>
        </w:div>
        <w:div w:id="656223907">
          <w:marLeft w:val="0"/>
          <w:marRight w:val="0"/>
          <w:marTop w:val="240"/>
          <w:marBottom w:val="240"/>
          <w:divBdr>
            <w:top w:val="none" w:sz="0" w:space="0" w:color="auto"/>
            <w:left w:val="none" w:sz="0" w:space="0" w:color="auto"/>
            <w:bottom w:val="none" w:sz="0" w:space="0" w:color="auto"/>
            <w:right w:val="none" w:sz="0" w:space="0" w:color="auto"/>
          </w:divBdr>
        </w:div>
      </w:divsChild>
    </w:div>
    <w:div w:id="1055352499">
      <w:bodyDiv w:val="1"/>
      <w:marLeft w:val="0"/>
      <w:marRight w:val="0"/>
      <w:marTop w:val="0"/>
      <w:marBottom w:val="0"/>
      <w:divBdr>
        <w:top w:val="none" w:sz="0" w:space="0" w:color="auto"/>
        <w:left w:val="none" w:sz="0" w:space="0" w:color="auto"/>
        <w:bottom w:val="none" w:sz="0" w:space="0" w:color="auto"/>
        <w:right w:val="none" w:sz="0" w:space="0" w:color="auto"/>
      </w:divBdr>
    </w:div>
    <w:div w:id="1240210032">
      <w:bodyDiv w:val="1"/>
      <w:marLeft w:val="0"/>
      <w:marRight w:val="0"/>
      <w:marTop w:val="0"/>
      <w:marBottom w:val="0"/>
      <w:divBdr>
        <w:top w:val="none" w:sz="0" w:space="0" w:color="auto"/>
        <w:left w:val="none" w:sz="0" w:space="0" w:color="auto"/>
        <w:bottom w:val="none" w:sz="0" w:space="0" w:color="auto"/>
        <w:right w:val="none" w:sz="0" w:space="0" w:color="auto"/>
      </w:divBdr>
    </w:div>
    <w:div w:id="1324972717">
      <w:bodyDiv w:val="1"/>
      <w:marLeft w:val="0"/>
      <w:marRight w:val="0"/>
      <w:marTop w:val="0"/>
      <w:marBottom w:val="0"/>
      <w:divBdr>
        <w:top w:val="none" w:sz="0" w:space="0" w:color="auto"/>
        <w:left w:val="none" w:sz="0" w:space="0" w:color="auto"/>
        <w:bottom w:val="none" w:sz="0" w:space="0" w:color="auto"/>
        <w:right w:val="none" w:sz="0" w:space="0" w:color="auto"/>
      </w:divBdr>
      <w:divsChild>
        <w:div w:id="1837840665">
          <w:marLeft w:val="0"/>
          <w:marRight w:val="0"/>
          <w:marTop w:val="240"/>
          <w:marBottom w:val="240"/>
          <w:divBdr>
            <w:top w:val="none" w:sz="0" w:space="0" w:color="auto"/>
            <w:left w:val="none" w:sz="0" w:space="0" w:color="auto"/>
            <w:bottom w:val="none" w:sz="0" w:space="0" w:color="auto"/>
            <w:right w:val="none" w:sz="0" w:space="0" w:color="auto"/>
          </w:divBdr>
        </w:div>
        <w:div w:id="1453130311">
          <w:marLeft w:val="0"/>
          <w:marRight w:val="0"/>
          <w:marTop w:val="240"/>
          <w:marBottom w:val="240"/>
          <w:divBdr>
            <w:top w:val="none" w:sz="0" w:space="0" w:color="auto"/>
            <w:left w:val="none" w:sz="0" w:space="0" w:color="auto"/>
            <w:bottom w:val="none" w:sz="0" w:space="0" w:color="auto"/>
            <w:right w:val="none" w:sz="0" w:space="0" w:color="auto"/>
          </w:divBdr>
        </w:div>
        <w:div w:id="195120326">
          <w:marLeft w:val="0"/>
          <w:marRight w:val="0"/>
          <w:marTop w:val="240"/>
          <w:marBottom w:val="240"/>
          <w:divBdr>
            <w:top w:val="none" w:sz="0" w:space="0" w:color="auto"/>
            <w:left w:val="none" w:sz="0" w:space="0" w:color="auto"/>
            <w:bottom w:val="none" w:sz="0" w:space="0" w:color="auto"/>
            <w:right w:val="none" w:sz="0" w:space="0" w:color="auto"/>
          </w:divBdr>
        </w:div>
        <w:div w:id="1490557174">
          <w:marLeft w:val="0"/>
          <w:marRight w:val="0"/>
          <w:marTop w:val="240"/>
          <w:marBottom w:val="240"/>
          <w:divBdr>
            <w:top w:val="none" w:sz="0" w:space="0" w:color="auto"/>
            <w:left w:val="none" w:sz="0" w:space="0" w:color="auto"/>
            <w:bottom w:val="none" w:sz="0" w:space="0" w:color="auto"/>
            <w:right w:val="none" w:sz="0" w:space="0" w:color="auto"/>
          </w:divBdr>
        </w:div>
        <w:div w:id="1432773483">
          <w:marLeft w:val="0"/>
          <w:marRight w:val="0"/>
          <w:marTop w:val="240"/>
          <w:marBottom w:val="240"/>
          <w:divBdr>
            <w:top w:val="none" w:sz="0" w:space="0" w:color="auto"/>
            <w:left w:val="none" w:sz="0" w:space="0" w:color="auto"/>
            <w:bottom w:val="none" w:sz="0" w:space="0" w:color="auto"/>
            <w:right w:val="none" w:sz="0" w:space="0" w:color="auto"/>
          </w:divBdr>
        </w:div>
        <w:div w:id="1902043">
          <w:marLeft w:val="0"/>
          <w:marRight w:val="0"/>
          <w:marTop w:val="240"/>
          <w:marBottom w:val="240"/>
          <w:divBdr>
            <w:top w:val="none" w:sz="0" w:space="0" w:color="auto"/>
            <w:left w:val="none" w:sz="0" w:space="0" w:color="auto"/>
            <w:bottom w:val="none" w:sz="0" w:space="0" w:color="auto"/>
            <w:right w:val="none" w:sz="0" w:space="0" w:color="auto"/>
          </w:divBdr>
        </w:div>
        <w:div w:id="865868520">
          <w:marLeft w:val="0"/>
          <w:marRight w:val="0"/>
          <w:marTop w:val="240"/>
          <w:marBottom w:val="240"/>
          <w:divBdr>
            <w:top w:val="none" w:sz="0" w:space="0" w:color="auto"/>
            <w:left w:val="none" w:sz="0" w:space="0" w:color="auto"/>
            <w:bottom w:val="none" w:sz="0" w:space="0" w:color="auto"/>
            <w:right w:val="none" w:sz="0" w:space="0" w:color="auto"/>
          </w:divBdr>
        </w:div>
        <w:div w:id="1859811312">
          <w:marLeft w:val="0"/>
          <w:marRight w:val="0"/>
          <w:marTop w:val="240"/>
          <w:marBottom w:val="240"/>
          <w:divBdr>
            <w:top w:val="none" w:sz="0" w:space="0" w:color="auto"/>
            <w:left w:val="none" w:sz="0" w:space="0" w:color="auto"/>
            <w:bottom w:val="none" w:sz="0" w:space="0" w:color="auto"/>
            <w:right w:val="none" w:sz="0" w:space="0" w:color="auto"/>
          </w:divBdr>
        </w:div>
        <w:div w:id="907619913">
          <w:marLeft w:val="0"/>
          <w:marRight w:val="0"/>
          <w:marTop w:val="240"/>
          <w:marBottom w:val="240"/>
          <w:divBdr>
            <w:top w:val="none" w:sz="0" w:space="0" w:color="auto"/>
            <w:left w:val="none" w:sz="0" w:space="0" w:color="auto"/>
            <w:bottom w:val="none" w:sz="0" w:space="0" w:color="auto"/>
            <w:right w:val="none" w:sz="0" w:space="0" w:color="auto"/>
          </w:divBdr>
        </w:div>
        <w:div w:id="1393769768">
          <w:marLeft w:val="0"/>
          <w:marRight w:val="0"/>
          <w:marTop w:val="240"/>
          <w:marBottom w:val="240"/>
          <w:divBdr>
            <w:top w:val="none" w:sz="0" w:space="0" w:color="auto"/>
            <w:left w:val="none" w:sz="0" w:space="0" w:color="auto"/>
            <w:bottom w:val="none" w:sz="0" w:space="0" w:color="auto"/>
            <w:right w:val="none" w:sz="0" w:space="0" w:color="auto"/>
          </w:divBdr>
        </w:div>
      </w:divsChild>
    </w:div>
    <w:div w:id="1552379424">
      <w:bodyDiv w:val="1"/>
      <w:marLeft w:val="0"/>
      <w:marRight w:val="0"/>
      <w:marTop w:val="0"/>
      <w:marBottom w:val="0"/>
      <w:divBdr>
        <w:top w:val="none" w:sz="0" w:space="0" w:color="auto"/>
        <w:left w:val="none" w:sz="0" w:space="0" w:color="auto"/>
        <w:bottom w:val="none" w:sz="0" w:space="0" w:color="auto"/>
        <w:right w:val="none" w:sz="0" w:space="0" w:color="auto"/>
      </w:divBdr>
    </w:div>
    <w:div w:id="1656567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32238D0B247142A9DF8FFA7AEEE864"/>
        <w:category>
          <w:name w:val="General"/>
          <w:gallery w:val="placeholder"/>
        </w:category>
        <w:types>
          <w:type w:val="bbPlcHdr"/>
        </w:types>
        <w:behaviors>
          <w:behavior w:val="content"/>
        </w:behaviors>
        <w:guid w:val="{77AAA7DC-EE25-C14D-8BB6-EE9983F88176}"/>
      </w:docPartPr>
      <w:docPartBody>
        <w:p w:rsidR="00AF0382" w:rsidRDefault="0023359F" w:rsidP="0023359F">
          <w:pPr>
            <w:pStyle w:val="4832238D0B247142A9DF8FFA7AEEE864"/>
          </w:pPr>
          <w:r w:rsidRPr="00DB0913">
            <w:rPr>
              <w:rStyle w:val="Textodelmarcadordeposicin"/>
            </w:rPr>
            <w:t>Haga clic o pulse aquí para escribir texto.</w:t>
          </w:r>
        </w:p>
      </w:docPartBody>
    </w:docPart>
    <w:docPart>
      <w:docPartPr>
        <w:name w:val="CE95B9C05249C14FAD6B3FD0717CC272"/>
        <w:category>
          <w:name w:val="General"/>
          <w:gallery w:val="placeholder"/>
        </w:category>
        <w:types>
          <w:type w:val="bbPlcHdr"/>
        </w:types>
        <w:behaviors>
          <w:behavior w:val="content"/>
        </w:behaviors>
        <w:guid w:val="{BDBF404F-1A57-8C4A-9F06-753BDAAEDB97}"/>
      </w:docPartPr>
      <w:docPartBody>
        <w:p w:rsidR="00AF0382" w:rsidRDefault="0023359F" w:rsidP="0023359F">
          <w:pPr>
            <w:pStyle w:val="CE95B9C05249C14FAD6B3FD0717CC27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9F"/>
    <w:rsid w:val="00227A18"/>
    <w:rsid w:val="0023359F"/>
    <w:rsid w:val="002E7EB5"/>
    <w:rsid w:val="004376ED"/>
    <w:rsid w:val="005A3611"/>
    <w:rsid w:val="007E732F"/>
    <w:rsid w:val="00825285"/>
    <w:rsid w:val="00871D62"/>
    <w:rsid w:val="009810AB"/>
    <w:rsid w:val="009A01CF"/>
    <w:rsid w:val="00AF0382"/>
    <w:rsid w:val="00C417BA"/>
    <w:rsid w:val="00F164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359F"/>
    <w:rPr>
      <w:color w:val="808080"/>
    </w:rPr>
  </w:style>
  <w:style w:type="paragraph" w:customStyle="1" w:styleId="4832238D0B247142A9DF8FFA7AEEE864">
    <w:name w:val="4832238D0B247142A9DF8FFA7AEEE864"/>
    <w:rsid w:val="0023359F"/>
  </w:style>
  <w:style w:type="paragraph" w:customStyle="1" w:styleId="CE95B9C05249C14FAD6B3FD0717CC272">
    <w:name w:val="CE95B9C05249C14FAD6B3FD0717CC272"/>
    <w:rsid w:val="00233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1538</Words>
  <Characters>8462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2025-07-29T19:56:00Z</dcterms:created>
  <dcterms:modified xsi:type="dcterms:W3CDTF">2025-07-29T19:56:00Z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SIP_Label_defa4170-0d19-0005-0004-bc88714345d2_Enabled">
    <vt:lpwstr>true</vt:lpwstr>
  </property>
  <property fmtid="{D5CDD505-2E9C-101B-9397-08002B2CF9AE}" pid="4" name="MSIP_Label_defa4170-0d19-0005-0004-bc88714345d2_SetDate">
    <vt:lpwstr>2025-07-29T19:56:17Z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921e5bc4-1ff1-4971-99e5-beda7032ccba</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