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A4F07C" w14:textId="77777777" w:rsidR="00D969E3" w:rsidRPr="00F84AF6" w:rsidRDefault="00D969E3" w:rsidP="00D969E3">
      <w:pPr>
        <w:rPr>
          <w:rFonts w:ascii="Century Gothic" w:hAnsi="Century Gothic"/>
          <w:color w:val="000000"/>
          <w:sz w:val="20"/>
          <w:szCs w:val="20"/>
        </w:rPr>
      </w:pPr>
    </w:p>
    <w:tbl>
      <w:tblPr>
        <w:tblW w:w="8783" w:type="dxa"/>
        <w:tblCellMar>
          <w:left w:w="0" w:type="dxa"/>
          <w:right w:w="0" w:type="dxa"/>
        </w:tblCellMar>
        <w:tblLook w:val="04A0" w:firstRow="1" w:lastRow="0" w:firstColumn="1" w:lastColumn="0" w:noHBand="0" w:noVBand="1"/>
      </w:tblPr>
      <w:tblGrid>
        <w:gridCol w:w="2976"/>
        <w:gridCol w:w="5807"/>
      </w:tblGrid>
      <w:tr w:rsidR="009B4B61" w:rsidRPr="00F84AF6" w14:paraId="61525EE0" w14:textId="77777777" w:rsidTr="009B4B61">
        <w:trPr>
          <w:trHeight w:val="454"/>
        </w:trPr>
        <w:tc>
          <w:tcPr>
            <w:tcW w:w="2976" w:type="dxa"/>
            <w:tcBorders>
              <w:top w:val="single" w:sz="8" w:space="0" w:color="auto"/>
              <w:left w:val="single" w:sz="8" w:space="0" w:color="auto"/>
              <w:bottom w:val="single" w:sz="8" w:space="0" w:color="auto"/>
              <w:right w:val="single" w:sz="8" w:space="0" w:color="auto"/>
            </w:tcBorders>
            <w:vAlign w:val="center"/>
            <w:hideMark/>
          </w:tcPr>
          <w:p w14:paraId="77D73EEA" w14:textId="77777777"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Siniestro</w:t>
            </w:r>
          </w:p>
        </w:tc>
        <w:tc>
          <w:tcPr>
            <w:tcW w:w="5807" w:type="dxa"/>
            <w:tcBorders>
              <w:top w:val="single" w:sz="8" w:space="0" w:color="auto"/>
              <w:left w:val="nil"/>
              <w:bottom w:val="single" w:sz="8" w:space="0" w:color="auto"/>
              <w:right w:val="single" w:sz="8" w:space="0" w:color="auto"/>
            </w:tcBorders>
            <w:vAlign w:val="center"/>
            <w:hideMark/>
          </w:tcPr>
          <w:p w14:paraId="17959A6F" w14:textId="752FF780" w:rsidR="009B4B61" w:rsidRPr="00F84AF6" w:rsidRDefault="00983E20" w:rsidP="009B4B61">
            <w:pPr>
              <w:rPr>
                <w:rFonts w:ascii="Century Gothic" w:hAnsi="Century Gothic"/>
                <w:color w:val="000000"/>
                <w:sz w:val="20"/>
                <w:szCs w:val="20"/>
              </w:rPr>
            </w:pPr>
            <w:r w:rsidRPr="00983E20">
              <w:rPr>
                <w:rFonts w:ascii="Century Gothic" w:hAnsi="Century Gothic"/>
                <w:color w:val="000000"/>
                <w:sz w:val="20"/>
                <w:szCs w:val="20"/>
              </w:rPr>
              <w:t>SP057118</w:t>
            </w:r>
          </w:p>
        </w:tc>
      </w:tr>
      <w:tr w:rsidR="009B4B61" w:rsidRPr="00F84AF6" w14:paraId="46A8490E" w14:textId="77777777" w:rsidTr="009B4B61">
        <w:trPr>
          <w:trHeight w:val="454"/>
        </w:trPr>
        <w:tc>
          <w:tcPr>
            <w:tcW w:w="2976" w:type="dxa"/>
            <w:tcBorders>
              <w:top w:val="nil"/>
              <w:left w:val="single" w:sz="8" w:space="0" w:color="auto"/>
              <w:bottom w:val="single" w:sz="8" w:space="0" w:color="auto"/>
              <w:right w:val="single" w:sz="8" w:space="0" w:color="auto"/>
            </w:tcBorders>
            <w:vAlign w:val="center"/>
            <w:hideMark/>
          </w:tcPr>
          <w:p w14:paraId="300EAD50" w14:textId="77777777"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 xml:space="preserve">Caso </w:t>
            </w:r>
            <w:proofErr w:type="spellStart"/>
            <w:r w:rsidRPr="00F84AF6">
              <w:rPr>
                <w:rFonts w:ascii="Century Gothic" w:hAnsi="Century Gothic"/>
                <w:color w:val="000000"/>
                <w:sz w:val="20"/>
                <w:szCs w:val="20"/>
                <w:lang w:val="es-ES_tradnl"/>
              </w:rPr>
              <w:t>Onbase</w:t>
            </w:r>
            <w:proofErr w:type="spellEnd"/>
          </w:p>
        </w:tc>
        <w:tc>
          <w:tcPr>
            <w:tcW w:w="5807" w:type="dxa"/>
            <w:tcBorders>
              <w:top w:val="nil"/>
              <w:left w:val="nil"/>
              <w:bottom w:val="single" w:sz="8" w:space="0" w:color="auto"/>
              <w:right w:val="single" w:sz="8" w:space="0" w:color="auto"/>
            </w:tcBorders>
            <w:vAlign w:val="center"/>
            <w:hideMark/>
          </w:tcPr>
          <w:p w14:paraId="3E1BAC28" w14:textId="75F05484"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 </w:t>
            </w:r>
            <w:r w:rsidR="00983E20">
              <w:rPr>
                <w:rFonts w:ascii="Century Gothic" w:hAnsi="Century Gothic"/>
                <w:color w:val="000000"/>
                <w:sz w:val="20"/>
                <w:szCs w:val="20"/>
                <w:lang w:val="es-ES_tradnl"/>
              </w:rPr>
              <w:t>N/A</w:t>
            </w:r>
          </w:p>
        </w:tc>
      </w:tr>
      <w:tr w:rsidR="009B4B61" w:rsidRPr="00F84AF6" w14:paraId="45AACAD6" w14:textId="77777777" w:rsidTr="009B4B61">
        <w:trPr>
          <w:trHeight w:val="454"/>
        </w:trPr>
        <w:tc>
          <w:tcPr>
            <w:tcW w:w="2976" w:type="dxa"/>
            <w:tcBorders>
              <w:top w:val="nil"/>
              <w:left w:val="single" w:sz="8" w:space="0" w:color="auto"/>
              <w:bottom w:val="single" w:sz="8" w:space="0" w:color="auto"/>
              <w:right w:val="single" w:sz="8" w:space="0" w:color="auto"/>
            </w:tcBorders>
            <w:vAlign w:val="center"/>
            <w:hideMark/>
          </w:tcPr>
          <w:p w14:paraId="410785B6" w14:textId="77777777"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Póliza</w:t>
            </w:r>
          </w:p>
        </w:tc>
        <w:tc>
          <w:tcPr>
            <w:tcW w:w="5807" w:type="dxa"/>
            <w:tcBorders>
              <w:top w:val="nil"/>
              <w:left w:val="nil"/>
              <w:bottom w:val="single" w:sz="8" w:space="0" w:color="auto"/>
              <w:right w:val="single" w:sz="8" w:space="0" w:color="auto"/>
            </w:tcBorders>
            <w:vAlign w:val="center"/>
            <w:hideMark/>
          </w:tcPr>
          <w:p w14:paraId="58A178F9" w14:textId="4FB3C984"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 </w:t>
            </w:r>
            <w:r w:rsidR="00983E20" w:rsidRPr="00983E20">
              <w:rPr>
                <w:rFonts w:ascii="Century Gothic" w:hAnsi="Century Gothic"/>
                <w:color w:val="000000"/>
                <w:sz w:val="20"/>
                <w:szCs w:val="20"/>
                <w:lang w:val="es-ES_tradnl"/>
              </w:rPr>
              <w:t>AA026576</w:t>
            </w:r>
          </w:p>
        </w:tc>
      </w:tr>
      <w:tr w:rsidR="009B4B61" w:rsidRPr="00F84AF6" w14:paraId="46EE1E33" w14:textId="77777777" w:rsidTr="009B4B61">
        <w:trPr>
          <w:trHeight w:val="454"/>
        </w:trPr>
        <w:tc>
          <w:tcPr>
            <w:tcW w:w="2976" w:type="dxa"/>
            <w:tcBorders>
              <w:top w:val="nil"/>
              <w:left w:val="single" w:sz="8" w:space="0" w:color="auto"/>
              <w:bottom w:val="single" w:sz="8" w:space="0" w:color="auto"/>
              <w:right w:val="single" w:sz="8" w:space="0" w:color="auto"/>
            </w:tcBorders>
            <w:vAlign w:val="center"/>
            <w:hideMark/>
          </w:tcPr>
          <w:p w14:paraId="4434608A" w14:textId="77777777"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Certificado</w:t>
            </w:r>
          </w:p>
        </w:tc>
        <w:tc>
          <w:tcPr>
            <w:tcW w:w="5807" w:type="dxa"/>
            <w:tcBorders>
              <w:top w:val="nil"/>
              <w:left w:val="nil"/>
              <w:bottom w:val="single" w:sz="8" w:space="0" w:color="auto"/>
              <w:right w:val="single" w:sz="8" w:space="0" w:color="auto"/>
            </w:tcBorders>
            <w:vAlign w:val="center"/>
            <w:hideMark/>
          </w:tcPr>
          <w:p w14:paraId="28685E15" w14:textId="7C29DBB5"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 </w:t>
            </w:r>
            <w:r w:rsidR="00983E20" w:rsidRPr="00983E20">
              <w:rPr>
                <w:rFonts w:ascii="Century Gothic" w:hAnsi="Century Gothic"/>
                <w:color w:val="000000"/>
                <w:sz w:val="20"/>
                <w:szCs w:val="20"/>
                <w:lang w:val="es-ES_tradnl"/>
              </w:rPr>
              <w:t>AA072771</w:t>
            </w:r>
          </w:p>
        </w:tc>
      </w:tr>
      <w:tr w:rsidR="009B4B61" w:rsidRPr="00F84AF6" w14:paraId="08175347" w14:textId="77777777" w:rsidTr="009B4B61">
        <w:trPr>
          <w:trHeight w:val="454"/>
        </w:trPr>
        <w:tc>
          <w:tcPr>
            <w:tcW w:w="2976" w:type="dxa"/>
            <w:tcBorders>
              <w:top w:val="nil"/>
              <w:left w:val="single" w:sz="8" w:space="0" w:color="auto"/>
              <w:bottom w:val="single" w:sz="8" w:space="0" w:color="auto"/>
              <w:right w:val="single" w:sz="8" w:space="0" w:color="auto"/>
            </w:tcBorders>
            <w:vAlign w:val="center"/>
            <w:hideMark/>
          </w:tcPr>
          <w:p w14:paraId="38096AD0" w14:textId="77777777"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Orden</w:t>
            </w:r>
          </w:p>
        </w:tc>
        <w:tc>
          <w:tcPr>
            <w:tcW w:w="5807" w:type="dxa"/>
            <w:tcBorders>
              <w:top w:val="nil"/>
              <w:left w:val="nil"/>
              <w:bottom w:val="single" w:sz="8" w:space="0" w:color="auto"/>
              <w:right w:val="single" w:sz="8" w:space="0" w:color="auto"/>
            </w:tcBorders>
            <w:vAlign w:val="center"/>
            <w:hideMark/>
          </w:tcPr>
          <w:p w14:paraId="5C5370B2" w14:textId="6CDEA24A"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 </w:t>
            </w:r>
            <w:r w:rsidR="00983E20">
              <w:rPr>
                <w:rFonts w:ascii="Century Gothic" w:hAnsi="Century Gothic"/>
                <w:color w:val="000000"/>
                <w:sz w:val="20"/>
                <w:szCs w:val="20"/>
                <w:lang w:val="es-ES_tradnl"/>
              </w:rPr>
              <w:t>1</w:t>
            </w:r>
          </w:p>
        </w:tc>
      </w:tr>
      <w:tr w:rsidR="00E40E21" w:rsidRPr="00F84AF6" w14:paraId="2408BBC1" w14:textId="77777777" w:rsidTr="009B4B61">
        <w:trPr>
          <w:trHeight w:val="454"/>
        </w:trPr>
        <w:tc>
          <w:tcPr>
            <w:tcW w:w="2976" w:type="dxa"/>
            <w:tcBorders>
              <w:top w:val="nil"/>
              <w:left w:val="single" w:sz="8" w:space="0" w:color="auto"/>
              <w:bottom w:val="single" w:sz="8" w:space="0" w:color="auto"/>
              <w:right w:val="single" w:sz="8" w:space="0" w:color="auto"/>
            </w:tcBorders>
            <w:vAlign w:val="center"/>
          </w:tcPr>
          <w:p w14:paraId="2DF50FFA" w14:textId="4537BD12" w:rsidR="00E40E21" w:rsidRPr="00F84AF6" w:rsidRDefault="00E40E21" w:rsidP="009B4B61">
            <w:pPr>
              <w:rPr>
                <w:rFonts w:ascii="Century Gothic" w:hAnsi="Century Gothic"/>
                <w:color w:val="000000"/>
                <w:sz w:val="20"/>
                <w:szCs w:val="20"/>
                <w:lang w:val="es-ES_tradnl"/>
              </w:rPr>
            </w:pPr>
            <w:r>
              <w:rPr>
                <w:rFonts w:ascii="Century Gothic" w:hAnsi="Century Gothic"/>
                <w:color w:val="000000"/>
                <w:sz w:val="20"/>
                <w:szCs w:val="20"/>
                <w:lang w:val="es-ES_tradnl"/>
              </w:rPr>
              <w:t xml:space="preserve">Condicionado </w:t>
            </w:r>
          </w:p>
        </w:tc>
        <w:tc>
          <w:tcPr>
            <w:tcW w:w="5807" w:type="dxa"/>
            <w:tcBorders>
              <w:top w:val="nil"/>
              <w:left w:val="nil"/>
              <w:bottom w:val="single" w:sz="8" w:space="0" w:color="auto"/>
              <w:right w:val="single" w:sz="8" w:space="0" w:color="auto"/>
            </w:tcBorders>
            <w:vAlign w:val="center"/>
          </w:tcPr>
          <w:p w14:paraId="2D72B14E" w14:textId="181CFAB6" w:rsidR="00E40E21" w:rsidRPr="00F84AF6" w:rsidRDefault="000366A8" w:rsidP="009B4B61">
            <w:pPr>
              <w:rPr>
                <w:rFonts w:ascii="Century Gothic" w:hAnsi="Century Gothic"/>
                <w:color w:val="000000"/>
                <w:sz w:val="20"/>
                <w:szCs w:val="20"/>
                <w:lang w:val="es-ES_tradnl"/>
              </w:rPr>
            </w:pPr>
            <w:r w:rsidRPr="000366A8">
              <w:rPr>
                <w:rFonts w:ascii="Century Gothic" w:hAnsi="Century Gothic"/>
                <w:color w:val="000000"/>
                <w:sz w:val="20"/>
                <w:szCs w:val="20"/>
                <w:lang w:val="es-ES_tradnl"/>
              </w:rPr>
              <w:t>28062013-1501-P-03-000000118</w:t>
            </w:r>
          </w:p>
        </w:tc>
      </w:tr>
      <w:tr w:rsidR="00E40E21" w:rsidRPr="00F84AF6" w14:paraId="32520194" w14:textId="77777777" w:rsidTr="009B4B61">
        <w:trPr>
          <w:trHeight w:val="454"/>
        </w:trPr>
        <w:tc>
          <w:tcPr>
            <w:tcW w:w="2976" w:type="dxa"/>
            <w:tcBorders>
              <w:top w:val="nil"/>
              <w:left w:val="single" w:sz="8" w:space="0" w:color="auto"/>
              <w:bottom w:val="single" w:sz="8" w:space="0" w:color="auto"/>
              <w:right w:val="single" w:sz="8" w:space="0" w:color="auto"/>
            </w:tcBorders>
            <w:vAlign w:val="center"/>
          </w:tcPr>
          <w:p w14:paraId="1F1BDC64" w14:textId="0257F187" w:rsidR="00E40E21" w:rsidRDefault="00E40E21" w:rsidP="009B4B61">
            <w:pPr>
              <w:rPr>
                <w:rFonts w:ascii="Century Gothic" w:hAnsi="Century Gothic"/>
                <w:color w:val="000000"/>
                <w:sz w:val="20"/>
                <w:szCs w:val="20"/>
                <w:lang w:val="es-ES_tradnl"/>
              </w:rPr>
            </w:pPr>
            <w:r>
              <w:rPr>
                <w:rFonts w:ascii="Century Gothic" w:hAnsi="Century Gothic"/>
                <w:color w:val="000000"/>
                <w:sz w:val="20"/>
                <w:szCs w:val="20"/>
                <w:lang w:val="es-ES_tradnl"/>
              </w:rPr>
              <w:t xml:space="preserve">Pagos realizados </w:t>
            </w:r>
          </w:p>
        </w:tc>
        <w:tc>
          <w:tcPr>
            <w:tcW w:w="5807" w:type="dxa"/>
            <w:tcBorders>
              <w:top w:val="nil"/>
              <w:left w:val="nil"/>
              <w:bottom w:val="single" w:sz="8" w:space="0" w:color="auto"/>
              <w:right w:val="single" w:sz="8" w:space="0" w:color="auto"/>
            </w:tcBorders>
            <w:vAlign w:val="center"/>
          </w:tcPr>
          <w:p w14:paraId="0AE29A9C" w14:textId="45EA19E5" w:rsidR="00E40E21" w:rsidRPr="00F84AF6" w:rsidRDefault="00983E20" w:rsidP="009B4B61">
            <w:pPr>
              <w:rPr>
                <w:rFonts w:ascii="Century Gothic" w:hAnsi="Century Gothic"/>
                <w:color w:val="000000"/>
                <w:sz w:val="20"/>
                <w:szCs w:val="20"/>
                <w:lang w:val="es-ES_tradnl"/>
              </w:rPr>
            </w:pPr>
            <w:r>
              <w:rPr>
                <w:rFonts w:ascii="Century Gothic" w:hAnsi="Century Gothic"/>
                <w:color w:val="000000"/>
                <w:sz w:val="20"/>
                <w:szCs w:val="20"/>
                <w:lang w:val="es-ES_tradnl"/>
              </w:rPr>
              <w:t>$0</w:t>
            </w:r>
          </w:p>
        </w:tc>
      </w:tr>
      <w:tr w:rsidR="009B4B61" w:rsidRPr="00F84AF6" w14:paraId="0C0161FD" w14:textId="77777777" w:rsidTr="009B4B61">
        <w:trPr>
          <w:trHeight w:val="454"/>
        </w:trPr>
        <w:tc>
          <w:tcPr>
            <w:tcW w:w="2976" w:type="dxa"/>
            <w:tcBorders>
              <w:top w:val="nil"/>
              <w:left w:val="single" w:sz="8" w:space="0" w:color="auto"/>
              <w:bottom w:val="single" w:sz="8" w:space="0" w:color="auto"/>
              <w:right w:val="single" w:sz="8" w:space="0" w:color="auto"/>
            </w:tcBorders>
            <w:vAlign w:val="center"/>
            <w:hideMark/>
          </w:tcPr>
          <w:p w14:paraId="01E292E1" w14:textId="77777777"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Sucursal</w:t>
            </w:r>
          </w:p>
        </w:tc>
        <w:tc>
          <w:tcPr>
            <w:tcW w:w="5807" w:type="dxa"/>
            <w:tcBorders>
              <w:top w:val="nil"/>
              <w:left w:val="nil"/>
              <w:bottom w:val="single" w:sz="8" w:space="0" w:color="auto"/>
              <w:right w:val="single" w:sz="8" w:space="0" w:color="auto"/>
            </w:tcBorders>
            <w:vAlign w:val="center"/>
            <w:hideMark/>
          </w:tcPr>
          <w:p w14:paraId="6C296B2C" w14:textId="593CE444"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 </w:t>
            </w:r>
            <w:r w:rsidR="00983E20">
              <w:rPr>
                <w:rFonts w:ascii="Century Gothic" w:hAnsi="Century Gothic"/>
                <w:color w:val="000000"/>
                <w:sz w:val="20"/>
                <w:szCs w:val="20"/>
                <w:lang w:val="es-ES_tradnl"/>
              </w:rPr>
              <w:t>100054</w:t>
            </w:r>
          </w:p>
        </w:tc>
      </w:tr>
      <w:tr w:rsidR="009B4B61" w:rsidRPr="00F84AF6" w14:paraId="3B3CCC7B" w14:textId="77777777" w:rsidTr="009B4B61">
        <w:trPr>
          <w:trHeight w:val="454"/>
        </w:trPr>
        <w:tc>
          <w:tcPr>
            <w:tcW w:w="2976" w:type="dxa"/>
            <w:tcBorders>
              <w:top w:val="nil"/>
              <w:left w:val="single" w:sz="8" w:space="0" w:color="auto"/>
              <w:bottom w:val="single" w:sz="8" w:space="0" w:color="auto"/>
              <w:right w:val="single" w:sz="8" w:space="0" w:color="auto"/>
            </w:tcBorders>
            <w:vAlign w:val="center"/>
            <w:hideMark/>
          </w:tcPr>
          <w:p w14:paraId="2C18D9CA" w14:textId="77777777"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Placa del vehículo</w:t>
            </w:r>
          </w:p>
        </w:tc>
        <w:tc>
          <w:tcPr>
            <w:tcW w:w="5807" w:type="dxa"/>
            <w:tcBorders>
              <w:top w:val="nil"/>
              <w:left w:val="nil"/>
              <w:bottom w:val="single" w:sz="8" w:space="0" w:color="auto"/>
              <w:right w:val="single" w:sz="8" w:space="0" w:color="auto"/>
            </w:tcBorders>
            <w:vAlign w:val="center"/>
            <w:hideMark/>
          </w:tcPr>
          <w:p w14:paraId="5067DAAC" w14:textId="54995623"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 </w:t>
            </w:r>
            <w:r w:rsidR="00983E20" w:rsidRPr="00983E20">
              <w:rPr>
                <w:rFonts w:ascii="Century Gothic" w:hAnsi="Century Gothic"/>
                <w:color w:val="000000"/>
                <w:sz w:val="20"/>
                <w:szCs w:val="20"/>
                <w:lang w:val="es-ES_tradnl"/>
              </w:rPr>
              <w:t>JSH64D</w:t>
            </w:r>
          </w:p>
        </w:tc>
      </w:tr>
      <w:tr w:rsidR="009B4B61" w:rsidRPr="00F84AF6" w14:paraId="3FD6BF68" w14:textId="77777777" w:rsidTr="009B4B61">
        <w:trPr>
          <w:trHeight w:val="454"/>
        </w:trPr>
        <w:tc>
          <w:tcPr>
            <w:tcW w:w="2976" w:type="dxa"/>
            <w:tcBorders>
              <w:top w:val="nil"/>
              <w:left w:val="single" w:sz="8" w:space="0" w:color="auto"/>
              <w:bottom w:val="single" w:sz="8" w:space="0" w:color="auto"/>
              <w:right w:val="single" w:sz="8" w:space="0" w:color="auto"/>
            </w:tcBorders>
            <w:vAlign w:val="center"/>
            <w:hideMark/>
          </w:tcPr>
          <w:p w14:paraId="267D55EA" w14:textId="77777777"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Fecha del siniestro</w:t>
            </w:r>
          </w:p>
        </w:tc>
        <w:tc>
          <w:tcPr>
            <w:tcW w:w="5807" w:type="dxa"/>
            <w:tcBorders>
              <w:top w:val="nil"/>
              <w:left w:val="nil"/>
              <w:bottom w:val="single" w:sz="8" w:space="0" w:color="auto"/>
              <w:right w:val="single" w:sz="8" w:space="0" w:color="auto"/>
            </w:tcBorders>
            <w:vAlign w:val="center"/>
            <w:hideMark/>
          </w:tcPr>
          <w:p w14:paraId="3155B392" w14:textId="0F7DB797"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 </w:t>
            </w:r>
            <w:r w:rsidR="00983E20">
              <w:rPr>
                <w:rFonts w:ascii="Century Gothic" w:hAnsi="Century Gothic"/>
                <w:color w:val="000000"/>
                <w:sz w:val="20"/>
                <w:szCs w:val="20"/>
                <w:lang w:val="es-ES_tradnl"/>
              </w:rPr>
              <w:t>31</w:t>
            </w:r>
            <w:r w:rsidR="00983E20" w:rsidRPr="00983E20">
              <w:rPr>
                <w:rFonts w:ascii="Century Gothic" w:hAnsi="Century Gothic"/>
                <w:color w:val="000000"/>
                <w:sz w:val="20"/>
                <w:szCs w:val="20"/>
                <w:lang w:val="es-ES_tradnl"/>
              </w:rPr>
              <w:t>/1</w:t>
            </w:r>
            <w:r w:rsidR="00983E20">
              <w:rPr>
                <w:rFonts w:ascii="Century Gothic" w:hAnsi="Century Gothic"/>
                <w:color w:val="000000"/>
                <w:sz w:val="20"/>
                <w:szCs w:val="20"/>
                <w:lang w:val="es-ES_tradnl"/>
              </w:rPr>
              <w:t>0</w:t>
            </w:r>
            <w:r w:rsidR="00983E20" w:rsidRPr="00983E20">
              <w:rPr>
                <w:rFonts w:ascii="Century Gothic" w:hAnsi="Century Gothic"/>
                <w:color w:val="000000"/>
                <w:sz w:val="20"/>
                <w:szCs w:val="20"/>
                <w:lang w:val="es-ES_tradnl"/>
              </w:rPr>
              <w:t>/2017</w:t>
            </w:r>
          </w:p>
        </w:tc>
      </w:tr>
      <w:tr w:rsidR="009B4B61" w:rsidRPr="00F84AF6" w14:paraId="4873764E" w14:textId="77777777" w:rsidTr="009B4B61">
        <w:trPr>
          <w:trHeight w:val="454"/>
        </w:trPr>
        <w:tc>
          <w:tcPr>
            <w:tcW w:w="2976" w:type="dxa"/>
            <w:tcBorders>
              <w:top w:val="nil"/>
              <w:left w:val="single" w:sz="8" w:space="0" w:color="auto"/>
              <w:bottom w:val="single" w:sz="8" w:space="0" w:color="auto"/>
              <w:right w:val="single" w:sz="8" w:space="0" w:color="auto"/>
            </w:tcBorders>
            <w:vAlign w:val="center"/>
            <w:hideMark/>
          </w:tcPr>
          <w:p w14:paraId="2C79CAAE" w14:textId="77777777"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Fecha del aviso</w:t>
            </w:r>
          </w:p>
        </w:tc>
        <w:tc>
          <w:tcPr>
            <w:tcW w:w="5807" w:type="dxa"/>
            <w:tcBorders>
              <w:top w:val="nil"/>
              <w:left w:val="nil"/>
              <w:bottom w:val="single" w:sz="8" w:space="0" w:color="auto"/>
              <w:right w:val="single" w:sz="8" w:space="0" w:color="auto"/>
            </w:tcBorders>
            <w:vAlign w:val="center"/>
            <w:hideMark/>
          </w:tcPr>
          <w:p w14:paraId="57613D24" w14:textId="2173DD42"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 </w:t>
            </w:r>
            <w:r w:rsidR="00983E20">
              <w:rPr>
                <w:rFonts w:ascii="Century Gothic" w:hAnsi="Century Gothic"/>
                <w:color w:val="000000"/>
                <w:sz w:val="20"/>
                <w:szCs w:val="20"/>
                <w:lang w:val="es-ES_tradnl"/>
              </w:rPr>
              <w:t>31</w:t>
            </w:r>
            <w:r w:rsidR="00983E20" w:rsidRPr="00983E20">
              <w:rPr>
                <w:rFonts w:ascii="Century Gothic" w:hAnsi="Century Gothic"/>
                <w:color w:val="000000"/>
                <w:sz w:val="20"/>
                <w:szCs w:val="20"/>
                <w:lang w:val="es-ES_tradnl"/>
              </w:rPr>
              <w:t>/1</w:t>
            </w:r>
            <w:r w:rsidR="00983E20">
              <w:rPr>
                <w:rFonts w:ascii="Century Gothic" w:hAnsi="Century Gothic"/>
                <w:color w:val="000000"/>
                <w:sz w:val="20"/>
                <w:szCs w:val="20"/>
                <w:lang w:val="es-ES_tradnl"/>
              </w:rPr>
              <w:t>0</w:t>
            </w:r>
            <w:r w:rsidR="00983E20" w:rsidRPr="00983E20">
              <w:rPr>
                <w:rFonts w:ascii="Century Gothic" w:hAnsi="Century Gothic"/>
                <w:color w:val="000000"/>
                <w:sz w:val="20"/>
                <w:szCs w:val="20"/>
                <w:lang w:val="es-ES_tradnl"/>
              </w:rPr>
              <w:t>/2017</w:t>
            </w:r>
          </w:p>
        </w:tc>
      </w:tr>
      <w:tr w:rsidR="009B4B61" w:rsidRPr="00F84AF6" w14:paraId="0D8B0220" w14:textId="77777777" w:rsidTr="009B4B61">
        <w:trPr>
          <w:trHeight w:val="454"/>
        </w:trPr>
        <w:tc>
          <w:tcPr>
            <w:tcW w:w="2976" w:type="dxa"/>
            <w:tcBorders>
              <w:top w:val="nil"/>
              <w:left w:val="single" w:sz="8" w:space="0" w:color="auto"/>
              <w:bottom w:val="single" w:sz="8" w:space="0" w:color="auto"/>
              <w:right w:val="single" w:sz="8" w:space="0" w:color="auto"/>
            </w:tcBorders>
            <w:vAlign w:val="center"/>
            <w:hideMark/>
          </w:tcPr>
          <w:p w14:paraId="108E5B37" w14:textId="77777777"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Colocación de reaseguro</w:t>
            </w:r>
          </w:p>
        </w:tc>
        <w:tc>
          <w:tcPr>
            <w:tcW w:w="5807" w:type="dxa"/>
            <w:tcBorders>
              <w:top w:val="nil"/>
              <w:left w:val="nil"/>
              <w:bottom w:val="single" w:sz="8" w:space="0" w:color="auto"/>
              <w:right w:val="single" w:sz="8" w:space="0" w:color="auto"/>
            </w:tcBorders>
            <w:vAlign w:val="center"/>
            <w:hideMark/>
          </w:tcPr>
          <w:p w14:paraId="404E0E65" w14:textId="39BD6F6D"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 </w:t>
            </w:r>
            <w:r w:rsidR="00983E20">
              <w:rPr>
                <w:rFonts w:ascii="Century Gothic" w:hAnsi="Century Gothic"/>
                <w:color w:val="000000"/>
                <w:sz w:val="20"/>
                <w:szCs w:val="20"/>
                <w:lang w:val="es-ES_tradnl"/>
              </w:rPr>
              <w:t xml:space="preserve">CUOTA PARTE </w:t>
            </w:r>
          </w:p>
        </w:tc>
      </w:tr>
      <w:tr w:rsidR="009B4B61" w:rsidRPr="00F84AF6" w14:paraId="142E3BDB" w14:textId="77777777" w:rsidTr="009B4B61">
        <w:trPr>
          <w:trHeight w:val="454"/>
        </w:trPr>
        <w:tc>
          <w:tcPr>
            <w:tcW w:w="2976" w:type="dxa"/>
            <w:tcBorders>
              <w:top w:val="nil"/>
              <w:left w:val="single" w:sz="8" w:space="0" w:color="auto"/>
              <w:bottom w:val="single" w:sz="8" w:space="0" w:color="auto"/>
              <w:right w:val="single" w:sz="8" w:space="0" w:color="auto"/>
            </w:tcBorders>
            <w:vAlign w:val="center"/>
            <w:hideMark/>
          </w:tcPr>
          <w:p w14:paraId="28DD3967" w14:textId="77777777"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Tomador</w:t>
            </w:r>
          </w:p>
        </w:tc>
        <w:tc>
          <w:tcPr>
            <w:tcW w:w="5807" w:type="dxa"/>
            <w:tcBorders>
              <w:top w:val="nil"/>
              <w:left w:val="nil"/>
              <w:bottom w:val="single" w:sz="8" w:space="0" w:color="auto"/>
              <w:right w:val="single" w:sz="8" w:space="0" w:color="auto"/>
            </w:tcBorders>
            <w:vAlign w:val="center"/>
            <w:hideMark/>
          </w:tcPr>
          <w:p w14:paraId="49EFEB99" w14:textId="4E53CFC5"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 </w:t>
            </w:r>
            <w:r w:rsidR="00983E20" w:rsidRPr="00983E20">
              <w:rPr>
                <w:rFonts w:ascii="Century Gothic" w:hAnsi="Century Gothic"/>
                <w:color w:val="000000"/>
                <w:sz w:val="20"/>
                <w:szCs w:val="20"/>
                <w:lang w:val="es-ES_tradnl"/>
              </w:rPr>
              <w:t>TRUJILLO CALDERON LUIS FELIPE</w:t>
            </w:r>
          </w:p>
        </w:tc>
      </w:tr>
      <w:tr w:rsidR="009B4B61" w:rsidRPr="00F84AF6" w14:paraId="335DF5B4" w14:textId="77777777" w:rsidTr="009B4B61">
        <w:trPr>
          <w:trHeight w:val="454"/>
        </w:trPr>
        <w:tc>
          <w:tcPr>
            <w:tcW w:w="2976" w:type="dxa"/>
            <w:tcBorders>
              <w:top w:val="nil"/>
              <w:left w:val="single" w:sz="8" w:space="0" w:color="auto"/>
              <w:bottom w:val="single" w:sz="8" w:space="0" w:color="auto"/>
              <w:right w:val="single" w:sz="8" w:space="0" w:color="auto"/>
            </w:tcBorders>
            <w:vAlign w:val="center"/>
            <w:hideMark/>
          </w:tcPr>
          <w:p w14:paraId="4CBAE9EB" w14:textId="77777777"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Asegurado</w:t>
            </w:r>
          </w:p>
        </w:tc>
        <w:tc>
          <w:tcPr>
            <w:tcW w:w="5807" w:type="dxa"/>
            <w:tcBorders>
              <w:top w:val="nil"/>
              <w:left w:val="nil"/>
              <w:bottom w:val="single" w:sz="8" w:space="0" w:color="auto"/>
              <w:right w:val="single" w:sz="8" w:space="0" w:color="auto"/>
            </w:tcBorders>
            <w:vAlign w:val="center"/>
            <w:hideMark/>
          </w:tcPr>
          <w:p w14:paraId="39ACC067" w14:textId="33BCB141"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 </w:t>
            </w:r>
            <w:r w:rsidR="00983E20" w:rsidRPr="00983E20">
              <w:rPr>
                <w:rFonts w:ascii="Century Gothic" w:hAnsi="Century Gothic"/>
                <w:color w:val="000000"/>
                <w:sz w:val="20"/>
                <w:szCs w:val="20"/>
                <w:lang w:val="es-ES_tradnl"/>
              </w:rPr>
              <w:t>TRUJILLO CALDERON LUIS FELIPE</w:t>
            </w:r>
          </w:p>
        </w:tc>
      </w:tr>
      <w:tr w:rsidR="009B4B61" w:rsidRPr="00F84AF6" w14:paraId="2AD734F8" w14:textId="77777777" w:rsidTr="009B4B61">
        <w:trPr>
          <w:trHeight w:val="454"/>
        </w:trPr>
        <w:tc>
          <w:tcPr>
            <w:tcW w:w="2976" w:type="dxa"/>
            <w:tcBorders>
              <w:top w:val="nil"/>
              <w:left w:val="single" w:sz="8" w:space="0" w:color="auto"/>
              <w:bottom w:val="single" w:sz="8" w:space="0" w:color="auto"/>
              <w:right w:val="single" w:sz="8" w:space="0" w:color="auto"/>
            </w:tcBorders>
            <w:vAlign w:val="center"/>
            <w:hideMark/>
          </w:tcPr>
          <w:p w14:paraId="36A7BC67" w14:textId="77777777"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Ramo</w:t>
            </w:r>
          </w:p>
        </w:tc>
        <w:tc>
          <w:tcPr>
            <w:tcW w:w="5807" w:type="dxa"/>
            <w:tcBorders>
              <w:top w:val="nil"/>
              <w:left w:val="nil"/>
              <w:bottom w:val="single" w:sz="8" w:space="0" w:color="auto"/>
              <w:right w:val="single" w:sz="8" w:space="0" w:color="auto"/>
            </w:tcBorders>
            <w:vAlign w:val="center"/>
            <w:hideMark/>
          </w:tcPr>
          <w:p w14:paraId="5BF3963B" w14:textId="17DAF0B0"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 </w:t>
            </w:r>
            <w:r w:rsidR="00983E20" w:rsidRPr="00983E20">
              <w:rPr>
                <w:rFonts w:ascii="Century Gothic" w:hAnsi="Century Gothic"/>
                <w:color w:val="000000"/>
                <w:sz w:val="20"/>
                <w:szCs w:val="20"/>
                <w:lang w:val="es-ES_tradnl"/>
              </w:rPr>
              <w:t>MOTOCICLETAS FALABELLA</w:t>
            </w:r>
          </w:p>
        </w:tc>
      </w:tr>
      <w:tr w:rsidR="009B4B61" w:rsidRPr="00F84AF6" w14:paraId="02A9A762" w14:textId="77777777" w:rsidTr="009B4B61">
        <w:trPr>
          <w:trHeight w:val="454"/>
        </w:trPr>
        <w:tc>
          <w:tcPr>
            <w:tcW w:w="2976" w:type="dxa"/>
            <w:tcBorders>
              <w:top w:val="nil"/>
              <w:left w:val="single" w:sz="8" w:space="0" w:color="auto"/>
              <w:bottom w:val="single" w:sz="8" w:space="0" w:color="auto"/>
              <w:right w:val="single" w:sz="8" w:space="0" w:color="auto"/>
            </w:tcBorders>
            <w:vAlign w:val="center"/>
            <w:hideMark/>
          </w:tcPr>
          <w:p w14:paraId="1D17D846" w14:textId="77777777"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Cobertura</w:t>
            </w:r>
          </w:p>
        </w:tc>
        <w:tc>
          <w:tcPr>
            <w:tcW w:w="5807" w:type="dxa"/>
            <w:tcBorders>
              <w:top w:val="nil"/>
              <w:left w:val="nil"/>
              <w:bottom w:val="single" w:sz="8" w:space="0" w:color="auto"/>
              <w:right w:val="single" w:sz="8" w:space="0" w:color="auto"/>
            </w:tcBorders>
            <w:vAlign w:val="center"/>
            <w:hideMark/>
          </w:tcPr>
          <w:p w14:paraId="36D0C887" w14:textId="38C00B6C"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 </w:t>
            </w:r>
            <w:r w:rsidR="00983E20" w:rsidRPr="00983E20">
              <w:rPr>
                <w:rFonts w:ascii="Century Gothic" w:hAnsi="Century Gothic"/>
                <w:color w:val="000000"/>
                <w:sz w:val="20"/>
                <w:szCs w:val="20"/>
                <w:lang w:val="es-ES_tradnl"/>
              </w:rPr>
              <w:t>PERDIDA TOTAL DAÑOS</w:t>
            </w:r>
          </w:p>
        </w:tc>
      </w:tr>
      <w:tr w:rsidR="009B4B61" w:rsidRPr="00F84AF6" w14:paraId="12C6A8D4" w14:textId="77777777" w:rsidTr="009B4B61">
        <w:trPr>
          <w:trHeight w:val="454"/>
        </w:trPr>
        <w:tc>
          <w:tcPr>
            <w:tcW w:w="2976" w:type="dxa"/>
            <w:tcBorders>
              <w:top w:val="nil"/>
              <w:left w:val="single" w:sz="8" w:space="0" w:color="auto"/>
              <w:bottom w:val="single" w:sz="8" w:space="0" w:color="auto"/>
              <w:right w:val="single" w:sz="8" w:space="0" w:color="auto"/>
            </w:tcBorders>
            <w:vAlign w:val="center"/>
            <w:hideMark/>
          </w:tcPr>
          <w:p w14:paraId="418700E4" w14:textId="77777777"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Valor asegurado</w:t>
            </w:r>
          </w:p>
        </w:tc>
        <w:tc>
          <w:tcPr>
            <w:tcW w:w="5807" w:type="dxa"/>
            <w:tcBorders>
              <w:top w:val="nil"/>
              <w:left w:val="nil"/>
              <w:bottom w:val="single" w:sz="8" w:space="0" w:color="auto"/>
              <w:right w:val="single" w:sz="8" w:space="0" w:color="auto"/>
            </w:tcBorders>
            <w:vAlign w:val="center"/>
            <w:hideMark/>
          </w:tcPr>
          <w:p w14:paraId="7339FDB3" w14:textId="4127916F"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 </w:t>
            </w:r>
            <w:r w:rsidR="00983E20">
              <w:rPr>
                <w:rFonts w:ascii="Century Gothic" w:hAnsi="Century Gothic"/>
                <w:color w:val="000000"/>
                <w:sz w:val="20"/>
                <w:szCs w:val="20"/>
                <w:lang w:val="es-ES_tradnl"/>
              </w:rPr>
              <w:t>$11.600.000</w:t>
            </w:r>
          </w:p>
        </w:tc>
      </w:tr>
      <w:tr w:rsidR="009B4B61" w:rsidRPr="00F84AF6" w14:paraId="0988DC3D" w14:textId="77777777" w:rsidTr="009B4B61">
        <w:trPr>
          <w:trHeight w:val="454"/>
        </w:trPr>
        <w:tc>
          <w:tcPr>
            <w:tcW w:w="2976" w:type="dxa"/>
            <w:tcBorders>
              <w:top w:val="nil"/>
              <w:left w:val="single" w:sz="8" w:space="0" w:color="auto"/>
              <w:bottom w:val="single" w:sz="8" w:space="0" w:color="auto"/>
              <w:right w:val="single" w:sz="8" w:space="0" w:color="auto"/>
            </w:tcBorders>
            <w:vAlign w:val="center"/>
            <w:hideMark/>
          </w:tcPr>
          <w:p w14:paraId="6A477699" w14:textId="77777777"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Audiencia prejudicial</w:t>
            </w:r>
          </w:p>
        </w:tc>
        <w:tc>
          <w:tcPr>
            <w:tcW w:w="5807" w:type="dxa"/>
            <w:tcBorders>
              <w:top w:val="nil"/>
              <w:left w:val="nil"/>
              <w:bottom w:val="single" w:sz="8" w:space="0" w:color="auto"/>
              <w:right w:val="single" w:sz="8" w:space="0" w:color="auto"/>
            </w:tcBorders>
            <w:vAlign w:val="center"/>
            <w:hideMark/>
          </w:tcPr>
          <w:p w14:paraId="529DC484" w14:textId="62A81DEB"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 </w:t>
            </w:r>
            <w:r w:rsidR="00983E20">
              <w:rPr>
                <w:rFonts w:ascii="Century Gothic" w:hAnsi="Century Gothic"/>
                <w:color w:val="000000"/>
                <w:sz w:val="20"/>
                <w:szCs w:val="20"/>
                <w:lang w:val="es-ES_tradnl"/>
              </w:rPr>
              <w:t>SI</w:t>
            </w:r>
          </w:p>
        </w:tc>
      </w:tr>
      <w:tr w:rsidR="009B4B61" w:rsidRPr="00F84AF6" w14:paraId="42D3F201" w14:textId="77777777" w:rsidTr="009B4B61">
        <w:trPr>
          <w:trHeight w:val="454"/>
        </w:trPr>
        <w:tc>
          <w:tcPr>
            <w:tcW w:w="2976" w:type="dxa"/>
            <w:tcBorders>
              <w:top w:val="nil"/>
              <w:left w:val="single" w:sz="8" w:space="0" w:color="auto"/>
              <w:bottom w:val="single" w:sz="8" w:space="0" w:color="auto"/>
              <w:right w:val="single" w:sz="8" w:space="0" w:color="auto"/>
            </w:tcBorders>
            <w:vAlign w:val="center"/>
            <w:hideMark/>
          </w:tcPr>
          <w:p w14:paraId="6275D34B" w14:textId="77777777"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Ofrecimiento previo</w:t>
            </w:r>
          </w:p>
        </w:tc>
        <w:tc>
          <w:tcPr>
            <w:tcW w:w="5807" w:type="dxa"/>
            <w:tcBorders>
              <w:top w:val="nil"/>
              <w:left w:val="nil"/>
              <w:bottom w:val="single" w:sz="8" w:space="0" w:color="auto"/>
              <w:right w:val="single" w:sz="8" w:space="0" w:color="auto"/>
            </w:tcBorders>
            <w:vAlign w:val="center"/>
            <w:hideMark/>
          </w:tcPr>
          <w:p w14:paraId="5D37DADB" w14:textId="58418FB4" w:rsidR="009B4B61" w:rsidRPr="00F84AF6" w:rsidRDefault="009B4B61" w:rsidP="009B4B61">
            <w:pPr>
              <w:rPr>
                <w:rFonts w:ascii="Century Gothic" w:hAnsi="Century Gothic"/>
                <w:color w:val="000000"/>
                <w:sz w:val="20"/>
                <w:szCs w:val="20"/>
              </w:rPr>
            </w:pPr>
            <w:r w:rsidRPr="00F84AF6">
              <w:rPr>
                <w:rFonts w:ascii="Century Gothic" w:hAnsi="Century Gothic"/>
                <w:color w:val="000000"/>
                <w:sz w:val="20"/>
                <w:szCs w:val="20"/>
                <w:lang w:val="es-ES_tradnl"/>
              </w:rPr>
              <w:t>$</w:t>
            </w:r>
            <w:r w:rsidR="00983E20">
              <w:rPr>
                <w:rFonts w:ascii="Century Gothic" w:hAnsi="Century Gothic"/>
                <w:color w:val="000000"/>
                <w:sz w:val="20"/>
                <w:szCs w:val="20"/>
                <w:lang w:val="es-ES_tradnl"/>
              </w:rPr>
              <w:t>0</w:t>
            </w:r>
          </w:p>
        </w:tc>
      </w:tr>
    </w:tbl>
    <w:p w14:paraId="1F7DBCFD" w14:textId="77777777" w:rsidR="00D969E3" w:rsidRPr="00F84AF6" w:rsidRDefault="00D969E3" w:rsidP="00D969E3">
      <w:pPr>
        <w:rPr>
          <w:rFonts w:ascii="Century Gothic" w:hAnsi="Century Gothic"/>
          <w:color w:val="000000"/>
          <w:sz w:val="20"/>
          <w:szCs w:val="20"/>
        </w:rPr>
      </w:pPr>
    </w:p>
    <w:p w14:paraId="406D677A" w14:textId="6FA8AA33" w:rsidR="005E3DA8" w:rsidRPr="00F84AF6" w:rsidRDefault="005E3DA8" w:rsidP="005E3DA8">
      <w:pPr>
        <w:rPr>
          <w:rFonts w:ascii="Century Gothic" w:hAnsi="Century Gothic"/>
          <w:sz w:val="20"/>
          <w:szCs w:val="20"/>
        </w:rPr>
      </w:pPr>
    </w:p>
    <w:p w14:paraId="4A34E4FA" w14:textId="6B39543F" w:rsidR="005E3DA8" w:rsidRDefault="009E1BBE">
      <w:pPr>
        <w:rPr>
          <w:rFonts w:ascii="Century Gothic" w:hAnsi="Century Gothic"/>
          <w:sz w:val="20"/>
          <w:szCs w:val="20"/>
        </w:rPr>
      </w:pPr>
      <w:r w:rsidRPr="009E1BBE">
        <w:rPr>
          <w:rFonts w:ascii="Century Gothic" w:hAnsi="Century Gothic"/>
          <w:b/>
          <w:bCs/>
          <w:sz w:val="20"/>
          <w:szCs w:val="20"/>
        </w:rPr>
        <w:t>Bitácora del siniestro</w:t>
      </w:r>
      <w:r>
        <w:rPr>
          <w:rFonts w:ascii="Century Gothic" w:hAnsi="Century Gothic"/>
          <w:sz w:val="20"/>
          <w:szCs w:val="20"/>
        </w:rPr>
        <w:t xml:space="preserve">: </w:t>
      </w:r>
    </w:p>
    <w:p w14:paraId="786ACD42" w14:textId="77777777" w:rsidR="00822CC2" w:rsidRDefault="00822CC2">
      <w:pPr>
        <w:rPr>
          <w:rFonts w:ascii="Century Gothic" w:hAnsi="Century Gothic"/>
          <w:sz w:val="20"/>
          <w:szCs w:val="20"/>
        </w:rPr>
      </w:pPr>
    </w:p>
    <w:p w14:paraId="106CF99F" w14:textId="77777777" w:rsidR="00822CC2" w:rsidRPr="00822CC2" w:rsidRDefault="00822CC2" w:rsidP="00822CC2">
      <w:pPr>
        <w:rPr>
          <w:rFonts w:ascii="Century Gothic" w:hAnsi="Century Gothic"/>
          <w:sz w:val="20"/>
          <w:szCs w:val="20"/>
        </w:rPr>
      </w:pPr>
      <w:r w:rsidRPr="00822CC2">
        <w:rPr>
          <w:rFonts w:ascii="Century Gothic" w:hAnsi="Century Gothic"/>
          <w:b/>
          <w:bCs/>
          <w:sz w:val="20"/>
          <w:szCs w:val="20"/>
        </w:rPr>
        <w:t>14/11/2017</w:t>
      </w:r>
      <w:r>
        <w:rPr>
          <w:rFonts w:ascii="Century Gothic" w:hAnsi="Century Gothic"/>
          <w:sz w:val="20"/>
          <w:szCs w:val="20"/>
        </w:rPr>
        <w:t xml:space="preserve">: </w:t>
      </w:r>
      <w:r w:rsidRPr="00822CC2">
        <w:rPr>
          <w:rFonts w:ascii="Century Gothic" w:hAnsi="Century Gothic"/>
          <w:sz w:val="20"/>
          <w:szCs w:val="20"/>
        </w:rPr>
        <w:t>Recibidos documentos en Agencia calle 100, se cargan en SIPO y se notifica a Analista asignado:</w:t>
      </w:r>
    </w:p>
    <w:p w14:paraId="3FB10EAC"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 xml:space="preserve">carta de </w:t>
      </w:r>
      <w:proofErr w:type="spellStart"/>
      <w:r w:rsidRPr="00822CC2">
        <w:rPr>
          <w:rFonts w:ascii="Century Gothic" w:hAnsi="Century Gothic"/>
          <w:sz w:val="20"/>
          <w:szCs w:val="20"/>
        </w:rPr>
        <w:t>reclamacion</w:t>
      </w:r>
      <w:proofErr w:type="spellEnd"/>
      <w:r w:rsidRPr="00822CC2">
        <w:rPr>
          <w:rFonts w:ascii="Century Gothic" w:hAnsi="Century Gothic"/>
          <w:sz w:val="20"/>
          <w:szCs w:val="20"/>
        </w:rPr>
        <w:t xml:space="preserve"> formal</w:t>
      </w:r>
    </w:p>
    <w:p w14:paraId="068CA206"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copia denuncia</w:t>
      </w:r>
    </w:p>
    <w:p w14:paraId="5C3062DF"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Documento de compraventa y FUN de traspaso</w:t>
      </w:r>
    </w:p>
    <w:p w14:paraId="474DE2AC" w14:textId="77777777" w:rsidR="00822CC2" w:rsidRPr="00822CC2" w:rsidRDefault="00822CC2" w:rsidP="00822CC2">
      <w:pPr>
        <w:rPr>
          <w:rFonts w:ascii="Century Gothic" w:hAnsi="Century Gothic"/>
          <w:sz w:val="20"/>
          <w:szCs w:val="20"/>
        </w:rPr>
      </w:pPr>
      <w:proofErr w:type="spellStart"/>
      <w:r w:rsidRPr="00822CC2">
        <w:rPr>
          <w:rFonts w:ascii="Century Gothic" w:hAnsi="Century Gothic"/>
          <w:sz w:val="20"/>
          <w:szCs w:val="20"/>
        </w:rPr>
        <w:t>cc</w:t>
      </w:r>
      <w:proofErr w:type="spellEnd"/>
      <w:r w:rsidRPr="00822CC2">
        <w:rPr>
          <w:rFonts w:ascii="Century Gothic" w:hAnsi="Century Gothic"/>
          <w:sz w:val="20"/>
          <w:szCs w:val="20"/>
        </w:rPr>
        <w:t xml:space="preserve"> asegurado y antiguo propietario</w:t>
      </w:r>
    </w:p>
    <w:p w14:paraId="11FDBC46"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fotocopia tarjeta de propiedad y SOAT</w:t>
      </w:r>
    </w:p>
    <w:p w14:paraId="4E2C9076"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Vigencia 06-05-17 al 06-05-18</w:t>
      </w:r>
    </w:p>
    <w:p w14:paraId="1EAEE034"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Fecha siniestro 31 de octubre</w:t>
      </w:r>
    </w:p>
    <w:p w14:paraId="35DBDC7E"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valor asegurado $ 11.600.000</w:t>
      </w:r>
    </w:p>
    <w:p w14:paraId="4EA6B10E"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Asegurado: Luis Felipe Trujillo Calderon</w:t>
      </w:r>
    </w:p>
    <w:p w14:paraId="2F178EFA" w14:textId="6BE33369" w:rsidR="00822CC2" w:rsidRDefault="00822CC2" w:rsidP="00822CC2">
      <w:pPr>
        <w:rPr>
          <w:rFonts w:ascii="Century Gothic" w:hAnsi="Century Gothic"/>
          <w:sz w:val="20"/>
          <w:szCs w:val="20"/>
        </w:rPr>
      </w:pPr>
      <w:proofErr w:type="spellStart"/>
      <w:r w:rsidRPr="00822CC2">
        <w:rPr>
          <w:rFonts w:ascii="Century Gothic" w:hAnsi="Century Gothic"/>
          <w:sz w:val="20"/>
          <w:szCs w:val="20"/>
        </w:rPr>
        <w:lastRenderedPageBreak/>
        <w:t>cc</w:t>
      </w:r>
      <w:proofErr w:type="spellEnd"/>
      <w:r w:rsidRPr="00822CC2">
        <w:rPr>
          <w:rFonts w:ascii="Century Gothic" w:hAnsi="Century Gothic"/>
          <w:sz w:val="20"/>
          <w:szCs w:val="20"/>
        </w:rPr>
        <w:t xml:space="preserve"> 1022381599</w:t>
      </w:r>
    </w:p>
    <w:p w14:paraId="3457A34B" w14:textId="77777777" w:rsidR="00822CC2" w:rsidRDefault="00822CC2" w:rsidP="00822CC2">
      <w:pPr>
        <w:rPr>
          <w:rFonts w:ascii="Century Gothic" w:hAnsi="Century Gothic"/>
          <w:sz w:val="20"/>
          <w:szCs w:val="20"/>
        </w:rPr>
      </w:pPr>
    </w:p>
    <w:p w14:paraId="6B0DC574" w14:textId="10FB0399" w:rsidR="00822CC2" w:rsidRDefault="00822CC2" w:rsidP="00822CC2">
      <w:pPr>
        <w:rPr>
          <w:rFonts w:ascii="Century Gothic" w:hAnsi="Century Gothic"/>
          <w:sz w:val="20"/>
          <w:szCs w:val="20"/>
        </w:rPr>
      </w:pPr>
      <w:r w:rsidRPr="00822CC2">
        <w:rPr>
          <w:rFonts w:ascii="Century Gothic" w:hAnsi="Century Gothic"/>
          <w:sz w:val="20"/>
          <w:szCs w:val="20"/>
        </w:rPr>
        <w:t xml:space="preserve">Se </w:t>
      </w:r>
      <w:proofErr w:type="gramStart"/>
      <w:r w:rsidRPr="00822CC2">
        <w:rPr>
          <w:rFonts w:ascii="Century Gothic" w:hAnsi="Century Gothic"/>
          <w:sz w:val="20"/>
          <w:szCs w:val="20"/>
        </w:rPr>
        <w:t>cierra  reserva</w:t>
      </w:r>
      <w:proofErr w:type="gramEnd"/>
      <w:r w:rsidRPr="00822CC2">
        <w:rPr>
          <w:rFonts w:ascii="Century Gothic" w:hAnsi="Century Gothic"/>
          <w:sz w:val="20"/>
          <w:szCs w:val="20"/>
        </w:rPr>
        <w:t xml:space="preserve"> reclamo objetado según agenda de sipo.</w:t>
      </w:r>
    </w:p>
    <w:p w14:paraId="26A58CEE" w14:textId="77777777" w:rsidR="00822CC2" w:rsidRDefault="00822CC2" w:rsidP="00822CC2">
      <w:pPr>
        <w:rPr>
          <w:rFonts w:ascii="Century Gothic" w:hAnsi="Century Gothic"/>
          <w:sz w:val="20"/>
          <w:szCs w:val="20"/>
        </w:rPr>
      </w:pPr>
    </w:p>
    <w:p w14:paraId="0F3CB091" w14:textId="18F577C8" w:rsidR="00822CC2" w:rsidRPr="00822CC2" w:rsidRDefault="00822CC2" w:rsidP="00822CC2">
      <w:pPr>
        <w:rPr>
          <w:rFonts w:ascii="Century Gothic" w:hAnsi="Century Gothic"/>
          <w:sz w:val="20"/>
          <w:szCs w:val="20"/>
        </w:rPr>
      </w:pPr>
      <w:r w:rsidRPr="00822CC2">
        <w:rPr>
          <w:rFonts w:ascii="Century Gothic" w:hAnsi="Century Gothic"/>
          <w:b/>
          <w:bCs/>
          <w:sz w:val="20"/>
          <w:szCs w:val="20"/>
        </w:rPr>
        <w:t>02/07/2025</w:t>
      </w:r>
      <w:r>
        <w:rPr>
          <w:rFonts w:ascii="Century Gothic" w:hAnsi="Century Gothic"/>
          <w:sz w:val="20"/>
          <w:szCs w:val="20"/>
        </w:rPr>
        <w:t>:</w:t>
      </w:r>
      <w:r w:rsidRPr="00822CC2">
        <w:t xml:space="preserve"> </w:t>
      </w:r>
      <w:r w:rsidRPr="00822CC2">
        <w:rPr>
          <w:rFonts w:ascii="Century Gothic" w:hAnsi="Century Gothic"/>
          <w:sz w:val="20"/>
          <w:szCs w:val="20"/>
        </w:rPr>
        <w:t xml:space="preserve">Remito indicaciones para ser utilizadas en el momento de llevarse a cabo la </w:t>
      </w:r>
    </w:p>
    <w:p w14:paraId="264E742F"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audiencia programada para el 9 de julio de 2025, a las 15:00 horas</w:t>
      </w:r>
    </w:p>
    <w:p w14:paraId="2ACBE9D2"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 xml:space="preserve">asiste Enrique </w:t>
      </w:r>
      <w:proofErr w:type="spellStart"/>
      <w:r w:rsidRPr="00822CC2">
        <w:rPr>
          <w:rFonts w:ascii="Century Gothic" w:hAnsi="Century Gothic"/>
          <w:sz w:val="20"/>
          <w:szCs w:val="20"/>
        </w:rPr>
        <w:t>Lauresn</w:t>
      </w:r>
      <w:proofErr w:type="spellEnd"/>
      <w:r w:rsidRPr="00822CC2">
        <w:rPr>
          <w:rFonts w:ascii="Century Gothic" w:hAnsi="Century Gothic"/>
          <w:sz w:val="20"/>
          <w:szCs w:val="20"/>
        </w:rPr>
        <w:t xml:space="preserve"> </w:t>
      </w:r>
    </w:p>
    <w:p w14:paraId="6BD5E059"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Siniestro: SP057118</w:t>
      </w:r>
    </w:p>
    <w:p w14:paraId="070CA5FB"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 xml:space="preserve">Caso </w:t>
      </w:r>
      <w:proofErr w:type="spellStart"/>
      <w:r w:rsidRPr="00822CC2">
        <w:rPr>
          <w:rFonts w:ascii="Century Gothic" w:hAnsi="Century Gothic"/>
          <w:sz w:val="20"/>
          <w:szCs w:val="20"/>
        </w:rPr>
        <w:t>OnBase</w:t>
      </w:r>
      <w:proofErr w:type="spellEnd"/>
      <w:r w:rsidRPr="00822CC2">
        <w:rPr>
          <w:rFonts w:ascii="Century Gothic" w:hAnsi="Century Gothic"/>
          <w:sz w:val="20"/>
          <w:szCs w:val="20"/>
        </w:rPr>
        <w:t>: Sipo</w:t>
      </w:r>
    </w:p>
    <w:p w14:paraId="0B48342D"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Fecha de siniestro: 31 de octubre de 2017</w:t>
      </w:r>
    </w:p>
    <w:p w14:paraId="6C065958"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Fecha de aviso: 31 de octubre de 2017</w:t>
      </w:r>
    </w:p>
    <w:p w14:paraId="4A9E6B3F"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Póliza: AA026576</w:t>
      </w:r>
    </w:p>
    <w:p w14:paraId="3A85277B"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Producto: 011803 motos Falabella</w:t>
      </w:r>
    </w:p>
    <w:p w14:paraId="21485A20"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Tomador: BANCO FALABELLA SA</w:t>
      </w:r>
    </w:p>
    <w:p w14:paraId="6FB63931"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Asegurado: TRUJILLO CALDERON LUIS FELIPE</w:t>
      </w:r>
    </w:p>
    <w:p w14:paraId="3CBCF627"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Prima: OK</w:t>
      </w:r>
    </w:p>
    <w:p w14:paraId="383BF8A1"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Placa: JSH64D</w:t>
      </w:r>
    </w:p>
    <w:p w14:paraId="6FBE16BF"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 xml:space="preserve">Amparos afectados: </w:t>
      </w:r>
      <w:proofErr w:type="spellStart"/>
      <w:r w:rsidRPr="00822CC2">
        <w:rPr>
          <w:rFonts w:ascii="Century Gothic" w:hAnsi="Century Gothic"/>
          <w:sz w:val="20"/>
          <w:szCs w:val="20"/>
        </w:rPr>
        <w:t>perdida</w:t>
      </w:r>
      <w:proofErr w:type="spellEnd"/>
      <w:r w:rsidRPr="00822CC2">
        <w:rPr>
          <w:rFonts w:ascii="Century Gothic" w:hAnsi="Century Gothic"/>
          <w:sz w:val="20"/>
          <w:szCs w:val="20"/>
        </w:rPr>
        <w:t xml:space="preserve"> total daños </w:t>
      </w:r>
    </w:p>
    <w:p w14:paraId="6A7B8A8E"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Valores asegurados: $11.600.000=</w:t>
      </w:r>
    </w:p>
    <w:p w14:paraId="207F5C74"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Deducible: 1 SMMLV</w:t>
      </w:r>
    </w:p>
    <w:p w14:paraId="510A9313"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Pretensiones: $11.600.000=</w:t>
      </w:r>
    </w:p>
    <w:p w14:paraId="1DB91DF1"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Rad Fiscalía--</w:t>
      </w:r>
    </w:p>
    <w:p w14:paraId="61BE5874" w14:textId="77777777" w:rsidR="00822CC2" w:rsidRPr="00822CC2" w:rsidRDefault="00822CC2" w:rsidP="00822CC2">
      <w:pPr>
        <w:rPr>
          <w:rFonts w:ascii="Century Gothic" w:hAnsi="Century Gothic"/>
          <w:sz w:val="20"/>
          <w:szCs w:val="20"/>
        </w:rPr>
      </w:pPr>
    </w:p>
    <w:p w14:paraId="5E5432EE"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 xml:space="preserve">Convocante: LUIS FELIPE TRUJILLO CALDERON </w:t>
      </w:r>
    </w:p>
    <w:p w14:paraId="5F32B7AA"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 xml:space="preserve">Antecedente: </w:t>
      </w:r>
    </w:p>
    <w:p w14:paraId="37BCE17B"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 xml:space="preserve">Asegurado presento reclamación ante esta Aseguradora el 11/2017, aportando: </w:t>
      </w:r>
    </w:p>
    <w:p w14:paraId="6422F4A9"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o Carta formal de reclamación.</w:t>
      </w:r>
    </w:p>
    <w:p w14:paraId="2C10F474"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 xml:space="preserve"> o Denuncia penal.</w:t>
      </w:r>
    </w:p>
    <w:p w14:paraId="217EBFB0"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 xml:space="preserve"> o Copia cédula de ciudadanía. </w:t>
      </w:r>
    </w:p>
    <w:p w14:paraId="168C8999"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o Licencia de conducción,</w:t>
      </w:r>
    </w:p>
    <w:p w14:paraId="28877113"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 xml:space="preserve"> o Un ejemplar del contrato de compraventa suscrito entre el vendedor CRISTIAN CAMILO FERNANDEZ BOHORQUEZ y el comprador LUIS FELIPE TRUJILLO CALDERON. </w:t>
      </w:r>
    </w:p>
    <w:p w14:paraId="6F09AC1C"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 xml:space="preserve">o Formulario de solicitud de tramites del registro nacional automotor, diligenciado. </w:t>
      </w:r>
    </w:p>
    <w:p w14:paraId="611C8F94"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 xml:space="preserve">o Revisión técnico-mecánica de la motocicleta asegurada. </w:t>
      </w:r>
    </w:p>
    <w:p w14:paraId="1FBCFFB4"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o SOAT. o Licencia del tránsito 10009166009</w:t>
      </w:r>
    </w:p>
    <w:p w14:paraId="30AA5530" w14:textId="77777777" w:rsidR="00822CC2" w:rsidRPr="00822CC2" w:rsidRDefault="00822CC2" w:rsidP="00822CC2">
      <w:pPr>
        <w:rPr>
          <w:rFonts w:ascii="Century Gothic" w:hAnsi="Century Gothic"/>
          <w:sz w:val="20"/>
          <w:szCs w:val="20"/>
        </w:rPr>
      </w:pPr>
    </w:p>
    <w:p w14:paraId="1192E024"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Esta Aseguradora objetó la reclamación dentro del término de Ley, por incumplimiento a la cláusula de garantía que se suscribió en la póliza Motocicletas Falabella AA026576. En nuestro oficio de objeción 07 de diciembre de 2017, advertimos los efectos que conlleva no cumplir con la cláusula de garantía "6. Compromiso entrega de tarjeta de propiedad (solo para clientes con traspaso pendiente o placa en tránsito libre", desde donde el contrato de seguro se vuelve inoperante, en concordancia con el artículo 1061 del Código de Comercio que preceptúa el cumplimiento estricto de la garantía y el 1045 que establece los elementos esenciales del contrato de seguro.</w:t>
      </w:r>
    </w:p>
    <w:p w14:paraId="4AAD866A" w14:textId="77777777" w:rsidR="00822CC2" w:rsidRPr="00822CC2" w:rsidRDefault="00822CC2" w:rsidP="00822CC2">
      <w:pPr>
        <w:rPr>
          <w:rFonts w:ascii="Century Gothic" w:hAnsi="Century Gothic"/>
          <w:sz w:val="20"/>
          <w:szCs w:val="20"/>
        </w:rPr>
      </w:pPr>
    </w:p>
    <w:p w14:paraId="7E0A7954"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 xml:space="preserve">En queja presentada ante la Superfinanciera se </w:t>
      </w:r>
      <w:proofErr w:type="spellStart"/>
      <w:r w:rsidRPr="00822CC2">
        <w:rPr>
          <w:rFonts w:ascii="Century Gothic" w:hAnsi="Century Gothic"/>
          <w:sz w:val="20"/>
          <w:szCs w:val="20"/>
        </w:rPr>
        <w:t>aclaro</w:t>
      </w:r>
      <w:proofErr w:type="spellEnd"/>
      <w:r w:rsidRPr="00822CC2">
        <w:rPr>
          <w:rFonts w:ascii="Century Gothic" w:hAnsi="Century Gothic"/>
          <w:sz w:val="20"/>
          <w:szCs w:val="20"/>
        </w:rPr>
        <w:t xml:space="preserve"> lo siguiente: </w:t>
      </w:r>
    </w:p>
    <w:p w14:paraId="72DD9023" w14:textId="77777777" w:rsidR="00822CC2" w:rsidRPr="00822CC2" w:rsidRDefault="00822CC2" w:rsidP="00822CC2">
      <w:pPr>
        <w:rPr>
          <w:rFonts w:ascii="Century Gothic" w:hAnsi="Century Gothic"/>
          <w:sz w:val="20"/>
          <w:szCs w:val="20"/>
        </w:rPr>
      </w:pPr>
    </w:p>
    <w:p w14:paraId="38EF7C09"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1.</w:t>
      </w:r>
      <w:r w:rsidRPr="00822CC2">
        <w:rPr>
          <w:rFonts w:ascii="Century Gothic" w:hAnsi="Century Gothic"/>
          <w:sz w:val="20"/>
          <w:szCs w:val="20"/>
        </w:rPr>
        <w:tab/>
        <w:t xml:space="preserve">Aunque se invoque el incumplimiento de una cláusula de garantía, la aseguradora nunca notificó formalmente la cancelación del contrato, </w:t>
      </w:r>
      <w:proofErr w:type="gramStart"/>
      <w:r w:rsidRPr="00822CC2">
        <w:rPr>
          <w:rFonts w:ascii="Century Gothic" w:hAnsi="Century Gothic"/>
          <w:sz w:val="20"/>
          <w:szCs w:val="20"/>
        </w:rPr>
        <w:t>y</w:t>
      </w:r>
      <w:proofErr w:type="gramEnd"/>
      <w:r w:rsidRPr="00822CC2">
        <w:rPr>
          <w:rFonts w:ascii="Century Gothic" w:hAnsi="Century Gothic"/>
          <w:sz w:val="20"/>
          <w:szCs w:val="20"/>
        </w:rPr>
        <w:t xml:space="preserve"> por el contrario, continuó cobrando primas y prestando servicios (como asistencia en grúa) durante meses posteriores al supuesto vencimiento.</w:t>
      </w:r>
    </w:p>
    <w:p w14:paraId="56763FB5"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2.</w:t>
      </w:r>
      <w:r w:rsidRPr="00822CC2">
        <w:rPr>
          <w:rFonts w:ascii="Century Gothic" w:hAnsi="Century Gothic"/>
          <w:sz w:val="20"/>
          <w:szCs w:val="20"/>
        </w:rPr>
        <w:tab/>
        <w:t>La objeción fue presentada después del siniestro, lo cual contradice el deber legal de actuar con oportunidad y buena fe.</w:t>
      </w:r>
    </w:p>
    <w:p w14:paraId="1176E5D0"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lastRenderedPageBreak/>
        <w:t>3.</w:t>
      </w:r>
      <w:r w:rsidRPr="00822CC2">
        <w:rPr>
          <w:rFonts w:ascii="Century Gothic" w:hAnsi="Century Gothic"/>
          <w:sz w:val="20"/>
          <w:szCs w:val="20"/>
        </w:rPr>
        <w:tab/>
        <w:t xml:space="preserve">La empresa omitió responder sobre las llamadas en las que sus asesores confirmaron la aprobación del pago, generando una expectativa legítima de indemnización. </w:t>
      </w:r>
    </w:p>
    <w:p w14:paraId="195B14FC"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4.</w:t>
      </w:r>
      <w:r w:rsidRPr="00822CC2">
        <w:rPr>
          <w:rFonts w:ascii="Century Gothic" w:hAnsi="Century Gothic"/>
          <w:sz w:val="20"/>
          <w:szCs w:val="20"/>
        </w:rPr>
        <w:tab/>
        <w:t>La propia Defensoría del Consumidor Financiero observó la falta de diligencia de la aseguradora en su concepto emitido en enero de 2018</w:t>
      </w:r>
    </w:p>
    <w:p w14:paraId="5640D8C5"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5.</w:t>
      </w:r>
      <w:r w:rsidRPr="00822CC2">
        <w:rPr>
          <w:rFonts w:ascii="Century Gothic" w:hAnsi="Century Gothic"/>
          <w:sz w:val="20"/>
          <w:szCs w:val="20"/>
        </w:rPr>
        <w:tab/>
        <w:t>La póliza establecía la entrega de la tarjeta de propiedad en 30 días; sin embargo, la aseguradora no la canceló y continuó cobrando primas hasta noviembre de 2017.</w:t>
      </w:r>
    </w:p>
    <w:p w14:paraId="10C8D383"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6.</w:t>
      </w:r>
      <w:r w:rsidRPr="00822CC2">
        <w:rPr>
          <w:rFonts w:ascii="Century Gothic" w:hAnsi="Century Gothic"/>
          <w:sz w:val="20"/>
          <w:szCs w:val="20"/>
        </w:rPr>
        <w:tab/>
        <w:t>Contradicción directa con la versión del Gerente de Indemnizaciones, quien negó la vigencia de la póliza mientras se seguían</w:t>
      </w:r>
    </w:p>
    <w:p w14:paraId="0367092F"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7.</w:t>
      </w:r>
      <w:r w:rsidRPr="00822CC2">
        <w:rPr>
          <w:rFonts w:ascii="Century Gothic" w:hAnsi="Century Gothic"/>
          <w:sz w:val="20"/>
          <w:szCs w:val="20"/>
        </w:rPr>
        <w:tab/>
        <w:t>Se evidencia una práctica irregular de cobros sin soporte contractual claro, lo cual constituye una vulneración al consumidor financiero</w:t>
      </w:r>
    </w:p>
    <w:p w14:paraId="22D7F338"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8.</w:t>
      </w:r>
      <w:r w:rsidRPr="00822CC2">
        <w:rPr>
          <w:rFonts w:ascii="Century Gothic" w:hAnsi="Century Gothic"/>
          <w:sz w:val="20"/>
          <w:szCs w:val="20"/>
        </w:rPr>
        <w:tab/>
        <w:t>Se ordene el pago de la indemnización correspondiente al valor comercial del vehículo KTM Duke 390 con placa JSH-64D, según el valor de referencia FASECOLDA para octubre</w:t>
      </w:r>
    </w:p>
    <w:p w14:paraId="519A6616"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de 2017, actualizado conforme al Índice de Precios al Consumidor (IPC) desde esa fecha hasta la actualidad. Adicionalmente, solicito un monto adicional de $5.000.000 por los perjuicios ocasionados por la mala gestión, desinformación y dilación del proceso.</w:t>
      </w:r>
    </w:p>
    <w:p w14:paraId="2B4B436B" w14:textId="77777777" w:rsidR="00822CC2" w:rsidRPr="00822CC2" w:rsidRDefault="00822CC2" w:rsidP="00822CC2">
      <w:pPr>
        <w:rPr>
          <w:rFonts w:ascii="Century Gothic" w:hAnsi="Century Gothic"/>
          <w:sz w:val="20"/>
          <w:szCs w:val="20"/>
        </w:rPr>
      </w:pPr>
    </w:p>
    <w:p w14:paraId="01662928"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 xml:space="preserve">Indicaciones: </w:t>
      </w:r>
    </w:p>
    <w:p w14:paraId="4745895F" w14:textId="77777777" w:rsidR="00822CC2" w:rsidRPr="00822CC2" w:rsidRDefault="00822CC2" w:rsidP="00822CC2">
      <w:pPr>
        <w:rPr>
          <w:rFonts w:ascii="Century Gothic" w:hAnsi="Century Gothic"/>
          <w:sz w:val="20"/>
          <w:szCs w:val="20"/>
        </w:rPr>
      </w:pPr>
      <w:proofErr w:type="gramStart"/>
      <w:r w:rsidRPr="00822CC2">
        <w:rPr>
          <w:rFonts w:ascii="Century Gothic" w:hAnsi="Century Gothic"/>
          <w:sz w:val="20"/>
          <w:szCs w:val="20"/>
        </w:rPr>
        <w:t>Indicar</w:t>
      </w:r>
      <w:proofErr w:type="gramEnd"/>
      <w:r w:rsidRPr="00822CC2">
        <w:rPr>
          <w:rFonts w:ascii="Century Gothic" w:hAnsi="Century Gothic"/>
          <w:sz w:val="20"/>
          <w:szCs w:val="20"/>
        </w:rPr>
        <w:t xml:space="preserve"> que NO nos asiste ánimo conciliatorio.  Por lo anteriormente expuesto </w:t>
      </w:r>
    </w:p>
    <w:p w14:paraId="51B3D0F0"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 xml:space="preserve">la Equidad </w:t>
      </w:r>
      <w:proofErr w:type="gramStart"/>
      <w:r w:rsidRPr="00822CC2">
        <w:rPr>
          <w:rFonts w:ascii="Century Gothic" w:hAnsi="Century Gothic"/>
          <w:sz w:val="20"/>
          <w:szCs w:val="20"/>
        </w:rPr>
        <w:t>Seguros  se</w:t>
      </w:r>
      <w:proofErr w:type="gramEnd"/>
      <w:r w:rsidRPr="00822CC2">
        <w:rPr>
          <w:rFonts w:ascii="Century Gothic" w:hAnsi="Century Gothic"/>
          <w:sz w:val="20"/>
          <w:szCs w:val="20"/>
        </w:rPr>
        <w:t xml:space="preserve"> abstiene de reconocer suma alguna a título de </w:t>
      </w:r>
    </w:p>
    <w:p w14:paraId="7A635ACE"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 xml:space="preserve">indemnización y se declara exonerada legalmente de toda </w:t>
      </w:r>
      <w:proofErr w:type="spellStart"/>
      <w:r w:rsidRPr="00822CC2">
        <w:rPr>
          <w:rFonts w:ascii="Century Gothic" w:hAnsi="Century Gothic"/>
          <w:sz w:val="20"/>
          <w:szCs w:val="20"/>
        </w:rPr>
        <w:t>responsabilida</w:t>
      </w:r>
      <w:proofErr w:type="spellEnd"/>
    </w:p>
    <w:p w14:paraId="509F85F3" w14:textId="77777777" w:rsidR="00822CC2" w:rsidRPr="00822CC2" w:rsidRDefault="00822CC2" w:rsidP="00822CC2">
      <w:pPr>
        <w:rPr>
          <w:rFonts w:ascii="Century Gothic" w:hAnsi="Century Gothic"/>
          <w:sz w:val="20"/>
          <w:szCs w:val="20"/>
        </w:rPr>
      </w:pPr>
      <w:r w:rsidRPr="00822CC2">
        <w:rPr>
          <w:rFonts w:ascii="Century Gothic" w:hAnsi="Century Gothic"/>
          <w:sz w:val="20"/>
          <w:szCs w:val="20"/>
        </w:rPr>
        <w:t>d por el suceso acaecido el 31 de octubre de 2017</w:t>
      </w:r>
    </w:p>
    <w:p w14:paraId="312ED819" w14:textId="12E29186" w:rsidR="00822CC2" w:rsidRDefault="00822CC2" w:rsidP="00822CC2">
      <w:pPr>
        <w:rPr>
          <w:rFonts w:ascii="Century Gothic" w:hAnsi="Century Gothic"/>
          <w:sz w:val="20"/>
          <w:szCs w:val="20"/>
        </w:rPr>
      </w:pPr>
      <w:r w:rsidRPr="00822CC2">
        <w:rPr>
          <w:rFonts w:ascii="Century Gothic" w:hAnsi="Century Gothic"/>
          <w:sz w:val="20"/>
          <w:szCs w:val="20"/>
        </w:rPr>
        <w:t>Favor No permitir suspensiones ni aplazamiento, solicitar acta de no acuerdo.</w:t>
      </w:r>
    </w:p>
    <w:p w14:paraId="6A848B73" w14:textId="77777777" w:rsidR="00822CC2" w:rsidRDefault="00822CC2" w:rsidP="00822CC2">
      <w:pPr>
        <w:rPr>
          <w:rFonts w:ascii="Century Gothic" w:hAnsi="Century Gothic"/>
          <w:sz w:val="20"/>
          <w:szCs w:val="20"/>
        </w:rPr>
      </w:pPr>
    </w:p>
    <w:p w14:paraId="23D97E45" w14:textId="77777777" w:rsidR="00822CC2" w:rsidRPr="00F84AF6" w:rsidRDefault="00822CC2" w:rsidP="00822CC2">
      <w:pPr>
        <w:rPr>
          <w:rFonts w:ascii="Century Gothic" w:hAnsi="Century Gothic"/>
          <w:sz w:val="20"/>
          <w:szCs w:val="20"/>
        </w:rPr>
      </w:pPr>
    </w:p>
    <w:sectPr w:rsidR="00822CC2" w:rsidRPr="00F84AF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3B619C"/>
    <w:multiLevelType w:val="hybridMultilevel"/>
    <w:tmpl w:val="9B8E1DD8"/>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16cid:durableId="2862807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9E3"/>
    <w:rsid w:val="000366A8"/>
    <w:rsid w:val="001940A9"/>
    <w:rsid w:val="003871B6"/>
    <w:rsid w:val="0046727E"/>
    <w:rsid w:val="00596F3D"/>
    <w:rsid w:val="005E3DA8"/>
    <w:rsid w:val="00822CC2"/>
    <w:rsid w:val="00942E74"/>
    <w:rsid w:val="00983E20"/>
    <w:rsid w:val="009B4B61"/>
    <w:rsid w:val="009E1BBE"/>
    <w:rsid w:val="00B24BBA"/>
    <w:rsid w:val="00BB0353"/>
    <w:rsid w:val="00C9448C"/>
    <w:rsid w:val="00D969E3"/>
    <w:rsid w:val="00E40E21"/>
    <w:rsid w:val="00F07844"/>
    <w:rsid w:val="00F84AF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33AE7"/>
  <w15:chartTrackingRefBased/>
  <w15:docId w15:val="{84245DC3-4067-4219-A9B3-EEF6E75D0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9E3"/>
    <w:pPr>
      <w:spacing w:after="0" w:line="240" w:lineRule="auto"/>
    </w:pPr>
    <w:rPr>
      <w:rFonts w:ascii="Aptos" w:hAnsi="Aptos" w:cs="Aptos"/>
      <w:kern w:val="0"/>
      <w:sz w:val="22"/>
      <w:szCs w:val="22"/>
    </w:rPr>
  </w:style>
  <w:style w:type="paragraph" w:styleId="Ttulo1">
    <w:name w:val="heading 1"/>
    <w:basedOn w:val="Normal"/>
    <w:next w:val="Normal"/>
    <w:link w:val="Ttulo1Car"/>
    <w:uiPriority w:val="9"/>
    <w:qFormat/>
    <w:rsid w:val="00D969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D969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969E3"/>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969E3"/>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969E3"/>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969E3"/>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969E3"/>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969E3"/>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969E3"/>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969E3"/>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969E3"/>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969E3"/>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969E3"/>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969E3"/>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969E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969E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969E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969E3"/>
    <w:rPr>
      <w:rFonts w:eastAsiaTheme="majorEastAsia" w:cstheme="majorBidi"/>
      <w:color w:val="272727" w:themeColor="text1" w:themeTint="D8"/>
    </w:rPr>
  </w:style>
  <w:style w:type="paragraph" w:styleId="Ttulo">
    <w:name w:val="Title"/>
    <w:basedOn w:val="Normal"/>
    <w:next w:val="Normal"/>
    <w:link w:val="TtuloCar"/>
    <w:uiPriority w:val="10"/>
    <w:qFormat/>
    <w:rsid w:val="00D969E3"/>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969E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969E3"/>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969E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969E3"/>
    <w:pPr>
      <w:spacing w:before="160"/>
      <w:jc w:val="center"/>
    </w:pPr>
    <w:rPr>
      <w:i/>
      <w:iCs/>
      <w:color w:val="404040" w:themeColor="text1" w:themeTint="BF"/>
    </w:rPr>
  </w:style>
  <w:style w:type="character" w:customStyle="1" w:styleId="CitaCar">
    <w:name w:val="Cita Car"/>
    <w:basedOn w:val="Fuentedeprrafopredeter"/>
    <w:link w:val="Cita"/>
    <w:uiPriority w:val="29"/>
    <w:rsid w:val="00D969E3"/>
    <w:rPr>
      <w:i/>
      <w:iCs/>
      <w:color w:val="404040" w:themeColor="text1" w:themeTint="BF"/>
    </w:rPr>
  </w:style>
  <w:style w:type="paragraph" w:styleId="Prrafodelista">
    <w:name w:val="List Paragraph"/>
    <w:basedOn w:val="Normal"/>
    <w:uiPriority w:val="34"/>
    <w:qFormat/>
    <w:rsid w:val="00D969E3"/>
    <w:pPr>
      <w:ind w:left="720"/>
      <w:contextualSpacing/>
    </w:pPr>
  </w:style>
  <w:style w:type="character" w:styleId="nfasisintenso">
    <w:name w:val="Intense Emphasis"/>
    <w:basedOn w:val="Fuentedeprrafopredeter"/>
    <w:uiPriority w:val="21"/>
    <w:qFormat/>
    <w:rsid w:val="00D969E3"/>
    <w:rPr>
      <w:i/>
      <w:iCs/>
      <w:color w:val="0F4761" w:themeColor="accent1" w:themeShade="BF"/>
    </w:rPr>
  </w:style>
  <w:style w:type="paragraph" w:styleId="Citadestacada">
    <w:name w:val="Intense Quote"/>
    <w:basedOn w:val="Normal"/>
    <w:next w:val="Normal"/>
    <w:link w:val="CitadestacadaCar"/>
    <w:uiPriority w:val="30"/>
    <w:qFormat/>
    <w:rsid w:val="00D969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969E3"/>
    <w:rPr>
      <w:i/>
      <w:iCs/>
      <w:color w:val="0F4761" w:themeColor="accent1" w:themeShade="BF"/>
    </w:rPr>
  </w:style>
  <w:style w:type="character" w:styleId="Referenciaintensa">
    <w:name w:val="Intense Reference"/>
    <w:basedOn w:val="Fuentedeprrafopredeter"/>
    <w:uiPriority w:val="32"/>
    <w:qFormat/>
    <w:rsid w:val="00D969E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223289">
      <w:bodyDiv w:val="1"/>
      <w:marLeft w:val="0"/>
      <w:marRight w:val="0"/>
      <w:marTop w:val="0"/>
      <w:marBottom w:val="0"/>
      <w:divBdr>
        <w:top w:val="none" w:sz="0" w:space="0" w:color="auto"/>
        <w:left w:val="none" w:sz="0" w:space="0" w:color="auto"/>
        <w:bottom w:val="none" w:sz="0" w:space="0" w:color="auto"/>
        <w:right w:val="none" w:sz="0" w:space="0" w:color="auto"/>
      </w:divBdr>
    </w:div>
    <w:div w:id="125860659">
      <w:bodyDiv w:val="1"/>
      <w:marLeft w:val="0"/>
      <w:marRight w:val="0"/>
      <w:marTop w:val="0"/>
      <w:marBottom w:val="0"/>
      <w:divBdr>
        <w:top w:val="none" w:sz="0" w:space="0" w:color="auto"/>
        <w:left w:val="none" w:sz="0" w:space="0" w:color="auto"/>
        <w:bottom w:val="none" w:sz="0" w:space="0" w:color="auto"/>
        <w:right w:val="none" w:sz="0" w:space="0" w:color="auto"/>
      </w:divBdr>
    </w:div>
    <w:div w:id="132983978">
      <w:bodyDiv w:val="1"/>
      <w:marLeft w:val="0"/>
      <w:marRight w:val="0"/>
      <w:marTop w:val="0"/>
      <w:marBottom w:val="0"/>
      <w:divBdr>
        <w:top w:val="none" w:sz="0" w:space="0" w:color="auto"/>
        <w:left w:val="none" w:sz="0" w:space="0" w:color="auto"/>
        <w:bottom w:val="none" w:sz="0" w:space="0" w:color="auto"/>
        <w:right w:val="none" w:sz="0" w:space="0" w:color="auto"/>
      </w:divBdr>
    </w:div>
    <w:div w:id="166022707">
      <w:bodyDiv w:val="1"/>
      <w:marLeft w:val="0"/>
      <w:marRight w:val="0"/>
      <w:marTop w:val="0"/>
      <w:marBottom w:val="0"/>
      <w:divBdr>
        <w:top w:val="none" w:sz="0" w:space="0" w:color="auto"/>
        <w:left w:val="none" w:sz="0" w:space="0" w:color="auto"/>
        <w:bottom w:val="none" w:sz="0" w:space="0" w:color="auto"/>
        <w:right w:val="none" w:sz="0" w:space="0" w:color="auto"/>
      </w:divBdr>
    </w:div>
    <w:div w:id="89662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257</TotalTime>
  <Pages>3</Pages>
  <Words>748</Words>
  <Characters>4118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Heilyn Bautista</dc:creator>
  <cp:keywords/>
  <dc:description/>
  <cp:lastModifiedBy>Heilyn Bautista</cp:lastModifiedBy>
  <cp:revision>3</cp:revision>
  <dcterms:created xsi:type="dcterms:W3CDTF">2025-07-03T00:29:00Z</dcterms:created>
  <dcterms:modified xsi:type="dcterms:W3CDTF">2025-07-03T00:33:00Z</dcterms:modified>
</cp:coreProperties>
</file>