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527F5" w14:textId="77777777" w:rsidR="003915D6" w:rsidRPr="00C238A9" w:rsidRDefault="003915D6" w:rsidP="009174B7">
      <w:pPr>
        <w:pStyle w:val="xmsonormal"/>
        <w:shd w:val="clear" w:color="auto" w:fill="FFFFFF"/>
        <w:spacing w:line="276" w:lineRule="auto"/>
        <w:rPr>
          <w:rFonts w:ascii="Arial" w:hAnsi="Arial" w:cs="Arial"/>
          <w:sz w:val="22"/>
          <w:szCs w:val="22"/>
        </w:rPr>
      </w:pPr>
      <w:bookmarkStart w:id="0" w:name="_Hlk133578016"/>
      <w:r w:rsidRPr="00C238A9">
        <w:rPr>
          <w:rStyle w:val="xcontentpasted0"/>
          <w:rFonts w:ascii="Arial" w:hAnsi="Arial" w:cs="Arial"/>
          <w:sz w:val="22"/>
          <w:szCs w:val="22"/>
          <w:bdr w:val="none" w:sz="0" w:space="0" w:color="auto" w:frame="1"/>
        </w:rPr>
        <w:t>Estimada área de informes,</w:t>
      </w:r>
    </w:p>
    <w:p w14:paraId="66BAD8EA" w14:textId="77777777" w:rsidR="003915D6" w:rsidRPr="00C238A9" w:rsidRDefault="003915D6" w:rsidP="009174B7">
      <w:pPr>
        <w:pStyle w:val="xmsonormal"/>
        <w:shd w:val="clear" w:color="auto" w:fill="FFFFFF"/>
        <w:spacing w:line="276" w:lineRule="auto"/>
        <w:rPr>
          <w:rFonts w:ascii="Arial" w:hAnsi="Arial" w:cs="Arial"/>
          <w:sz w:val="22"/>
          <w:szCs w:val="22"/>
        </w:rPr>
      </w:pPr>
      <w:r w:rsidRPr="00C238A9">
        <w:rPr>
          <w:rStyle w:val="xcontentpasted0"/>
          <w:rFonts w:ascii="Arial" w:hAnsi="Arial" w:cs="Arial"/>
          <w:sz w:val="22"/>
          <w:szCs w:val="22"/>
          <w:bdr w:val="none" w:sz="0" w:space="0" w:color="auto" w:frame="1"/>
        </w:rPr>
        <w:t>Reciban un cordial saludo, </w:t>
      </w:r>
    </w:p>
    <w:p w14:paraId="29206D0A" w14:textId="3A25ADF0" w:rsidR="003915D6" w:rsidRPr="00C238A9" w:rsidRDefault="003915D6" w:rsidP="009174B7">
      <w:pPr>
        <w:pStyle w:val="xmsonormal"/>
        <w:shd w:val="clear" w:color="auto" w:fill="FFFFFF"/>
        <w:spacing w:line="276" w:lineRule="auto"/>
        <w:jc w:val="both"/>
        <w:rPr>
          <w:rFonts w:ascii="Arial" w:hAnsi="Arial" w:cs="Arial"/>
          <w:sz w:val="22"/>
          <w:szCs w:val="22"/>
        </w:rPr>
      </w:pPr>
      <w:r w:rsidRPr="00C238A9">
        <w:rPr>
          <w:rStyle w:val="xcontentpasted0"/>
          <w:rFonts w:ascii="Arial" w:hAnsi="Arial" w:cs="Arial"/>
          <w:sz w:val="22"/>
          <w:szCs w:val="22"/>
          <w:bdr w:val="none" w:sz="0" w:space="0" w:color="auto" w:frame="1"/>
        </w:rPr>
        <w:t xml:space="preserve">Para todos los fines pertinentes, comedidamente informo </w:t>
      </w:r>
      <w:r w:rsidR="00451F57" w:rsidRPr="00C238A9">
        <w:rPr>
          <w:rStyle w:val="xcontentpasted0"/>
          <w:rFonts w:ascii="Arial" w:hAnsi="Arial" w:cs="Arial"/>
          <w:sz w:val="22"/>
          <w:szCs w:val="22"/>
          <w:bdr w:val="none" w:sz="0" w:space="0" w:color="auto" w:frame="1"/>
        </w:rPr>
        <w:t xml:space="preserve">que el día </w:t>
      </w:r>
      <w:r w:rsidR="002375EE" w:rsidRPr="00C238A9">
        <w:rPr>
          <w:rStyle w:val="xcontentpasted0"/>
          <w:rFonts w:ascii="Arial" w:hAnsi="Arial" w:cs="Arial"/>
          <w:sz w:val="22"/>
          <w:szCs w:val="22"/>
          <w:bdr w:val="none" w:sz="0" w:space="0" w:color="auto" w:frame="1"/>
        </w:rPr>
        <w:t>8 de julio del</w:t>
      </w:r>
      <w:r w:rsidR="00674D7A" w:rsidRPr="00C238A9">
        <w:rPr>
          <w:rStyle w:val="xcontentpasted0"/>
          <w:rFonts w:ascii="Arial" w:hAnsi="Arial" w:cs="Arial"/>
          <w:sz w:val="22"/>
          <w:szCs w:val="22"/>
          <w:bdr w:val="none" w:sz="0" w:space="0" w:color="auto" w:frame="1"/>
        </w:rPr>
        <w:t xml:space="preserve"> </w:t>
      </w:r>
      <w:r w:rsidR="009174B7" w:rsidRPr="00C238A9">
        <w:rPr>
          <w:rStyle w:val="xcontentpasted0"/>
          <w:rFonts w:ascii="Arial" w:hAnsi="Arial" w:cs="Arial"/>
          <w:sz w:val="22"/>
          <w:szCs w:val="22"/>
          <w:bdr w:val="none" w:sz="0" w:space="0" w:color="auto" w:frame="1"/>
        </w:rPr>
        <w:t>2025</w:t>
      </w:r>
      <w:r w:rsidR="00451F57" w:rsidRPr="00C238A9">
        <w:rPr>
          <w:rStyle w:val="xcontentpasted0"/>
          <w:rFonts w:ascii="Arial" w:hAnsi="Arial" w:cs="Arial"/>
          <w:sz w:val="22"/>
          <w:szCs w:val="22"/>
          <w:bdr w:val="none" w:sz="0" w:space="0" w:color="auto" w:frame="1"/>
        </w:rPr>
        <w:t xml:space="preserve">, fue radicada contestación de la demanda ante </w:t>
      </w:r>
      <w:r w:rsidR="00F860BE" w:rsidRPr="00C238A9">
        <w:rPr>
          <w:rStyle w:val="xcontentpasted0"/>
          <w:rFonts w:ascii="Arial" w:hAnsi="Arial" w:cs="Arial"/>
          <w:sz w:val="22"/>
          <w:szCs w:val="22"/>
          <w:bdr w:val="none" w:sz="0" w:space="0" w:color="auto" w:frame="1"/>
        </w:rPr>
        <w:t xml:space="preserve">el </w:t>
      </w:r>
      <w:r w:rsidR="002375EE" w:rsidRPr="00C238A9">
        <w:rPr>
          <w:rStyle w:val="xcontentpasted0"/>
          <w:rFonts w:ascii="Arial" w:hAnsi="Arial" w:cs="Arial"/>
          <w:sz w:val="22"/>
          <w:szCs w:val="22"/>
          <w:bdr w:val="none" w:sz="0" w:space="0" w:color="auto" w:frame="1"/>
        </w:rPr>
        <w:t>SUPERINTENDENCIA FINANCIERA – DELEGATURA PARA JUNCIONES JURISDICCIONALES</w:t>
      </w:r>
      <w:r w:rsidR="00451F57" w:rsidRPr="00C238A9">
        <w:rPr>
          <w:rStyle w:val="xcontentpasted0"/>
          <w:rFonts w:ascii="Arial" w:hAnsi="Arial" w:cs="Arial"/>
          <w:sz w:val="22"/>
          <w:szCs w:val="22"/>
          <w:bdr w:val="none" w:sz="0" w:space="0" w:color="auto" w:frame="1"/>
        </w:rPr>
        <w:t>, dentro del proceso que a continuación de describe:</w:t>
      </w:r>
    </w:p>
    <w:tbl>
      <w:tblPr>
        <w:tblW w:w="8823" w:type="dxa"/>
        <w:tblLook w:val="04A0" w:firstRow="1" w:lastRow="0" w:firstColumn="1" w:lastColumn="0" w:noHBand="0" w:noVBand="1"/>
      </w:tblPr>
      <w:tblGrid>
        <w:gridCol w:w="2842"/>
        <w:gridCol w:w="5981"/>
      </w:tblGrid>
      <w:tr w:rsidR="003630CC" w:rsidRPr="00C238A9" w14:paraId="566E4D6A" w14:textId="77777777" w:rsidTr="007E6F36">
        <w:trPr>
          <w:trHeight w:val="697"/>
        </w:trPr>
        <w:tc>
          <w:tcPr>
            <w:tcW w:w="2842" w:type="dxa"/>
            <w:vAlign w:val="center"/>
            <w:hideMark/>
          </w:tcPr>
          <w:p w14:paraId="5C03DEEA" w14:textId="77777777" w:rsidR="003915D6" w:rsidRPr="00C238A9" w:rsidRDefault="003915D6" w:rsidP="009174B7">
            <w:pPr>
              <w:pStyle w:val="NormalWeb"/>
              <w:spacing w:line="276" w:lineRule="auto"/>
              <w:rPr>
                <w:rFonts w:ascii="Arial" w:hAnsi="Arial" w:cs="Arial"/>
              </w:rPr>
            </w:pPr>
            <w:r w:rsidRPr="00C238A9">
              <w:rPr>
                <w:rStyle w:val="contentpasted1"/>
                <w:rFonts w:ascii="Arial" w:hAnsi="Arial" w:cs="Arial"/>
                <w:b/>
                <w:bCs/>
              </w:rPr>
              <w:t>REFERENCIA: </w:t>
            </w:r>
          </w:p>
        </w:tc>
        <w:tc>
          <w:tcPr>
            <w:tcW w:w="5981" w:type="dxa"/>
            <w:vAlign w:val="center"/>
            <w:hideMark/>
          </w:tcPr>
          <w:p w14:paraId="1B8B9F63" w14:textId="04E3D402" w:rsidR="003915D6" w:rsidRPr="00C238A9" w:rsidRDefault="002375EE" w:rsidP="009174B7">
            <w:pPr>
              <w:pStyle w:val="NormalWeb"/>
              <w:spacing w:line="276" w:lineRule="auto"/>
              <w:rPr>
                <w:rFonts w:ascii="Arial" w:hAnsi="Arial" w:cs="Arial"/>
              </w:rPr>
            </w:pPr>
            <w:r w:rsidRPr="00C238A9">
              <w:rPr>
                <w:rFonts w:ascii="Arial" w:hAnsi="Arial" w:cs="Arial"/>
              </w:rPr>
              <w:t>ACCIÓN DE PROTECCIÓN AL CONSUMIDOR FINANCIERO</w:t>
            </w:r>
          </w:p>
        </w:tc>
      </w:tr>
      <w:tr w:rsidR="003630CC" w:rsidRPr="00C238A9" w14:paraId="2BBD7B2E" w14:textId="77777777" w:rsidTr="007E6F36">
        <w:trPr>
          <w:trHeight w:val="697"/>
        </w:trPr>
        <w:tc>
          <w:tcPr>
            <w:tcW w:w="2842" w:type="dxa"/>
            <w:vAlign w:val="center"/>
          </w:tcPr>
          <w:p w14:paraId="45ED1DD3" w14:textId="3F0F38D6" w:rsidR="003915D6" w:rsidRPr="00C238A9" w:rsidRDefault="0084055A" w:rsidP="009174B7">
            <w:pPr>
              <w:pStyle w:val="NormalWeb"/>
              <w:spacing w:line="276" w:lineRule="auto"/>
              <w:rPr>
                <w:rStyle w:val="contentpasted1"/>
                <w:rFonts w:ascii="Arial" w:hAnsi="Arial" w:cs="Arial"/>
                <w:b/>
                <w:bCs/>
              </w:rPr>
            </w:pPr>
            <w:r w:rsidRPr="00C238A9">
              <w:rPr>
                <w:rStyle w:val="contentpasted1"/>
                <w:rFonts w:ascii="Arial" w:hAnsi="Arial" w:cs="Arial"/>
                <w:b/>
                <w:bCs/>
              </w:rPr>
              <w:t>RADICADO</w:t>
            </w:r>
            <w:r w:rsidR="003915D6" w:rsidRPr="00C238A9">
              <w:rPr>
                <w:rStyle w:val="contentpasted1"/>
                <w:rFonts w:ascii="Arial" w:hAnsi="Arial" w:cs="Arial"/>
                <w:b/>
                <w:bCs/>
              </w:rPr>
              <w:t>:</w:t>
            </w:r>
          </w:p>
        </w:tc>
        <w:tc>
          <w:tcPr>
            <w:tcW w:w="5981" w:type="dxa"/>
            <w:vAlign w:val="center"/>
          </w:tcPr>
          <w:p w14:paraId="349DFB46" w14:textId="356A49E9" w:rsidR="00407AB5" w:rsidRPr="00C238A9" w:rsidRDefault="002375EE" w:rsidP="009174B7">
            <w:pPr>
              <w:pStyle w:val="NormalWeb"/>
              <w:spacing w:line="276" w:lineRule="auto"/>
              <w:rPr>
                <w:rStyle w:val="contentpasted1"/>
                <w:rFonts w:ascii="Arial" w:hAnsi="Arial" w:cs="Arial"/>
              </w:rPr>
            </w:pPr>
            <w:r w:rsidRPr="00C238A9">
              <w:rPr>
                <w:rFonts w:ascii="Arial" w:eastAsia="Times New Roman" w:hAnsi="Arial" w:cs="Arial"/>
                <w:color w:val="000000"/>
                <w:bdr w:val="none" w:sz="0" w:space="0" w:color="auto" w:frame="1"/>
                <w:shd w:val="clear" w:color="auto" w:fill="FFFFFF"/>
              </w:rPr>
              <w:t>2025091419</w:t>
            </w:r>
          </w:p>
        </w:tc>
      </w:tr>
      <w:tr w:rsidR="003630CC" w:rsidRPr="00C238A9" w14:paraId="408764F0" w14:textId="77777777" w:rsidTr="007E6F36">
        <w:trPr>
          <w:trHeight w:val="697"/>
        </w:trPr>
        <w:tc>
          <w:tcPr>
            <w:tcW w:w="2842" w:type="dxa"/>
            <w:vAlign w:val="center"/>
            <w:hideMark/>
          </w:tcPr>
          <w:p w14:paraId="1F2B69E1" w14:textId="21564302" w:rsidR="003915D6" w:rsidRPr="00C238A9" w:rsidRDefault="003915D6" w:rsidP="009174B7">
            <w:pPr>
              <w:pStyle w:val="NormalWeb"/>
              <w:spacing w:line="276" w:lineRule="auto"/>
              <w:rPr>
                <w:rFonts w:ascii="Arial" w:hAnsi="Arial" w:cs="Arial"/>
              </w:rPr>
            </w:pPr>
            <w:r w:rsidRPr="00C238A9">
              <w:rPr>
                <w:rStyle w:val="contentpasted1"/>
                <w:rFonts w:ascii="Arial" w:hAnsi="Arial" w:cs="Arial"/>
                <w:b/>
                <w:bCs/>
              </w:rPr>
              <w:t>DEMANDANTE: </w:t>
            </w:r>
          </w:p>
        </w:tc>
        <w:tc>
          <w:tcPr>
            <w:tcW w:w="5981" w:type="dxa"/>
            <w:vAlign w:val="center"/>
            <w:hideMark/>
          </w:tcPr>
          <w:p w14:paraId="5F89B23B" w14:textId="5E8FDA1C" w:rsidR="003915D6" w:rsidRPr="00C238A9" w:rsidRDefault="002375EE" w:rsidP="009174B7">
            <w:pPr>
              <w:pStyle w:val="NormalWeb"/>
              <w:spacing w:line="276" w:lineRule="auto"/>
              <w:rPr>
                <w:rFonts w:ascii="Arial" w:hAnsi="Arial" w:cs="Arial"/>
              </w:rPr>
            </w:pPr>
            <w:r w:rsidRPr="00C238A9">
              <w:rPr>
                <w:rFonts w:ascii="Arial" w:eastAsia="Times New Roman" w:hAnsi="Arial" w:cs="Arial"/>
                <w:color w:val="000000"/>
                <w:bdr w:val="none" w:sz="0" w:space="0" w:color="auto" w:frame="1"/>
              </w:rPr>
              <w:t>MYRIAM CORTES DE ROJAS</w:t>
            </w:r>
          </w:p>
        </w:tc>
      </w:tr>
      <w:tr w:rsidR="003630CC" w:rsidRPr="00C238A9" w14:paraId="1A4D0FE6" w14:textId="77777777" w:rsidTr="007E6F36">
        <w:trPr>
          <w:trHeight w:val="697"/>
        </w:trPr>
        <w:tc>
          <w:tcPr>
            <w:tcW w:w="2842" w:type="dxa"/>
            <w:vAlign w:val="center"/>
            <w:hideMark/>
          </w:tcPr>
          <w:p w14:paraId="25382D6C" w14:textId="0F36BB8A" w:rsidR="003915D6" w:rsidRPr="00C238A9" w:rsidRDefault="003915D6" w:rsidP="009174B7">
            <w:pPr>
              <w:pStyle w:val="NormalWeb"/>
              <w:spacing w:line="276" w:lineRule="auto"/>
              <w:rPr>
                <w:rFonts w:ascii="Arial" w:hAnsi="Arial" w:cs="Arial"/>
              </w:rPr>
            </w:pPr>
            <w:r w:rsidRPr="00C238A9">
              <w:rPr>
                <w:rStyle w:val="contentpasted1"/>
                <w:rFonts w:ascii="Arial" w:hAnsi="Arial" w:cs="Arial"/>
                <w:b/>
                <w:bCs/>
              </w:rPr>
              <w:t>DEMANDADO: </w:t>
            </w:r>
          </w:p>
        </w:tc>
        <w:tc>
          <w:tcPr>
            <w:tcW w:w="5981" w:type="dxa"/>
            <w:vAlign w:val="center"/>
            <w:hideMark/>
          </w:tcPr>
          <w:p w14:paraId="4CD1739C" w14:textId="60405765" w:rsidR="003915D6" w:rsidRPr="00C238A9" w:rsidRDefault="00F860BE" w:rsidP="009174B7">
            <w:pPr>
              <w:spacing w:line="276" w:lineRule="auto"/>
              <w:rPr>
                <w:rFonts w:ascii="Arial" w:eastAsia="Times New Roman" w:hAnsi="Arial" w:cs="Arial"/>
                <w:lang w:eastAsia="es-MX"/>
              </w:rPr>
            </w:pPr>
            <w:r w:rsidRPr="00C238A9">
              <w:rPr>
                <w:rFonts w:ascii="Arial" w:eastAsia="Times New Roman" w:hAnsi="Arial" w:cs="Arial"/>
                <w:lang w:eastAsia="es-MX"/>
              </w:rPr>
              <w:t>BBVA SEGUROS DE VIDA COLOMBIA S.A.</w:t>
            </w:r>
            <w:r w:rsidR="009174B7" w:rsidRPr="00C238A9">
              <w:rPr>
                <w:rFonts w:ascii="Arial" w:eastAsia="Times New Roman" w:hAnsi="Arial" w:cs="Arial"/>
                <w:lang w:eastAsia="es-MX"/>
              </w:rPr>
              <w:t xml:space="preserve"> Y OTRO</w:t>
            </w:r>
          </w:p>
        </w:tc>
      </w:tr>
      <w:tr w:rsidR="003630CC" w:rsidRPr="00C238A9" w14:paraId="5F11C217" w14:textId="77777777" w:rsidTr="007E6F36">
        <w:trPr>
          <w:trHeight w:val="697"/>
        </w:trPr>
        <w:tc>
          <w:tcPr>
            <w:tcW w:w="2842" w:type="dxa"/>
            <w:vAlign w:val="center"/>
          </w:tcPr>
          <w:p w14:paraId="1967B76F" w14:textId="5041D298" w:rsidR="003915D6" w:rsidRPr="00C238A9" w:rsidRDefault="00F1563B" w:rsidP="009174B7">
            <w:pPr>
              <w:pStyle w:val="NormalWeb"/>
              <w:spacing w:line="276" w:lineRule="auto"/>
              <w:rPr>
                <w:rStyle w:val="contentpasted1"/>
                <w:rFonts w:ascii="Arial" w:hAnsi="Arial" w:cs="Arial"/>
                <w:b/>
                <w:bCs/>
              </w:rPr>
            </w:pPr>
            <w:r w:rsidRPr="00C238A9">
              <w:rPr>
                <w:rStyle w:val="contentpasted1"/>
                <w:rFonts w:ascii="Arial" w:hAnsi="Arial" w:cs="Arial"/>
                <w:b/>
                <w:bCs/>
              </w:rPr>
              <w:t>CASE</w:t>
            </w:r>
            <w:r w:rsidR="003915D6" w:rsidRPr="00C238A9">
              <w:rPr>
                <w:rStyle w:val="contentpasted1"/>
                <w:rFonts w:ascii="Arial" w:hAnsi="Arial" w:cs="Arial"/>
                <w:b/>
                <w:bCs/>
              </w:rPr>
              <w:t>:</w:t>
            </w:r>
          </w:p>
        </w:tc>
        <w:tc>
          <w:tcPr>
            <w:tcW w:w="5981" w:type="dxa"/>
            <w:vAlign w:val="center"/>
          </w:tcPr>
          <w:p w14:paraId="3AF4DEBD" w14:textId="668F3BF7" w:rsidR="003915D6" w:rsidRPr="00C238A9" w:rsidRDefault="002375EE" w:rsidP="009174B7">
            <w:pPr>
              <w:pStyle w:val="NormalWeb"/>
              <w:spacing w:line="276" w:lineRule="auto"/>
              <w:rPr>
                <w:rStyle w:val="contentpasted4"/>
                <w:rFonts w:ascii="Arial" w:hAnsi="Arial" w:cs="Arial"/>
                <w:shd w:val="clear" w:color="auto" w:fill="FFFFFF"/>
              </w:rPr>
            </w:pPr>
            <w:r w:rsidRPr="00C238A9">
              <w:rPr>
                <w:rStyle w:val="contentpasted4"/>
                <w:rFonts w:ascii="Arial" w:hAnsi="Arial" w:cs="Arial"/>
                <w:shd w:val="clear" w:color="auto" w:fill="FFFFFF"/>
              </w:rPr>
              <w:t>25399</w:t>
            </w:r>
          </w:p>
        </w:tc>
      </w:tr>
      <w:tr w:rsidR="003630CC" w:rsidRPr="00C238A9" w14:paraId="015834EC" w14:textId="77777777" w:rsidTr="007E6F36">
        <w:trPr>
          <w:trHeight w:val="697"/>
        </w:trPr>
        <w:tc>
          <w:tcPr>
            <w:tcW w:w="2842" w:type="dxa"/>
            <w:vAlign w:val="center"/>
          </w:tcPr>
          <w:p w14:paraId="4DFA6B63" w14:textId="476F5DD1" w:rsidR="00451F57" w:rsidRPr="00C238A9" w:rsidRDefault="00451F57" w:rsidP="009174B7">
            <w:pPr>
              <w:pStyle w:val="NormalWeb"/>
              <w:spacing w:line="276" w:lineRule="auto"/>
              <w:rPr>
                <w:rStyle w:val="contentpasted1"/>
                <w:rFonts w:ascii="Arial" w:hAnsi="Arial" w:cs="Arial"/>
                <w:b/>
                <w:bCs/>
              </w:rPr>
            </w:pPr>
            <w:r w:rsidRPr="00C238A9">
              <w:rPr>
                <w:rStyle w:val="contentpasted1"/>
                <w:rFonts w:ascii="Arial" w:hAnsi="Arial" w:cs="Arial"/>
                <w:b/>
                <w:bCs/>
              </w:rPr>
              <w:t>TIPO DE VINCULACION:</w:t>
            </w:r>
          </w:p>
        </w:tc>
        <w:tc>
          <w:tcPr>
            <w:tcW w:w="5981" w:type="dxa"/>
            <w:vAlign w:val="center"/>
          </w:tcPr>
          <w:p w14:paraId="1AF698FF" w14:textId="3FC58282" w:rsidR="00451F57" w:rsidRPr="00C238A9" w:rsidRDefault="007E6F36" w:rsidP="009174B7">
            <w:pPr>
              <w:pStyle w:val="NormalWeb"/>
              <w:spacing w:line="276" w:lineRule="auto"/>
              <w:rPr>
                <w:rStyle w:val="contentpasted4"/>
                <w:rFonts w:ascii="Arial" w:hAnsi="Arial" w:cs="Arial"/>
                <w:shd w:val="clear" w:color="auto" w:fill="FFFFFF"/>
              </w:rPr>
            </w:pPr>
            <w:r w:rsidRPr="00C238A9">
              <w:rPr>
                <w:rStyle w:val="contentpasted4"/>
                <w:rFonts w:ascii="Arial" w:hAnsi="Arial" w:cs="Arial"/>
                <w:shd w:val="clear" w:color="auto" w:fill="FFFFFF"/>
              </w:rPr>
              <w:t>DEMANDA DIRECTA</w:t>
            </w:r>
          </w:p>
        </w:tc>
      </w:tr>
    </w:tbl>
    <w:p w14:paraId="1B3784BF" w14:textId="57E69983" w:rsidR="00F860BE" w:rsidRPr="00C238A9" w:rsidRDefault="003915D6" w:rsidP="009174B7">
      <w:pPr>
        <w:pStyle w:val="xmsonormal"/>
        <w:shd w:val="clear" w:color="auto" w:fill="FFFFFF"/>
        <w:spacing w:line="276" w:lineRule="auto"/>
        <w:jc w:val="center"/>
        <w:rPr>
          <w:rFonts w:ascii="Arial" w:hAnsi="Arial" w:cs="Arial"/>
          <w:b/>
          <w:bCs/>
          <w:sz w:val="22"/>
          <w:szCs w:val="22"/>
          <w:u w:val="single"/>
        </w:rPr>
      </w:pPr>
      <w:r w:rsidRPr="00C238A9">
        <w:rPr>
          <w:rFonts w:ascii="Arial" w:hAnsi="Arial" w:cs="Arial"/>
          <w:b/>
          <w:bCs/>
          <w:sz w:val="22"/>
          <w:szCs w:val="22"/>
          <w:u w:val="single"/>
        </w:rPr>
        <w:t>HECHOS</w:t>
      </w:r>
    </w:p>
    <w:p w14:paraId="6A596E19" w14:textId="6BAE842A" w:rsidR="009174B7" w:rsidRPr="00C238A9" w:rsidRDefault="008720CF" w:rsidP="009174B7">
      <w:pPr>
        <w:numPr>
          <w:ilvl w:val="0"/>
          <w:numId w:val="28"/>
        </w:numPr>
        <w:shd w:val="clear" w:color="auto" w:fill="FFFFFF"/>
        <w:tabs>
          <w:tab w:val="clear" w:pos="720"/>
        </w:tabs>
        <w:spacing w:line="276" w:lineRule="auto"/>
        <w:ind w:left="426"/>
        <w:jc w:val="both"/>
        <w:rPr>
          <w:rFonts w:ascii="Arial" w:eastAsia="Times New Roman" w:hAnsi="Arial" w:cs="Arial"/>
          <w:color w:val="000000"/>
          <w:bdr w:val="none" w:sz="0" w:space="0" w:color="auto" w:frame="1"/>
        </w:rPr>
      </w:pPr>
      <w:r w:rsidRPr="00C238A9">
        <w:rPr>
          <w:rFonts w:ascii="Arial" w:eastAsia="Times New Roman" w:hAnsi="Arial" w:cs="Arial"/>
          <w:color w:val="000000"/>
          <w:bdr w:val="none" w:sz="0" w:space="0" w:color="auto" w:frame="1"/>
        </w:rPr>
        <w:t>El Sr. Pedro Julio Rojas Rojas (Q.E.P.D)</w:t>
      </w:r>
      <w:r w:rsidR="009174B7" w:rsidRPr="00C238A9">
        <w:rPr>
          <w:rFonts w:ascii="Arial" w:eastAsia="Times New Roman" w:hAnsi="Arial" w:cs="Arial"/>
          <w:color w:val="000000"/>
          <w:bdr w:val="none" w:sz="0" w:space="0" w:color="auto" w:frame="1"/>
        </w:rPr>
        <w:t xml:space="preserve">, cliente del Banco BBVA realizó </w:t>
      </w:r>
      <w:r w:rsidRPr="00C238A9">
        <w:rPr>
          <w:rFonts w:ascii="Arial" w:eastAsia="Times New Roman" w:hAnsi="Arial" w:cs="Arial"/>
          <w:color w:val="000000"/>
          <w:bdr w:val="none" w:sz="0" w:space="0" w:color="auto" w:frame="1"/>
        </w:rPr>
        <w:t xml:space="preserve">un </w:t>
      </w:r>
      <w:r w:rsidR="009174B7" w:rsidRPr="00C238A9">
        <w:rPr>
          <w:rFonts w:ascii="Arial" w:eastAsia="Times New Roman" w:hAnsi="Arial" w:cs="Arial"/>
          <w:color w:val="000000"/>
          <w:bdr w:val="none" w:sz="0" w:space="0" w:color="auto" w:frame="1"/>
        </w:rPr>
        <w:t>contrato</w:t>
      </w:r>
      <w:r w:rsidRPr="00C238A9">
        <w:rPr>
          <w:rFonts w:ascii="Arial" w:eastAsia="Times New Roman" w:hAnsi="Arial" w:cs="Arial"/>
          <w:color w:val="000000"/>
          <w:bdr w:val="none" w:sz="0" w:space="0" w:color="auto" w:frame="1"/>
        </w:rPr>
        <w:t xml:space="preserve"> </w:t>
      </w:r>
      <w:r w:rsidR="009174B7" w:rsidRPr="00C238A9">
        <w:rPr>
          <w:rFonts w:ascii="Arial" w:eastAsia="Times New Roman" w:hAnsi="Arial" w:cs="Arial"/>
          <w:color w:val="000000"/>
          <w:bdr w:val="none" w:sz="0" w:space="0" w:color="auto" w:frame="1"/>
        </w:rPr>
        <w:t>de mutuo financiero con la entidad que fue</w:t>
      </w:r>
      <w:r w:rsidRPr="00C238A9">
        <w:rPr>
          <w:rFonts w:ascii="Arial" w:eastAsia="Times New Roman" w:hAnsi="Arial" w:cs="Arial"/>
          <w:color w:val="000000"/>
          <w:bdr w:val="none" w:sz="0" w:space="0" w:color="auto" w:frame="1"/>
        </w:rPr>
        <w:t xml:space="preserve"> </w:t>
      </w:r>
      <w:r w:rsidR="009174B7" w:rsidRPr="00C238A9">
        <w:rPr>
          <w:rFonts w:ascii="Arial" w:eastAsia="Times New Roman" w:hAnsi="Arial" w:cs="Arial"/>
          <w:color w:val="000000"/>
          <w:bdr w:val="none" w:sz="0" w:space="0" w:color="auto" w:frame="1"/>
        </w:rPr>
        <w:t xml:space="preserve">respaldado con la siguiente póliza: </w:t>
      </w:r>
    </w:p>
    <w:p w14:paraId="03E1AC39" w14:textId="77777777" w:rsidR="009174B7" w:rsidRPr="00C238A9" w:rsidRDefault="009174B7" w:rsidP="009174B7">
      <w:pPr>
        <w:shd w:val="clear" w:color="auto" w:fill="FFFFFF"/>
        <w:spacing w:line="276" w:lineRule="auto"/>
        <w:ind w:left="708"/>
        <w:jc w:val="both"/>
        <w:rPr>
          <w:rFonts w:ascii="Arial" w:eastAsia="Times New Roman" w:hAnsi="Arial" w:cs="Arial"/>
          <w:color w:val="000000"/>
          <w:bdr w:val="none" w:sz="0" w:space="0" w:color="auto" w:frame="1"/>
        </w:rPr>
      </w:pPr>
    </w:p>
    <w:p w14:paraId="0BEDCC8A" w14:textId="18013056" w:rsidR="00B261B3" w:rsidRPr="00C238A9" w:rsidRDefault="009174B7" w:rsidP="00B261B3">
      <w:pPr>
        <w:pStyle w:val="Prrafodelista"/>
        <w:numPr>
          <w:ilvl w:val="0"/>
          <w:numId w:val="29"/>
        </w:numPr>
        <w:shd w:val="clear" w:color="auto" w:fill="FFFFFF"/>
        <w:spacing w:line="276" w:lineRule="auto"/>
        <w:ind w:left="708"/>
        <w:jc w:val="both"/>
        <w:rPr>
          <w:rFonts w:ascii="Arial" w:eastAsia="Times New Roman" w:hAnsi="Arial" w:cs="Arial"/>
          <w:color w:val="000000"/>
          <w:bdr w:val="none" w:sz="0" w:space="0" w:color="auto" w:frame="1"/>
        </w:rPr>
      </w:pPr>
      <w:r w:rsidRPr="00C238A9">
        <w:rPr>
          <w:rFonts w:ascii="Arial" w:eastAsia="Times New Roman" w:hAnsi="Arial" w:cs="Arial"/>
          <w:color w:val="000000"/>
          <w:bdr w:val="none" w:sz="0" w:space="0" w:color="auto" w:frame="1"/>
        </w:rPr>
        <w:t xml:space="preserve">Póliza de vida grupo deudores </w:t>
      </w:r>
      <w:r w:rsidR="008720CF" w:rsidRPr="00C238A9">
        <w:rPr>
          <w:rFonts w:ascii="Arial" w:eastAsia="Times New Roman" w:hAnsi="Arial" w:cs="Arial"/>
          <w:color w:val="000000"/>
          <w:bdr w:val="none" w:sz="0" w:space="0" w:color="auto" w:frame="1"/>
        </w:rPr>
        <w:t xml:space="preserve">No. 02-219-0000331344 </w:t>
      </w:r>
      <w:r w:rsidRPr="00C238A9">
        <w:rPr>
          <w:rFonts w:ascii="Arial" w:eastAsia="Times New Roman" w:hAnsi="Arial" w:cs="Arial"/>
          <w:color w:val="000000"/>
          <w:bdr w:val="none" w:sz="0" w:space="0" w:color="auto" w:frame="1"/>
        </w:rPr>
        <w:t xml:space="preserve">(obligación </w:t>
      </w:r>
      <w:r w:rsidR="008720CF" w:rsidRPr="00C238A9">
        <w:rPr>
          <w:rFonts w:ascii="Arial" w:eastAsia="Times New Roman" w:hAnsi="Arial" w:cs="Arial"/>
          <w:color w:val="000000"/>
          <w:bdr w:val="none" w:sz="0" w:space="0" w:color="auto" w:frame="1"/>
        </w:rPr>
        <w:t>0013-0158-00-9618097669</w:t>
      </w:r>
      <w:r w:rsidRPr="00C238A9">
        <w:rPr>
          <w:rFonts w:ascii="Arial" w:eastAsia="Times New Roman" w:hAnsi="Arial" w:cs="Arial"/>
          <w:color w:val="000000"/>
          <w:bdr w:val="none" w:sz="0" w:space="0" w:color="auto" w:frame="1"/>
        </w:rPr>
        <w:t xml:space="preserve"> por valor de </w:t>
      </w:r>
      <w:r w:rsidR="008720CF" w:rsidRPr="00C238A9">
        <w:rPr>
          <w:rFonts w:ascii="Arial" w:hAnsi="Arial" w:cs="Arial"/>
        </w:rPr>
        <w:t>$193,000,000.00</w:t>
      </w:r>
      <w:r w:rsidR="00B261B3" w:rsidRPr="00C238A9">
        <w:rPr>
          <w:rFonts w:ascii="Arial" w:hAnsi="Arial" w:cs="Arial"/>
        </w:rPr>
        <w:t>.</w:t>
      </w:r>
    </w:p>
    <w:p w14:paraId="4C35AE90" w14:textId="77777777" w:rsidR="00B261B3" w:rsidRPr="00C238A9" w:rsidRDefault="00B261B3" w:rsidP="00B261B3">
      <w:pPr>
        <w:pStyle w:val="Prrafodelista"/>
        <w:shd w:val="clear" w:color="auto" w:fill="FFFFFF"/>
        <w:spacing w:line="276" w:lineRule="auto"/>
        <w:ind w:left="708"/>
        <w:jc w:val="both"/>
        <w:rPr>
          <w:rFonts w:ascii="Arial" w:eastAsia="Times New Roman" w:hAnsi="Arial" w:cs="Arial"/>
          <w:color w:val="000000"/>
          <w:bdr w:val="none" w:sz="0" w:space="0" w:color="auto" w:frame="1"/>
        </w:rPr>
      </w:pPr>
    </w:p>
    <w:p w14:paraId="5B3D7582" w14:textId="33DD6523" w:rsidR="008720CF" w:rsidRPr="00C238A9" w:rsidRDefault="00B261B3" w:rsidP="00B261B3">
      <w:pPr>
        <w:pStyle w:val="Prrafodelista"/>
        <w:numPr>
          <w:ilvl w:val="0"/>
          <w:numId w:val="28"/>
        </w:numPr>
        <w:shd w:val="clear" w:color="auto" w:fill="FFFFFF"/>
        <w:spacing w:line="276" w:lineRule="auto"/>
        <w:ind w:left="426"/>
        <w:jc w:val="both"/>
        <w:rPr>
          <w:rFonts w:ascii="Arial" w:eastAsia="Times New Roman" w:hAnsi="Arial" w:cs="Arial"/>
          <w:color w:val="000000"/>
          <w:bdr w:val="none" w:sz="0" w:space="0" w:color="auto" w:frame="1"/>
        </w:rPr>
      </w:pPr>
      <w:r w:rsidRPr="00C238A9">
        <w:rPr>
          <w:rFonts w:ascii="Arial" w:eastAsia="Times New Roman" w:hAnsi="Arial" w:cs="Arial"/>
          <w:color w:val="000000"/>
          <w:bdr w:val="none" w:sz="0" w:space="0" w:color="auto" w:frame="1"/>
        </w:rPr>
        <w:t>El señor Pedro Julio Rojas Rojas (Q. E. P. D.), en el formulario de declaración del estado de salud presentado para solicitar el seguro de vida, no reportó ningún diagnóstico ni enfermedad que le fuera conocida antes del 25 de septiembre de 2019, fecha en la que firmó dicho documento.</w:t>
      </w:r>
    </w:p>
    <w:p w14:paraId="40A8393F" w14:textId="77777777" w:rsidR="00B261B3" w:rsidRPr="00C238A9" w:rsidRDefault="00B261B3" w:rsidP="00B261B3">
      <w:pPr>
        <w:pStyle w:val="Prrafodelista"/>
        <w:shd w:val="clear" w:color="auto" w:fill="FFFFFF"/>
        <w:spacing w:line="276" w:lineRule="auto"/>
        <w:ind w:left="426"/>
        <w:jc w:val="both"/>
        <w:rPr>
          <w:rFonts w:ascii="Arial" w:eastAsia="Times New Roman" w:hAnsi="Arial" w:cs="Arial"/>
          <w:color w:val="000000"/>
          <w:bdr w:val="none" w:sz="0" w:space="0" w:color="auto" w:frame="1"/>
        </w:rPr>
      </w:pPr>
    </w:p>
    <w:p w14:paraId="4F6D368F" w14:textId="37601553" w:rsidR="009174B7" w:rsidRPr="00C238A9" w:rsidRDefault="008720CF" w:rsidP="008720CF">
      <w:pPr>
        <w:pStyle w:val="Prrafodelista"/>
        <w:numPr>
          <w:ilvl w:val="0"/>
          <w:numId w:val="28"/>
        </w:numPr>
        <w:shd w:val="clear" w:color="auto" w:fill="FFFFFF"/>
        <w:tabs>
          <w:tab w:val="clear" w:pos="720"/>
        </w:tabs>
        <w:spacing w:line="276" w:lineRule="auto"/>
        <w:ind w:left="426"/>
        <w:jc w:val="both"/>
        <w:rPr>
          <w:rFonts w:ascii="Arial" w:eastAsia="Times New Roman" w:hAnsi="Arial" w:cs="Arial"/>
          <w:color w:val="000000"/>
          <w:bdr w:val="none" w:sz="0" w:space="0" w:color="auto" w:frame="1"/>
        </w:rPr>
      </w:pPr>
      <w:r w:rsidRPr="00C238A9">
        <w:rPr>
          <w:rFonts w:ascii="Arial" w:eastAsia="Times New Roman" w:hAnsi="Arial" w:cs="Arial"/>
          <w:color w:val="000000"/>
          <w:bdr w:val="none" w:sz="0" w:space="0" w:color="auto" w:frame="1"/>
        </w:rPr>
        <w:t xml:space="preserve">El Sr. Pedro Julio Rojas Rojas (Q.E.P.D), </w:t>
      </w:r>
      <w:r w:rsidR="009174B7" w:rsidRPr="00C238A9">
        <w:rPr>
          <w:rFonts w:ascii="Arial" w:eastAsia="Times New Roman" w:hAnsi="Arial" w:cs="Arial"/>
          <w:color w:val="000000"/>
          <w:bdr w:val="none" w:sz="0" w:space="0" w:color="auto" w:frame="1"/>
        </w:rPr>
        <w:t xml:space="preserve">falleció el </w:t>
      </w:r>
      <w:r w:rsidRPr="00C238A9">
        <w:rPr>
          <w:rFonts w:ascii="Arial" w:eastAsia="Times New Roman" w:hAnsi="Arial" w:cs="Arial"/>
          <w:color w:val="000000"/>
          <w:bdr w:val="none" w:sz="0" w:space="0" w:color="auto" w:frame="1"/>
        </w:rPr>
        <w:t>24 de marzo del 2025</w:t>
      </w:r>
      <w:r w:rsidR="009174B7" w:rsidRPr="00C238A9">
        <w:rPr>
          <w:rFonts w:ascii="Arial" w:eastAsia="Times New Roman" w:hAnsi="Arial" w:cs="Arial"/>
          <w:color w:val="000000"/>
          <w:bdr w:val="none" w:sz="0" w:space="0" w:color="auto" w:frame="1"/>
        </w:rPr>
        <w:t>.</w:t>
      </w:r>
    </w:p>
    <w:p w14:paraId="33729FE7" w14:textId="77777777" w:rsidR="009174B7" w:rsidRPr="00C238A9" w:rsidRDefault="009174B7" w:rsidP="009174B7">
      <w:pPr>
        <w:pStyle w:val="Prrafodelista"/>
        <w:shd w:val="clear" w:color="auto" w:fill="FFFFFF"/>
        <w:spacing w:line="276" w:lineRule="auto"/>
        <w:ind w:left="426"/>
        <w:jc w:val="both"/>
        <w:rPr>
          <w:rFonts w:ascii="Arial" w:eastAsia="Times New Roman" w:hAnsi="Arial" w:cs="Arial"/>
          <w:color w:val="000000"/>
          <w:bdr w:val="none" w:sz="0" w:space="0" w:color="auto" w:frame="1"/>
        </w:rPr>
      </w:pPr>
    </w:p>
    <w:p w14:paraId="296BC1CD" w14:textId="77777777" w:rsidR="009174B7" w:rsidRPr="00C238A9" w:rsidRDefault="009174B7" w:rsidP="009174B7">
      <w:pPr>
        <w:numPr>
          <w:ilvl w:val="0"/>
          <w:numId w:val="28"/>
        </w:numPr>
        <w:shd w:val="clear" w:color="auto" w:fill="FFFFFF"/>
        <w:tabs>
          <w:tab w:val="clear" w:pos="720"/>
        </w:tabs>
        <w:spacing w:line="276" w:lineRule="auto"/>
        <w:ind w:left="426"/>
        <w:jc w:val="both"/>
        <w:rPr>
          <w:rFonts w:ascii="Arial" w:eastAsia="Times New Roman" w:hAnsi="Arial" w:cs="Arial"/>
          <w:color w:val="000000"/>
          <w:bdr w:val="none" w:sz="0" w:space="0" w:color="auto" w:frame="1"/>
        </w:rPr>
      </w:pPr>
      <w:r w:rsidRPr="00C238A9">
        <w:rPr>
          <w:rFonts w:ascii="Arial" w:eastAsia="Times New Roman" w:hAnsi="Arial" w:cs="Arial"/>
          <w:color w:val="000000"/>
          <w:bdr w:val="none" w:sz="0" w:space="0" w:color="auto" w:frame="1"/>
        </w:rPr>
        <w:t>Las pólizas estaban destinadas a cubrir los saldos insolutos de diversos créditos con BBVA Colombia.</w:t>
      </w:r>
    </w:p>
    <w:p w14:paraId="227303A0" w14:textId="77777777" w:rsidR="009174B7" w:rsidRPr="00C238A9" w:rsidRDefault="009174B7" w:rsidP="009174B7">
      <w:pPr>
        <w:shd w:val="clear" w:color="auto" w:fill="FFFFFF"/>
        <w:spacing w:line="276" w:lineRule="auto"/>
        <w:ind w:left="426"/>
        <w:jc w:val="both"/>
        <w:rPr>
          <w:rFonts w:ascii="Arial" w:eastAsia="Times New Roman" w:hAnsi="Arial" w:cs="Arial"/>
          <w:color w:val="000000"/>
          <w:bdr w:val="none" w:sz="0" w:space="0" w:color="auto" w:frame="1"/>
        </w:rPr>
      </w:pPr>
    </w:p>
    <w:p w14:paraId="25F68BCC" w14:textId="626D1F19" w:rsidR="009174B7" w:rsidRPr="00C238A9" w:rsidRDefault="008720CF" w:rsidP="009174B7">
      <w:pPr>
        <w:numPr>
          <w:ilvl w:val="0"/>
          <w:numId w:val="28"/>
        </w:numPr>
        <w:shd w:val="clear" w:color="auto" w:fill="FFFFFF"/>
        <w:tabs>
          <w:tab w:val="clear" w:pos="720"/>
        </w:tabs>
        <w:spacing w:line="276" w:lineRule="auto"/>
        <w:ind w:left="426"/>
        <w:jc w:val="both"/>
        <w:rPr>
          <w:rFonts w:ascii="Arial" w:eastAsia="Times New Roman" w:hAnsi="Arial" w:cs="Arial"/>
          <w:color w:val="000000"/>
          <w:bdr w:val="none" w:sz="0" w:space="0" w:color="auto" w:frame="1"/>
        </w:rPr>
      </w:pPr>
      <w:r w:rsidRPr="00C238A9">
        <w:rPr>
          <w:rFonts w:ascii="Arial" w:eastAsia="Times New Roman" w:hAnsi="Arial" w:cs="Arial"/>
          <w:color w:val="000000"/>
          <w:bdr w:val="none" w:sz="0" w:space="0" w:color="auto" w:frame="1"/>
        </w:rPr>
        <w:t xml:space="preserve">La esposa del asegurado, la </w:t>
      </w:r>
      <w:r w:rsidR="00897764" w:rsidRPr="00C238A9">
        <w:rPr>
          <w:rFonts w:ascii="Arial" w:eastAsia="Times New Roman" w:hAnsi="Arial" w:cs="Arial"/>
          <w:color w:val="000000"/>
          <w:bdr w:val="none" w:sz="0" w:space="0" w:color="auto" w:frame="1"/>
        </w:rPr>
        <w:t>Sra.</w:t>
      </w:r>
      <w:r w:rsidRPr="00C238A9">
        <w:rPr>
          <w:rFonts w:ascii="Arial" w:eastAsia="Times New Roman" w:hAnsi="Arial" w:cs="Arial"/>
          <w:color w:val="000000"/>
          <w:bdr w:val="none" w:sz="0" w:space="0" w:color="auto" w:frame="1"/>
        </w:rPr>
        <w:t xml:space="preserve"> Myriam Cortes de Rojas</w:t>
      </w:r>
      <w:r w:rsidR="009174B7" w:rsidRPr="00C238A9">
        <w:rPr>
          <w:rFonts w:ascii="Arial" w:eastAsia="Times New Roman" w:hAnsi="Arial" w:cs="Arial"/>
          <w:color w:val="000000"/>
          <w:bdr w:val="none" w:sz="0" w:space="0" w:color="auto" w:frame="1"/>
        </w:rPr>
        <w:t xml:space="preserve">, reclamó </w:t>
      </w:r>
      <w:r w:rsidRPr="00C238A9">
        <w:rPr>
          <w:rFonts w:ascii="Arial" w:eastAsia="Times New Roman" w:hAnsi="Arial" w:cs="Arial"/>
          <w:color w:val="000000"/>
          <w:bdr w:val="none" w:sz="0" w:space="0" w:color="auto" w:frame="1"/>
        </w:rPr>
        <w:t>la cobertura de la póliza solicitada, en vista del fallecimiento del asegurado</w:t>
      </w:r>
      <w:r w:rsidR="009174B7" w:rsidRPr="00C238A9">
        <w:rPr>
          <w:rFonts w:ascii="Arial" w:eastAsia="Times New Roman" w:hAnsi="Arial" w:cs="Arial"/>
          <w:color w:val="000000"/>
          <w:bdr w:val="none" w:sz="0" w:space="0" w:color="auto" w:frame="1"/>
        </w:rPr>
        <w:t>.</w:t>
      </w:r>
    </w:p>
    <w:p w14:paraId="20776245" w14:textId="77777777" w:rsidR="009174B7" w:rsidRPr="00C238A9" w:rsidRDefault="009174B7" w:rsidP="009174B7">
      <w:pPr>
        <w:shd w:val="clear" w:color="auto" w:fill="FFFFFF"/>
        <w:spacing w:line="276" w:lineRule="auto"/>
        <w:jc w:val="both"/>
        <w:rPr>
          <w:rFonts w:ascii="Arial" w:eastAsia="Times New Roman" w:hAnsi="Arial" w:cs="Arial"/>
          <w:color w:val="000000"/>
          <w:bdr w:val="none" w:sz="0" w:space="0" w:color="auto" w:frame="1"/>
        </w:rPr>
      </w:pPr>
    </w:p>
    <w:p w14:paraId="0E5EC541" w14:textId="43CADBFA" w:rsidR="002D7D40" w:rsidRPr="00C238A9" w:rsidRDefault="009174B7" w:rsidP="009174B7">
      <w:pPr>
        <w:numPr>
          <w:ilvl w:val="0"/>
          <w:numId w:val="28"/>
        </w:numPr>
        <w:shd w:val="clear" w:color="auto" w:fill="FFFFFF"/>
        <w:spacing w:line="276" w:lineRule="auto"/>
        <w:ind w:left="426"/>
        <w:jc w:val="both"/>
        <w:rPr>
          <w:rFonts w:ascii="Arial" w:eastAsia="Times New Roman" w:hAnsi="Arial" w:cs="Arial"/>
          <w:color w:val="000000"/>
          <w:bdr w:val="none" w:sz="0" w:space="0" w:color="auto" w:frame="1"/>
        </w:rPr>
      </w:pPr>
      <w:r w:rsidRPr="00C238A9">
        <w:rPr>
          <w:rFonts w:ascii="Arial" w:eastAsia="Times New Roman" w:hAnsi="Arial" w:cs="Arial"/>
          <w:color w:val="000000"/>
          <w:bdr w:val="none" w:sz="0" w:space="0" w:color="auto" w:frame="1"/>
        </w:rPr>
        <w:t xml:space="preserve">Por medio de comunicación del </w:t>
      </w:r>
      <w:r w:rsidR="002D7D40" w:rsidRPr="00C238A9">
        <w:rPr>
          <w:rFonts w:ascii="Arial" w:eastAsia="Times New Roman" w:hAnsi="Arial" w:cs="Arial"/>
          <w:color w:val="000000"/>
          <w:bdr w:val="none" w:sz="0" w:space="0" w:color="auto" w:frame="1"/>
        </w:rPr>
        <w:t>30 de abril del 2025,</w:t>
      </w:r>
      <w:r w:rsidRPr="00C238A9">
        <w:rPr>
          <w:rFonts w:ascii="Arial" w:eastAsia="Times New Roman" w:hAnsi="Arial" w:cs="Arial"/>
          <w:color w:val="000000"/>
          <w:bdr w:val="none" w:sz="0" w:space="0" w:color="auto" w:frame="1"/>
        </w:rPr>
        <w:t xml:space="preserve"> BBVA Seguros se opuso a la afectación de las pólizas alegando</w:t>
      </w:r>
      <w:r w:rsidR="002D7D40" w:rsidRPr="00C238A9">
        <w:rPr>
          <w:rFonts w:ascii="Arial" w:eastAsia="Times New Roman" w:hAnsi="Arial" w:cs="Arial"/>
          <w:color w:val="000000"/>
          <w:bdr w:val="none" w:sz="0" w:space="0" w:color="auto" w:frame="1"/>
        </w:rPr>
        <w:t xml:space="preserve">, que el asegurado, tenía un diagnóstico de </w:t>
      </w:r>
      <w:r w:rsidR="002D7D40" w:rsidRPr="00C238A9">
        <w:rPr>
          <w:rFonts w:ascii="Arial" w:hAnsi="Arial" w:cs="Arial"/>
        </w:rPr>
        <w:t xml:space="preserve">Hipertensión Esencial primaria, </w:t>
      </w:r>
      <w:r w:rsidR="001320F4" w:rsidRPr="00C238A9">
        <w:rPr>
          <w:rFonts w:ascii="Arial" w:hAnsi="Arial" w:cs="Arial"/>
        </w:rPr>
        <w:t xml:space="preserve">y de </w:t>
      </w:r>
      <w:r w:rsidR="002D7D40" w:rsidRPr="00C238A9">
        <w:rPr>
          <w:rFonts w:ascii="Arial" w:hAnsi="Arial" w:cs="Arial"/>
        </w:rPr>
        <w:t>Enfermedad Cardiaca Hipertensiva sin insuficiencia cardiaca, el cual diagnosticado el 16/12/2010.</w:t>
      </w:r>
    </w:p>
    <w:p w14:paraId="1A9CAEF2" w14:textId="77777777" w:rsidR="009174B7" w:rsidRPr="00C238A9" w:rsidRDefault="009174B7" w:rsidP="009174B7">
      <w:pPr>
        <w:shd w:val="clear" w:color="auto" w:fill="FFFFFF"/>
        <w:spacing w:line="276" w:lineRule="auto"/>
        <w:jc w:val="both"/>
        <w:rPr>
          <w:rFonts w:ascii="Arial" w:eastAsia="Times New Roman" w:hAnsi="Arial" w:cs="Arial"/>
          <w:color w:val="000000"/>
          <w:bdr w:val="none" w:sz="0" w:space="0" w:color="auto" w:frame="1"/>
        </w:rPr>
      </w:pPr>
    </w:p>
    <w:p w14:paraId="7098A820" w14:textId="554A8E3E" w:rsidR="009174B7" w:rsidRPr="00C238A9" w:rsidRDefault="009174B7" w:rsidP="009174B7">
      <w:pPr>
        <w:numPr>
          <w:ilvl w:val="0"/>
          <w:numId w:val="28"/>
        </w:numPr>
        <w:shd w:val="clear" w:color="auto" w:fill="FFFFFF"/>
        <w:spacing w:line="276" w:lineRule="auto"/>
        <w:ind w:left="426"/>
        <w:jc w:val="both"/>
        <w:rPr>
          <w:rFonts w:ascii="Arial" w:eastAsia="Times New Roman" w:hAnsi="Arial" w:cs="Arial"/>
          <w:color w:val="000000"/>
          <w:bdr w:val="none" w:sz="0" w:space="0" w:color="auto" w:frame="1"/>
        </w:rPr>
      </w:pPr>
      <w:r w:rsidRPr="00C238A9">
        <w:rPr>
          <w:rFonts w:ascii="Arial" w:eastAsia="Times New Roman" w:hAnsi="Arial" w:cs="Arial"/>
          <w:color w:val="000000"/>
          <w:bdr w:val="none" w:sz="0" w:space="0" w:color="auto" w:frame="1"/>
        </w:rPr>
        <w:t xml:space="preserve">El día </w:t>
      </w:r>
      <w:r w:rsidR="002D7D40" w:rsidRPr="00C238A9">
        <w:rPr>
          <w:rFonts w:ascii="Arial" w:eastAsia="Times New Roman" w:hAnsi="Arial" w:cs="Arial"/>
          <w:color w:val="000000"/>
          <w:bdr w:val="none" w:sz="0" w:space="0" w:color="auto" w:frame="1"/>
        </w:rPr>
        <w:t xml:space="preserve">19 de junio del 2025, la Superfinanciera admite </w:t>
      </w:r>
      <w:r w:rsidR="001320F4" w:rsidRPr="00C238A9">
        <w:rPr>
          <w:rFonts w:ascii="Arial" w:eastAsia="Times New Roman" w:hAnsi="Arial" w:cs="Arial"/>
          <w:color w:val="000000"/>
          <w:bdr w:val="none" w:sz="0" w:space="0" w:color="auto" w:frame="1"/>
        </w:rPr>
        <w:t>acción</w:t>
      </w:r>
      <w:r w:rsidR="002D7D40" w:rsidRPr="00C238A9">
        <w:rPr>
          <w:rFonts w:ascii="Arial" w:eastAsia="Times New Roman" w:hAnsi="Arial" w:cs="Arial"/>
          <w:color w:val="000000"/>
          <w:bdr w:val="none" w:sz="0" w:space="0" w:color="auto" w:frame="1"/>
        </w:rPr>
        <w:t xml:space="preserve"> de protección al consumidor, presentada por la </w:t>
      </w:r>
      <w:r w:rsidR="001320F4" w:rsidRPr="00C238A9">
        <w:rPr>
          <w:rFonts w:ascii="Arial" w:eastAsia="Times New Roman" w:hAnsi="Arial" w:cs="Arial"/>
          <w:color w:val="000000"/>
          <w:bdr w:val="none" w:sz="0" w:space="0" w:color="auto" w:frame="1"/>
        </w:rPr>
        <w:t>Sra. Myriam Cortes de Rojas.</w:t>
      </w:r>
    </w:p>
    <w:p w14:paraId="028F8BC6" w14:textId="57F1EF7D" w:rsidR="00F860BE" w:rsidRPr="00C238A9" w:rsidRDefault="00F860BE" w:rsidP="009174B7">
      <w:pPr>
        <w:shd w:val="clear" w:color="auto" w:fill="FFFFFF"/>
        <w:spacing w:before="100" w:beforeAutospacing="1" w:after="100" w:afterAutospacing="1" w:line="276" w:lineRule="auto"/>
        <w:jc w:val="center"/>
        <w:textAlignment w:val="baseline"/>
        <w:rPr>
          <w:rFonts w:ascii="Arial" w:eastAsia="Times New Roman" w:hAnsi="Arial" w:cs="Arial"/>
          <w:color w:val="000000"/>
        </w:rPr>
      </w:pPr>
      <w:r w:rsidRPr="00C238A9">
        <w:rPr>
          <w:rStyle w:val="contentpasted1"/>
          <w:rFonts w:ascii="Arial" w:hAnsi="Arial" w:cs="Arial"/>
          <w:b/>
          <w:bCs/>
          <w:u w:val="single"/>
          <w:bdr w:val="none" w:sz="0" w:space="0" w:color="auto" w:frame="1"/>
          <w:shd w:val="clear" w:color="auto" w:fill="FFFFFF"/>
        </w:rPr>
        <w:t>PRETENSIONES</w:t>
      </w:r>
    </w:p>
    <w:p w14:paraId="165A2552" w14:textId="77777777" w:rsidR="009174B7" w:rsidRPr="00C238A9" w:rsidRDefault="009174B7" w:rsidP="009174B7">
      <w:pPr>
        <w:shd w:val="clear" w:color="auto" w:fill="FFFFFF"/>
        <w:spacing w:line="276" w:lineRule="auto"/>
        <w:jc w:val="both"/>
        <w:rPr>
          <w:rFonts w:ascii="Arial" w:eastAsia="Times New Roman" w:hAnsi="Arial" w:cs="Arial"/>
          <w:color w:val="000000"/>
          <w:bdr w:val="none" w:sz="0" w:space="0" w:color="auto" w:frame="1"/>
        </w:rPr>
      </w:pPr>
    </w:p>
    <w:p w14:paraId="5EA0614A" w14:textId="71EE2C6D" w:rsidR="009174B7" w:rsidRPr="00C238A9" w:rsidRDefault="009174B7" w:rsidP="00380F0A">
      <w:pPr>
        <w:pStyle w:val="Prrafodelista"/>
        <w:numPr>
          <w:ilvl w:val="0"/>
          <w:numId w:val="30"/>
        </w:numPr>
        <w:shd w:val="clear" w:color="auto" w:fill="FFFFFF"/>
        <w:spacing w:line="276" w:lineRule="auto"/>
        <w:jc w:val="both"/>
        <w:rPr>
          <w:rFonts w:ascii="Arial" w:eastAsia="Times New Roman" w:hAnsi="Arial" w:cs="Arial"/>
          <w:color w:val="000000"/>
          <w:bdr w:val="none" w:sz="0" w:space="0" w:color="auto" w:frame="1"/>
        </w:rPr>
      </w:pPr>
      <w:r w:rsidRPr="00C238A9">
        <w:rPr>
          <w:rFonts w:ascii="Arial" w:eastAsia="Times New Roman" w:hAnsi="Arial" w:cs="Arial"/>
          <w:color w:val="000000"/>
          <w:bdr w:val="none" w:sz="0" w:space="0" w:color="auto" w:frame="1"/>
        </w:rPr>
        <w:t>Se ordene la afectación de la póliza</w:t>
      </w:r>
      <w:r w:rsidR="002D7D40" w:rsidRPr="00C238A9">
        <w:rPr>
          <w:rFonts w:ascii="Arial" w:eastAsia="Times New Roman" w:hAnsi="Arial" w:cs="Arial"/>
          <w:color w:val="000000"/>
          <w:bdr w:val="none" w:sz="0" w:space="0" w:color="auto" w:frame="1"/>
        </w:rPr>
        <w:t xml:space="preserve"> </w:t>
      </w:r>
      <w:r w:rsidRPr="00C238A9">
        <w:rPr>
          <w:rFonts w:ascii="Arial" w:eastAsia="Times New Roman" w:hAnsi="Arial" w:cs="Arial"/>
          <w:color w:val="000000"/>
          <w:bdr w:val="none" w:sz="0" w:space="0" w:color="auto" w:frame="1"/>
        </w:rPr>
        <w:t xml:space="preserve">de Vida Grupo Deudor </w:t>
      </w:r>
      <w:r w:rsidR="002D7D40" w:rsidRPr="00C238A9">
        <w:rPr>
          <w:rFonts w:ascii="Arial" w:eastAsia="Times New Roman" w:hAnsi="Arial" w:cs="Arial"/>
          <w:color w:val="000000"/>
          <w:bdr w:val="none" w:sz="0" w:space="0" w:color="auto" w:frame="1"/>
        </w:rPr>
        <w:t xml:space="preserve"> No. 02-219-0000331344 </w:t>
      </w:r>
      <w:r w:rsidRPr="00C238A9">
        <w:rPr>
          <w:rFonts w:ascii="Arial" w:eastAsia="Times New Roman" w:hAnsi="Arial" w:cs="Arial"/>
          <w:color w:val="000000"/>
          <w:bdr w:val="none" w:sz="0" w:space="0" w:color="auto" w:frame="1"/>
        </w:rPr>
        <w:t>al configurarse el siniestro por el fallecimiento de</w:t>
      </w:r>
      <w:r w:rsidR="002D7D40" w:rsidRPr="00C238A9">
        <w:rPr>
          <w:rFonts w:ascii="Arial" w:eastAsia="Times New Roman" w:hAnsi="Arial" w:cs="Arial"/>
          <w:color w:val="000000"/>
          <w:bdr w:val="none" w:sz="0" w:space="0" w:color="auto" w:frame="1"/>
        </w:rPr>
        <w:t>l</w:t>
      </w:r>
      <w:r w:rsidRPr="00C238A9">
        <w:rPr>
          <w:rFonts w:ascii="Arial" w:eastAsia="Times New Roman" w:hAnsi="Arial" w:cs="Arial"/>
          <w:color w:val="000000"/>
          <w:bdr w:val="none" w:sz="0" w:space="0" w:color="auto" w:frame="1"/>
        </w:rPr>
        <w:t xml:space="preserve"> deudo</w:t>
      </w:r>
      <w:r w:rsidR="002D7D40" w:rsidRPr="00C238A9">
        <w:rPr>
          <w:rFonts w:ascii="Arial" w:eastAsia="Times New Roman" w:hAnsi="Arial" w:cs="Arial"/>
          <w:color w:val="000000"/>
          <w:bdr w:val="none" w:sz="0" w:space="0" w:color="auto" w:frame="1"/>
        </w:rPr>
        <w:t>r</w:t>
      </w:r>
      <w:r w:rsidRPr="00C238A9">
        <w:rPr>
          <w:rFonts w:ascii="Arial" w:eastAsia="Times New Roman" w:hAnsi="Arial" w:cs="Arial"/>
          <w:color w:val="000000"/>
          <w:bdr w:val="none" w:sz="0" w:space="0" w:color="auto" w:frame="1"/>
        </w:rPr>
        <w:t xml:space="preserve"> </w:t>
      </w:r>
      <w:r w:rsidR="002D7D40" w:rsidRPr="00C238A9">
        <w:rPr>
          <w:rFonts w:ascii="Arial" w:eastAsia="Times New Roman" w:hAnsi="Arial" w:cs="Arial"/>
          <w:color w:val="000000"/>
          <w:bdr w:val="none" w:sz="0" w:space="0" w:color="auto" w:frame="1"/>
        </w:rPr>
        <w:t>Pedro Julio Rojas Rojas (Q.E.P.D).</w:t>
      </w:r>
    </w:p>
    <w:p w14:paraId="3861BF9B" w14:textId="77777777" w:rsidR="002D7D40" w:rsidRPr="00C238A9" w:rsidRDefault="002D7D40" w:rsidP="002D7D40">
      <w:pPr>
        <w:pStyle w:val="Prrafodelista"/>
        <w:shd w:val="clear" w:color="auto" w:fill="FFFFFF"/>
        <w:spacing w:line="276" w:lineRule="auto"/>
        <w:ind w:left="360"/>
        <w:jc w:val="both"/>
        <w:rPr>
          <w:rFonts w:ascii="Arial" w:eastAsia="Times New Roman" w:hAnsi="Arial" w:cs="Arial"/>
          <w:color w:val="000000"/>
          <w:bdr w:val="none" w:sz="0" w:space="0" w:color="auto" w:frame="1"/>
        </w:rPr>
      </w:pPr>
    </w:p>
    <w:p w14:paraId="015CA53E" w14:textId="0B6D7566" w:rsidR="009174B7" w:rsidRPr="00C238A9" w:rsidRDefault="002D7D40" w:rsidP="009174B7">
      <w:pPr>
        <w:pStyle w:val="Prrafodelista"/>
        <w:numPr>
          <w:ilvl w:val="0"/>
          <w:numId w:val="30"/>
        </w:numPr>
        <w:shd w:val="clear" w:color="auto" w:fill="FFFFFF"/>
        <w:spacing w:line="276" w:lineRule="auto"/>
        <w:jc w:val="both"/>
        <w:rPr>
          <w:rFonts w:ascii="Arial" w:eastAsia="Times New Roman" w:hAnsi="Arial" w:cs="Arial"/>
          <w:color w:val="000000"/>
          <w:bdr w:val="none" w:sz="0" w:space="0" w:color="auto" w:frame="1"/>
        </w:rPr>
      </w:pPr>
      <w:r w:rsidRPr="00C238A9">
        <w:rPr>
          <w:rFonts w:ascii="Arial" w:eastAsia="Times New Roman" w:hAnsi="Arial" w:cs="Arial"/>
          <w:color w:val="000000"/>
          <w:bdr w:val="none" w:sz="0" w:space="0" w:color="auto" w:frame="1"/>
        </w:rPr>
        <w:t xml:space="preserve">Solicita la autorización presentada por el Sr. Pedro Julio Rojas Rojas (Q.E.P.D), para la solicitud de la historia clínica.. </w:t>
      </w:r>
    </w:p>
    <w:p w14:paraId="15EE40A8" w14:textId="77777777" w:rsidR="00B260B7" w:rsidRPr="00C238A9" w:rsidRDefault="00B260B7" w:rsidP="00B260B7">
      <w:pPr>
        <w:shd w:val="clear" w:color="auto" w:fill="FFFFFF"/>
        <w:spacing w:line="276" w:lineRule="auto"/>
        <w:jc w:val="both"/>
        <w:rPr>
          <w:rFonts w:ascii="Arial" w:eastAsia="Times New Roman" w:hAnsi="Arial" w:cs="Arial"/>
          <w:color w:val="000000"/>
          <w:bdr w:val="none" w:sz="0" w:space="0" w:color="auto" w:frame="1"/>
        </w:rPr>
      </w:pPr>
    </w:p>
    <w:p w14:paraId="5A3BE795" w14:textId="6C9B77E6" w:rsidR="009174B7" w:rsidRPr="00C238A9" w:rsidRDefault="002D7D40" w:rsidP="009174B7">
      <w:pPr>
        <w:pStyle w:val="Prrafodelista"/>
        <w:numPr>
          <w:ilvl w:val="0"/>
          <w:numId w:val="30"/>
        </w:numPr>
        <w:shd w:val="clear" w:color="auto" w:fill="FFFFFF"/>
        <w:spacing w:line="276" w:lineRule="auto"/>
        <w:jc w:val="both"/>
        <w:rPr>
          <w:rFonts w:ascii="Arial" w:eastAsia="Times New Roman" w:hAnsi="Arial" w:cs="Arial"/>
          <w:color w:val="000000"/>
          <w:bdr w:val="none" w:sz="0" w:space="0" w:color="auto" w:frame="1"/>
        </w:rPr>
      </w:pPr>
      <w:r w:rsidRPr="00C238A9">
        <w:rPr>
          <w:rFonts w:ascii="Arial" w:eastAsia="Times New Roman" w:hAnsi="Arial" w:cs="Arial"/>
          <w:color w:val="000000"/>
          <w:bdr w:val="none" w:sz="0" w:space="0" w:color="auto" w:frame="1"/>
        </w:rPr>
        <w:t>Solicita se comunique cuando fue entregada la historia clínica del Sr. Pedro Julio Rojas Rojas (Q.E.P.D),</w:t>
      </w:r>
    </w:p>
    <w:p w14:paraId="02E9FABC" w14:textId="77777777" w:rsidR="009174B7" w:rsidRPr="00C238A9" w:rsidRDefault="009174B7" w:rsidP="009174B7">
      <w:pPr>
        <w:shd w:val="clear" w:color="auto" w:fill="FFFFFF"/>
        <w:spacing w:line="276" w:lineRule="auto"/>
        <w:jc w:val="both"/>
        <w:rPr>
          <w:rFonts w:ascii="Arial" w:eastAsia="Times New Roman" w:hAnsi="Arial" w:cs="Arial"/>
          <w:color w:val="000000"/>
          <w:bdr w:val="none" w:sz="0" w:space="0" w:color="auto" w:frame="1"/>
        </w:rPr>
      </w:pPr>
    </w:p>
    <w:p w14:paraId="356E1B5B" w14:textId="3196948C" w:rsidR="007F198C" w:rsidRPr="00C238A9" w:rsidRDefault="001320F4" w:rsidP="007F198C">
      <w:pPr>
        <w:pStyle w:val="Prrafodelista"/>
        <w:numPr>
          <w:ilvl w:val="0"/>
          <w:numId w:val="30"/>
        </w:numPr>
        <w:shd w:val="clear" w:color="auto" w:fill="FFFFFF"/>
        <w:spacing w:line="276" w:lineRule="auto"/>
        <w:jc w:val="both"/>
        <w:rPr>
          <w:rFonts w:ascii="Arial" w:eastAsia="Times New Roman" w:hAnsi="Arial" w:cs="Arial"/>
          <w:color w:val="000000"/>
          <w:bdr w:val="none" w:sz="0" w:space="0" w:color="auto" w:frame="1"/>
        </w:rPr>
      </w:pPr>
      <w:r w:rsidRPr="00C238A9">
        <w:rPr>
          <w:rFonts w:ascii="Arial" w:eastAsia="Times New Roman" w:hAnsi="Arial" w:cs="Arial"/>
          <w:color w:val="000000"/>
          <w:bdr w:val="none" w:sz="0" w:space="0" w:color="auto" w:frame="1"/>
        </w:rPr>
        <w:t>Solicita</w:t>
      </w:r>
      <w:r w:rsidR="007F198C" w:rsidRPr="00C238A9">
        <w:rPr>
          <w:rFonts w:ascii="Arial" w:eastAsia="Times New Roman" w:hAnsi="Arial" w:cs="Arial"/>
          <w:color w:val="000000"/>
          <w:bdr w:val="none" w:sz="0" w:space="0" w:color="auto" w:frame="1"/>
        </w:rPr>
        <w:t xml:space="preserve"> la copia de la historia clínica del Sr. Pedro Julio Rojas Rojas (Q.E.P.D)</w:t>
      </w:r>
    </w:p>
    <w:p w14:paraId="36D85B2C" w14:textId="77777777" w:rsidR="009174B7" w:rsidRPr="00C238A9" w:rsidRDefault="009174B7" w:rsidP="009174B7">
      <w:pPr>
        <w:shd w:val="clear" w:color="auto" w:fill="FFFFFF"/>
        <w:spacing w:line="276" w:lineRule="auto"/>
        <w:jc w:val="both"/>
        <w:rPr>
          <w:rFonts w:ascii="Arial" w:eastAsia="Times New Roman" w:hAnsi="Arial" w:cs="Arial"/>
          <w:color w:val="000000"/>
          <w:bdr w:val="none" w:sz="0" w:space="0" w:color="auto" w:frame="1"/>
        </w:rPr>
      </w:pPr>
    </w:p>
    <w:p w14:paraId="1D8D7F87" w14:textId="74D79983" w:rsidR="009174B7" w:rsidRPr="00C238A9" w:rsidRDefault="007F198C" w:rsidP="009174B7">
      <w:pPr>
        <w:pStyle w:val="Prrafodelista"/>
        <w:numPr>
          <w:ilvl w:val="0"/>
          <w:numId w:val="30"/>
        </w:numPr>
        <w:shd w:val="clear" w:color="auto" w:fill="FFFFFF"/>
        <w:spacing w:line="276" w:lineRule="auto"/>
        <w:jc w:val="both"/>
        <w:rPr>
          <w:rFonts w:ascii="Arial" w:eastAsia="Times New Roman" w:hAnsi="Arial" w:cs="Arial"/>
          <w:color w:val="000000"/>
          <w:bdr w:val="none" w:sz="0" w:space="0" w:color="auto" w:frame="1"/>
        </w:rPr>
      </w:pPr>
      <w:r w:rsidRPr="00C238A9">
        <w:rPr>
          <w:rFonts w:ascii="Arial" w:eastAsia="Times New Roman" w:hAnsi="Arial" w:cs="Arial"/>
          <w:color w:val="000000"/>
          <w:bdr w:val="none" w:sz="0" w:space="0" w:color="auto" w:frame="1"/>
        </w:rPr>
        <w:t xml:space="preserve">Solicita sanción en contra de </w:t>
      </w:r>
      <w:r w:rsidR="001320F4" w:rsidRPr="00C238A9">
        <w:rPr>
          <w:rFonts w:ascii="Arial" w:eastAsia="Times New Roman" w:hAnsi="Arial" w:cs="Arial"/>
          <w:color w:val="000000"/>
          <w:bdr w:val="none" w:sz="0" w:space="0" w:color="auto" w:frame="1"/>
        </w:rPr>
        <w:t>BBVA</w:t>
      </w:r>
      <w:r w:rsidRPr="00C238A9">
        <w:rPr>
          <w:rFonts w:ascii="Arial" w:eastAsia="Times New Roman" w:hAnsi="Arial" w:cs="Arial"/>
          <w:color w:val="000000"/>
          <w:bdr w:val="none" w:sz="0" w:space="0" w:color="auto" w:frame="1"/>
        </w:rPr>
        <w:t xml:space="preserve"> Seguros Vida Colombia S.A., porque considera que no le dio respuesta a la petición del día 03 de junio del 2025. </w:t>
      </w:r>
    </w:p>
    <w:p w14:paraId="4FDB93FE" w14:textId="2219CDDB" w:rsidR="003915D6" w:rsidRPr="00C238A9" w:rsidRDefault="003915D6" w:rsidP="009174B7">
      <w:pPr>
        <w:pStyle w:val="Sinespaciado"/>
        <w:spacing w:line="276" w:lineRule="auto"/>
        <w:jc w:val="both"/>
        <w:rPr>
          <w:rFonts w:ascii="Arial" w:hAnsi="Arial" w:cs="Arial"/>
        </w:rPr>
      </w:pPr>
    </w:p>
    <w:p w14:paraId="1E17C756" w14:textId="77777777" w:rsidR="006B5A81" w:rsidRPr="00C238A9" w:rsidRDefault="006B5A81" w:rsidP="009174B7">
      <w:pPr>
        <w:pStyle w:val="xmsonormal"/>
        <w:shd w:val="clear" w:color="auto" w:fill="FFFFFF"/>
        <w:spacing w:before="0" w:beforeAutospacing="0" w:after="0" w:afterAutospacing="0" w:line="276" w:lineRule="auto"/>
        <w:jc w:val="center"/>
        <w:rPr>
          <w:rStyle w:val="xcontentpasted0"/>
          <w:rFonts w:ascii="Arial" w:hAnsi="Arial" w:cs="Arial"/>
          <w:b/>
          <w:bCs/>
          <w:sz w:val="22"/>
          <w:szCs w:val="22"/>
          <w:u w:val="single"/>
          <w:bdr w:val="none" w:sz="0" w:space="0" w:color="auto" w:frame="1"/>
        </w:rPr>
      </w:pPr>
    </w:p>
    <w:p w14:paraId="5D17463D" w14:textId="77777777" w:rsidR="006B5A81" w:rsidRPr="00C238A9" w:rsidRDefault="006B5A81" w:rsidP="007F198C">
      <w:pPr>
        <w:pStyle w:val="xmsonormal"/>
        <w:shd w:val="clear" w:color="auto" w:fill="FFFFFF"/>
        <w:spacing w:before="0" w:beforeAutospacing="0" w:after="0" w:afterAutospacing="0" w:line="276" w:lineRule="auto"/>
        <w:rPr>
          <w:rStyle w:val="xcontentpasted0"/>
          <w:rFonts w:ascii="Arial" w:hAnsi="Arial" w:cs="Arial"/>
          <w:b/>
          <w:bCs/>
          <w:sz w:val="22"/>
          <w:szCs w:val="22"/>
          <w:u w:val="single"/>
          <w:bdr w:val="none" w:sz="0" w:space="0" w:color="auto" w:frame="1"/>
        </w:rPr>
      </w:pPr>
    </w:p>
    <w:p w14:paraId="35C94C78" w14:textId="11E36E9D" w:rsidR="003915D6" w:rsidRPr="00C238A9" w:rsidRDefault="003915D6" w:rsidP="009174B7">
      <w:pPr>
        <w:pStyle w:val="xmsonormal"/>
        <w:shd w:val="clear" w:color="auto" w:fill="FFFFFF"/>
        <w:spacing w:before="0" w:beforeAutospacing="0" w:after="0" w:afterAutospacing="0" w:line="276" w:lineRule="auto"/>
        <w:jc w:val="center"/>
        <w:rPr>
          <w:rFonts w:ascii="Arial" w:hAnsi="Arial" w:cs="Arial"/>
          <w:sz w:val="22"/>
          <w:szCs w:val="22"/>
          <w:u w:val="single"/>
        </w:rPr>
      </w:pPr>
      <w:r w:rsidRPr="00C238A9">
        <w:rPr>
          <w:rStyle w:val="xcontentpasted0"/>
          <w:rFonts w:ascii="Arial" w:hAnsi="Arial" w:cs="Arial"/>
          <w:b/>
          <w:bCs/>
          <w:sz w:val="22"/>
          <w:szCs w:val="22"/>
          <w:u w:val="single"/>
          <w:bdr w:val="none" w:sz="0" w:space="0" w:color="auto" w:frame="1"/>
        </w:rPr>
        <w:t>CALIFICACIÓN DE LA CONTINGENCIA</w:t>
      </w:r>
    </w:p>
    <w:p w14:paraId="06875F3B" w14:textId="77777777" w:rsidR="003915D6" w:rsidRPr="00C238A9" w:rsidRDefault="003915D6" w:rsidP="009174B7">
      <w:pPr>
        <w:pStyle w:val="xmsonormal"/>
        <w:shd w:val="clear" w:color="auto" w:fill="FFFFFF"/>
        <w:spacing w:before="0" w:beforeAutospacing="0" w:after="0" w:afterAutospacing="0" w:line="276" w:lineRule="auto"/>
        <w:rPr>
          <w:rFonts w:ascii="Arial" w:hAnsi="Arial" w:cs="Arial"/>
          <w:sz w:val="22"/>
          <w:szCs w:val="22"/>
        </w:rPr>
      </w:pPr>
      <w:r w:rsidRPr="00C238A9">
        <w:rPr>
          <w:rFonts w:ascii="Arial" w:hAnsi="Arial" w:cs="Arial"/>
          <w:sz w:val="22"/>
          <w:szCs w:val="22"/>
        </w:rPr>
        <w:t> </w:t>
      </w:r>
    </w:p>
    <w:p w14:paraId="4C314E0E" w14:textId="324D6E3D" w:rsidR="004624F9" w:rsidRPr="00C238A9" w:rsidRDefault="002E1EDD" w:rsidP="00774CC7">
      <w:pPr>
        <w:pStyle w:val="xmsonormal"/>
        <w:shd w:val="clear" w:color="auto" w:fill="FFFFFF"/>
        <w:spacing w:before="0" w:beforeAutospacing="0" w:after="0" w:afterAutospacing="0" w:line="276" w:lineRule="auto"/>
        <w:jc w:val="both"/>
        <w:rPr>
          <w:rStyle w:val="xcontentpasted0"/>
          <w:rFonts w:ascii="Arial" w:hAnsi="Arial" w:cs="Arial"/>
          <w:sz w:val="22"/>
          <w:szCs w:val="22"/>
        </w:rPr>
      </w:pPr>
      <w:r w:rsidRPr="00C238A9">
        <w:rPr>
          <w:rStyle w:val="xcontentpasted0"/>
          <w:rFonts w:ascii="Arial" w:hAnsi="Arial" w:cs="Arial"/>
          <w:sz w:val="22"/>
          <w:szCs w:val="22"/>
          <w:bdr w:val="none" w:sz="0" w:space="0" w:color="auto" w:frame="1"/>
        </w:rPr>
        <w:t xml:space="preserve">La contingencia se califica como </w:t>
      </w:r>
      <w:r w:rsidR="00774CC7" w:rsidRPr="00C238A9">
        <w:rPr>
          <w:rStyle w:val="xcontentpasted0"/>
          <w:rFonts w:ascii="Arial" w:hAnsi="Arial" w:cs="Arial"/>
          <w:sz w:val="22"/>
          <w:szCs w:val="22"/>
          <w:bdr w:val="none" w:sz="0" w:space="0" w:color="auto" w:frame="1"/>
        </w:rPr>
        <w:t xml:space="preserve">REMOTA </w:t>
      </w:r>
      <w:r w:rsidR="00FF6992" w:rsidRPr="00C238A9">
        <w:rPr>
          <w:rStyle w:val="xcontentpasted0"/>
          <w:rFonts w:ascii="Arial" w:hAnsi="Arial" w:cs="Arial"/>
          <w:sz w:val="22"/>
          <w:szCs w:val="22"/>
          <w:bdr w:val="none" w:sz="0" w:space="0" w:color="auto" w:frame="1"/>
        </w:rPr>
        <w:t xml:space="preserve">pues, aunque la excepción de nulidad relativa esta prescrita frente a la póliza </w:t>
      </w:r>
      <w:r w:rsidR="00774CC7" w:rsidRPr="00C238A9">
        <w:rPr>
          <w:rStyle w:val="xcontentpasted0"/>
          <w:rFonts w:ascii="Arial" w:hAnsi="Arial" w:cs="Arial"/>
          <w:sz w:val="22"/>
          <w:szCs w:val="22"/>
          <w:bdr w:val="none" w:sz="0" w:space="0" w:color="auto" w:frame="1"/>
        </w:rPr>
        <w:t xml:space="preserve">No. </w:t>
      </w:r>
      <w:r w:rsidR="007F198C" w:rsidRPr="00C238A9">
        <w:rPr>
          <w:rStyle w:val="xcontentpasted0"/>
          <w:rFonts w:ascii="Arial" w:hAnsi="Arial" w:cs="Arial"/>
          <w:sz w:val="22"/>
          <w:szCs w:val="22"/>
        </w:rPr>
        <w:t>02-219-0000331344</w:t>
      </w:r>
      <w:r w:rsidR="004624F9" w:rsidRPr="00C238A9">
        <w:rPr>
          <w:rStyle w:val="xcontentpasted0"/>
          <w:rFonts w:ascii="Arial" w:hAnsi="Arial" w:cs="Arial"/>
          <w:sz w:val="22"/>
          <w:szCs w:val="22"/>
          <w:bdr w:val="none" w:sz="0" w:space="0" w:color="auto" w:frame="1"/>
        </w:rPr>
        <w:t xml:space="preserve">, la misma no fue puesta de presente por el actor en su demanda, Ahora bien, frente a la nulidad relativa del contrato de </w:t>
      </w:r>
      <w:r w:rsidR="004624F9" w:rsidRPr="00C238A9">
        <w:rPr>
          <w:rStyle w:val="xcontentpasted0"/>
          <w:rFonts w:ascii="Arial" w:hAnsi="Arial" w:cs="Arial"/>
          <w:sz w:val="22"/>
          <w:szCs w:val="22"/>
        </w:rPr>
        <w:t>seguro, como consecuencia de la reticencia del asegurado, debe indicarse que la misma dependerá del debate probatorio.</w:t>
      </w:r>
    </w:p>
    <w:p w14:paraId="6F18C54A" w14:textId="77777777" w:rsidR="00AE6470" w:rsidRPr="00C238A9" w:rsidRDefault="00AE6470" w:rsidP="002E1EDD">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15B815AD" w14:textId="18E3598F" w:rsidR="002E1EDD" w:rsidRPr="00C238A9" w:rsidRDefault="004624F9" w:rsidP="002E1EDD">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C238A9">
        <w:rPr>
          <w:rFonts w:ascii="Arial" w:hAnsi="Arial" w:cs="Arial"/>
          <w:sz w:val="22"/>
          <w:szCs w:val="22"/>
          <w:bdr w:val="none" w:sz="0" w:space="0" w:color="auto" w:frame="1"/>
        </w:rPr>
        <w:t>Lo primero que debe tomarse en consideración, es que</w:t>
      </w:r>
      <w:r w:rsidRPr="00C238A9" w:rsidDel="004624F9">
        <w:rPr>
          <w:rFonts w:ascii="Arial" w:hAnsi="Arial" w:cs="Arial"/>
          <w:sz w:val="22"/>
          <w:szCs w:val="22"/>
          <w:bdr w:val="none" w:sz="0" w:space="0" w:color="auto" w:frame="1"/>
        </w:rPr>
        <w:t xml:space="preserve"> </w:t>
      </w:r>
      <w:r w:rsidR="002E1EDD" w:rsidRPr="00C238A9">
        <w:rPr>
          <w:rStyle w:val="xcontentpasted0"/>
          <w:rFonts w:ascii="Arial" w:hAnsi="Arial" w:cs="Arial"/>
          <w:sz w:val="22"/>
          <w:szCs w:val="22"/>
          <w:bdr w:val="none" w:sz="0" w:space="0" w:color="auto" w:frame="1"/>
        </w:rPr>
        <w:t xml:space="preserve">la póliza grupo deudores </w:t>
      </w:r>
      <w:r w:rsidR="00AE6470" w:rsidRPr="00C238A9">
        <w:rPr>
          <w:rFonts w:ascii="Arial" w:eastAsia="Times New Roman" w:hAnsi="Arial" w:cs="Arial"/>
          <w:color w:val="000000"/>
          <w:sz w:val="22"/>
          <w:szCs w:val="22"/>
          <w:bdr w:val="none" w:sz="0" w:space="0" w:color="auto" w:frame="1"/>
        </w:rPr>
        <w:t>No. 02-219-0000331344,</w:t>
      </w:r>
      <w:r w:rsidRPr="00C238A9">
        <w:rPr>
          <w:rStyle w:val="xcontentpasted0"/>
          <w:rFonts w:ascii="Arial" w:hAnsi="Arial" w:cs="Arial"/>
          <w:sz w:val="22"/>
          <w:szCs w:val="22"/>
          <w:bdr w:val="none" w:sz="0" w:space="0" w:color="auto" w:frame="1"/>
        </w:rPr>
        <w:t xml:space="preserve"> la cual amparó la obligación financiera No. 0013-0158-00-9618097669,</w:t>
      </w:r>
      <w:r w:rsidR="00AE6470" w:rsidRPr="00C238A9">
        <w:rPr>
          <w:rFonts w:ascii="Arial" w:eastAsia="Times New Roman" w:hAnsi="Arial" w:cs="Arial"/>
          <w:color w:val="000000"/>
          <w:sz w:val="22"/>
          <w:szCs w:val="22"/>
          <w:bdr w:val="none" w:sz="0" w:space="0" w:color="auto" w:frame="1"/>
        </w:rPr>
        <w:t xml:space="preserve"> </w:t>
      </w:r>
      <w:r w:rsidRPr="00C238A9">
        <w:rPr>
          <w:rFonts w:ascii="Arial" w:eastAsia="Times New Roman" w:hAnsi="Arial" w:cs="Arial"/>
          <w:color w:val="000000"/>
          <w:sz w:val="22"/>
          <w:szCs w:val="22"/>
          <w:bdr w:val="none" w:sz="0" w:space="0" w:color="auto" w:frame="1"/>
        </w:rPr>
        <w:t xml:space="preserve">cuyo asegurado es el señor Pedro Julio Rojas </w:t>
      </w:r>
      <w:proofErr w:type="spellStart"/>
      <w:r w:rsidRPr="00C238A9">
        <w:rPr>
          <w:rFonts w:ascii="Arial" w:eastAsia="Times New Roman" w:hAnsi="Arial" w:cs="Arial"/>
          <w:color w:val="000000"/>
          <w:sz w:val="22"/>
          <w:szCs w:val="22"/>
          <w:bdr w:val="none" w:sz="0" w:space="0" w:color="auto" w:frame="1"/>
        </w:rPr>
        <w:t>Rojas</w:t>
      </w:r>
      <w:proofErr w:type="spellEnd"/>
      <w:r w:rsidRPr="00C238A9">
        <w:rPr>
          <w:rFonts w:ascii="Arial" w:eastAsia="Times New Roman" w:hAnsi="Arial" w:cs="Arial"/>
          <w:color w:val="000000"/>
          <w:sz w:val="22"/>
          <w:szCs w:val="22"/>
          <w:bdr w:val="none" w:sz="0" w:space="0" w:color="auto" w:frame="1"/>
        </w:rPr>
        <w:t xml:space="preserve"> (Q.E.P.D) </w:t>
      </w:r>
      <w:r w:rsidR="002E1EDD" w:rsidRPr="00C238A9">
        <w:rPr>
          <w:rStyle w:val="xcontentpasted0"/>
          <w:rFonts w:ascii="Arial" w:hAnsi="Arial" w:cs="Arial"/>
          <w:sz w:val="22"/>
          <w:szCs w:val="22"/>
          <w:bdr w:val="none" w:sz="0" w:space="0" w:color="auto" w:frame="1"/>
        </w:rPr>
        <w:t>presta cobertura material y temporal</w:t>
      </w:r>
      <w:r w:rsidRPr="00C238A9">
        <w:rPr>
          <w:rFonts w:ascii="Arial" w:hAnsi="Arial" w:cs="Arial"/>
          <w:color w:val="5A6573"/>
          <w:spacing w:val="2"/>
          <w:sz w:val="22"/>
          <w:szCs w:val="22"/>
          <w:shd w:val="clear" w:color="auto" w:fill="FFFFFF"/>
        </w:rPr>
        <w:t xml:space="preserve"> </w:t>
      </w:r>
      <w:r w:rsidRPr="00C238A9">
        <w:rPr>
          <w:rFonts w:ascii="Arial" w:hAnsi="Arial" w:cs="Arial"/>
          <w:sz w:val="22"/>
          <w:szCs w:val="22"/>
          <w:bdr w:val="none" w:sz="0" w:space="0" w:color="auto" w:frame="1"/>
        </w:rPr>
        <w:t>de conformidad con los hechos y pretensiones expuestas en el líbelo de la demanda.</w:t>
      </w:r>
      <w:r w:rsidRPr="00C238A9">
        <w:rPr>
          <w:rStyle w:val="xcontentpasted0"/>
          <w:rFonts w:ascii="Arial" w:hAnsi="Arial" w:cs="Arial"/>
          <w:sz w:val="22"/>
          <w:szCs w:val="22"/>
          <w:bdr w:val="none" w:sz="0" w:space="0" w:color="auto" w:frame="1"/>
        </w:rPr>
        <w:t xml:space="preserve"> Frente a la cobertura</w:t>
      </w:r>
      <w:r w:rsidR="00AE6470" w:rsidRPr="00C238A9">
        <w:rPr>
          <w:rStyle w:val="xcontentpasted0"/>
          <w:rFonts w:ascii="Arial" w:hAnsi="Arial" w:cs="Arial"/>
          <w:sz w:val="22"/>
          <w:szCs w:val="22"/>
          <w:bdr w:val="none" w:sz="0" w:space="0" w:color="auto" w:frame="1"/>
        </w:rPr>
        <w:t xml:space="preserve"> material </w:t>
      </w:r>
      <w:r w:rsidRPr="00C238A9">
        <w:rPr>
          <w:rStyle w:val="xcontentpasted0"/>
          <w:rFonts w:ascii="Arial" w:hAnsi="Arial" w:cs="Arial"/>
          <w:sz w:val="22"/>
          <w:szCs w:val="22"/>
          <w:bdr w:val="none" w:sz="0" w:space="0" w:color="auto" w:frame="1"/>
        </w:rPr>
        <w:t xml:space="preserve">debe indicarse que ampara el fallecimiento del asegurado, el cual ocurrió el 24 de marzo de 2025. Aunado a ello presta cobertura </w:t>
      </w:r>
      <w:r w:rsidR="00AE6470" w:rsidRPr="00C238A9">
        <w:rPr>
          <w:rStyle w:val="xcontentpasted0"/>
          <w:rFonts w:ascii="Arial" w:hAnsi="Arial" w:cs="Arial"/>
          <w:sz w:val="22"/>
          <w:szCs w:val="22"/>
          <w:bdr w:val="none" w:sz="0" w:space="0" w:color="auto" w:frame="1"/>
        </w:rPr>
        <w:t xml:space="preserve">temporal debido a que, la póliza referida inicio </w:t>
      </w:r>
      <w:r w:rsidRPr="00C238A9">
        <w:rPr>
          <w:rStyle w:val="xcontentpasted0"/>
          <w:rFonts w:ascii="Arial" w:hAnsi="Arial" w:cs="Arial"/>
          <w:sz w:val="22"/>
          <w:szCs w:val="22"/>
          <w:bdr w:val="none" w:sz="0" w:space="0" w:color="auto" w:frame="1"/>
        </w:rPr>
        <w:t xml:space="preserve">su vigencia </w:t>
      </w:r>
      <w:r w:rsidR="00AE6470" w:rsidRPr="00C238A9">
        <w:rPr>
          <w:rStyle w:val="xcontentpasted0"/>
          <w:rFonts w:ascii="Arial" w:hAnsi="Arial" w:cs="Arial"/>
          <w:sz w:val="22"/>
          <w:szCs w:val="22"/>
          <w:bdr w:val="none" w:sz="0" w:space="0" w:color="auto" w:frame="1"/>
        </w:rPr>
        <w:t xml:space="preserve">el </w:t>
      </w:r>
      <w:r w:rsidR="00BF2614" w:rsidRPr="00C238A9">
        <w:rPr>
          <w:rStyle w:val="xcontentpasted0"/>
          <w:rFonts w:ascii="Arial" w:hAnsi="Arial" w:cs="Arial"/>
          <w:sz w:val="22"/>
          <w:szCs w:val="22"/>
          <w:bdr w:val="none" w:sz="0" w:space="0" w:color="auto" w:frame="1"/>
        </w:rPr>
        <w:t>día 07 de octubre de 2019</w:t>
      </w:r>
      <w:r w:rsidRPr="00C238A9">
        <w:rPr>
          <w:rStyle w:val="xcontentpasted0"/>
          <w:rFonts w:ascii="Arial" w:hAnsi="Arial" w:cs="Arial"/>
          <w:sz w:val="22"/>
          <w:szCs w:val="22"/>
          <w:bdr w:val="none" w:sz="0" w:space="0" w:color="auto" w:frame="1"/>
        </w:rPr>
        <w:t xml:space="preserve"> y culminó</w:t>
      </w:r>
      <w:r w:rsidR="00AE6470" w:rsidRPr="00C238A9">
        <w:rPr>
          <w:rStyle w:val="xcontentpasted0"/>
          <w:rFonts w:ascii="Arial" w:hAnsi="Arial" w:cs="Arial"/>
          <w:sz w:val="22"/>
          <w:szCs w:val="22"/>
          <w:bdr w:val="none" w:sz="0" w:space="0" w:color="auto" w:frame="1"/>
        </w:rPr>
        <w:t xml:space="preserve"> el </w:t>
      </w:r>
      <w:r w:rsidR="00AE6470" w:rsidRPr="00C238A9">
        <w:rPr>
          <w:rStyle w:val="xcontentpasted0"/>
          <w:rFonts w:ascii="Arial" w:hAnsi="Arial" w:cs="Arial"/>
          <w:sz w:val="22"/>
          <w:szCs w:val="22"/>
          <w:bdr w:val="none" w:sz="0" w:space="0" w:color="auto" w:frame="1"/>
        </w:rPr>
        <w:lastRenderedPageBreak/>
        <w:t xml:space="preserve">08 de mayo del 2025, </w:t>
      </w:r>
      <w:r w:rsidR="00BF2614" w:rsidRPr="00C238A9">
        <w:rPr>
          <w:rStyle w:val="xcontentpasted0"/>
          <w:rFonts w:ascii="Arial" w:hAnsi="Arial" w:cs="Arial"/>
          <w:sz w:val="22"/>
          <w:szCs w:val="22"/>
          <w:bdr w:val="none" w:sz="0" w:space="0" w:color="auto" w:frame="1"/>
        </w:rPr>
        <w:t>por lo que el fallecimiento del asegurado</w:t>
      </w:r>
      <w:r w:rsidR="00B261B3" w:rsidRPr="00C238A9">
        <w:rPr>
          <w:rStyle w:val="xcontentpasted0"/>
          <w:rFonts w:ascii="Arial" w:hAnsi="Arial" w:cs="Arial"/>
          <w:sz w:val="22"/>
          <w:szCs w:val="22"/>
          <w:bdr w:val="none" w:sz="0" w:space="0" w:color="auto" w:frame="1"/>
        </w:rPr>
        <w:t xml:space="preserve"> </w:t>
      </w:r>
      <w:r w:rsidR="00BF2614" w:rsidRPr="00C238A9">
        <w:rPr>
          <w:rStyle w:val="xcontentpasted0"/>
          <w:rFonts w:ascii="Arial" w:hAnsi="Arial" w:cs="Arial"/>
          <w:sz w:val="22"/>
          <w:szCs w:val="22"/>
          <w:bdr w:val="none" w:sz="0" w:space="0" w:color="auto" w:frame="1"/>
        </w:rPr>
        <w:t>(</w:t>
      </w:r>
      <w:r w:rsidR="00AE6470" w:rsidRPr="00C238A9">
        <w:rPr>
          <w:rFonts w:ascii="Arial" w:eastAsia="Times New Roman" w:hAnsi="Arial" w:cs="Arial"/>
          <w:color w:val="000000"/>
          <w:sz w:val="22"/>
          <w:szCs w:val="22"/>
          <w:bdr w:val="none" w:sz="0" w:space="0" w:color="auto" w:frame="1"/>
        </w:rPr>
        <w:t>24 de marzo del 2025</w:t>
      </w:r>
      <w:r w:rsidR="00BF2614" w:rsidRPr="00C238A9">
        <w:rPr>
          <w:rStyle w:val="xcontentpasted0"/>
          <w:rFonts w:ascii="Arial" w:hAnsi="Arial" w:cs="Arial"/>
          <w:sz w:val="22"/>
          <w:szCs w:val="22"/>
          <w:bdr w:val="none" w:sz="0" w:space="0" w:color="auto" w:frame="1"/>
        </w:rPr>
        <w:t>) se encuentra dentro de los límites temporales de la póliza.</w:t>
      </w:r>
    </w:p>
    <w:p w14:paraId="4D59725A" w14:textId="77777777" w:rsidR="00B260B7" w:rsidRPr="00C238A9" w:rsidRDefault="00B260B7" w:rsidP="002E1EDD">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436F51FE" w14:textId="77777777" w:rsidR="006B5A81" w:rsidRPr="00C238A9" w:rsidRDefault="006B5A81" w:rsidP="00B260B7">
      <w:pPr>
        <w:pStyle w:val="xmsonormal"/>
        <w:shd w:val="clear" w:color="auto" w:fill="FFFFFF"/>
        <w:spacing w:before="0" w:beforeAutospacing="0" w:after="0" w:afterAutospacing="0" w:line="276" w:lineRule="auto"/>
        <w:jc w:val="both"/>
        <w:rPr>
          <w:rFonts w:ascii="Arial" w:hAnsi="Arial" w:cs="Arial"/>
          <w:sz w:val="22"/>
          <w:szCs w:val="22"/>
        </w:rPr>
      </w:pPr>
    </w:p>
    <w:p w14:paraId="6097386A" w14:textId="50E14DCE" w:rsidR="00BC049B" w:rsidRPr="00C238A9" w:rsidRDefault="00FF6992" w:rsidP="006B5A81">
      <w:pPr>
        <w:pStyle w:val="xmsonormal"/>
        <w:shd w:val="clear" w:color="auto" w:fill="FFFFFF"/>
        <w:spacing w:before="0" w:beforeAutospacing="0" w:after="0" w:afterAutospacing="0" w:line="276" w:lineRule="auto"/>
        <w:jc w:val="both"/>
        <w:rPr>
          <w:rFonts w:ascii="Arial" w:hAnsi="Arial" w:cs="Arial"/>
          <w:sz w:val="22"/>
          <w:szCs w:val="22"/>
        </w:rPr>
      </w:pPr>
      <w:r w:rsidRPr="00C238A9">
        <w:rPr>
          <w:rFonts w:ascii="Arial" w:hAnsi="Arial" w:cs="Arial"/>
          <w:sz w:val="22"/>
          <w:szCs w:val="22"/>
        </w:rPr>
        <w:t>Por otro lado</w:t>
      </w:r>
      <w:r w:rsidR="00B261B3" w:rsidRPr="00C238A9">
        <w:rPr>
          <w:rFonts w:ascii="Arial" w:hAnsi="Arial" w:cs="Arial"/>
          <w:sz w:val="22"/>
          <w:szCs w:val="22"/>
        </w:rPr>
        <w:t xml:space="preserve">, </w:t>
      </w:r>
      <w:r w:rsidR="00BF2614" w:rsidRPr="00C238A9">
        <w:rPr>
          <w:rFonts w:ascii="Arial" w:hAnsi="Arial" w:cs="Arial"/>
          <w:sz w:val="22"/>
          <w:szCs w:val="22"/>
        </w:rPr>
        <w:t>en atención a las políticas de la Compañía de Seguros y sin perjuicio de los riesgos inherentes al proceso derivados de las posturas desarrolladas por la Corte Constitucional en sede de tutela y de la acreditación tanto del cumplimiento del deber de información, como de la consecuencia negocial diferencial (elemento subjetivo Art. 1058 C.Co.). se debe indicar que dependerá del debate probatorio la</w:t>
      </w:r>
      <w:r w:rsidR="001320F4" w:rsidRPr="00C238A9">
        <w:rPr>
          <w:rFonts w:ascii="Arial" w:hAnsi="Arial" w:cs="Arial"/>
          <w:sz w:val="22"/>
          <w:szCs w:val="22"/>
        </w:rPr>
        <w:t xml:space="preserve"> demostración de la reticencia en la que incurrió la asegurado al momento de la firma o suscripción de la declaración de asegurabilidad, </w:t>
      </w:r>
      <w:r w:rsidR="00BF2614" w:rsidRPr="00C238A9">
        <w:rPr>
          <w:rFonts w:ascii="Arial" w:hAnsi="Arial" w:cs="Arial"/>
          <w:sz w:val="22"/>
          <w:szCs w:val="22"/>
        </w:rPr>
        <w:t xml:space="preserve">pues </w:t>
      </w:r>
      <w:r w:rsidR="001320F4" w:rsidRPr="00C238A9">
        <w:rPr>
          <w:rFonts w:ascii="Arial" w:hAnsi="Arial" w:cs="Arial"/>
          <w:sz w:val="22"/>
          <w:szCs w:val="22"/>
        </w:rPr>
        <w:t>lo cierto es que, hasta este momento, al interior del proceso no obran elementos de juicio que permitan acreditar que, de haber conocido la existencia de las patologías de Hipertensión Esencial primaria, y de Enfermedad Cardiaca Hipertensiva sin insuficiencia cardiaca</w:t>
      </w:r>
      <w:r w:rsidR="001320F4" w:rsidRPr="00C238A9">
        <w:rPr>
          <w:rFonts w:ascii="Arial" w:hAnsi="Arial" w:cs="Arial"/>
          <w:bCs/>
          <w:i/>
          <w:iCs/>
          <w:sz w:val="22"/>
          <w:szCs w:val="22"/>
          <w:shd w:val="clear" w:color="auto" w:fill="FFFFFF"/>
          <w:lang w:val="es-ES_tradnl" w:eastAsia="es-ES"/>
        </w:rPr>
        <w:t xml:space="preserve">, </w:t>
      </w:r>
      <w:r w:rsidR="001320F4" w:rsidRPr="00C238A9">
        <w:rPr>
          <w:rFonts w:ascii="Arial" w:hAnsi="Arial" w:cs="Arial"/>
          <w:bCs/>
          <w:sz w:val="22"/>
          <w:szCs w:val="22"/>
          <w:shd w:val="clear" w:color="auto" w:fill="FFFFFF"/>
          <w:lang w:val="es-ES_tradnl" w:eastAsia="es-ES"/>
        </w:rPr>
        <w:t xml:space="preserve">lo que sustenta el dicho </w:t>
      </w:r>
      <w:r w:rsidR="00676278" w:rsidRPr="00C238A9">
        <w:rPr>
          <w:rFonts w:ascii="Arial" w:hAnsi="Arial" w:cs="Arial"/>
          <w:bCs/>
          <w:sz w:val="22"/>
          <w:szCs w:val="22"/>
          <w:shd w:val="clear" w:color="auto" w:fill="FFFFFF"/>
          <w:lang w:val="es-ES_tradnl" w:eastAsia="es-ES"/>
        </w:rPr>
        <w:t xml:space="preserve">que </w:t>
      </w:r>
      <w:r w:rsidR="001320F4" w:rsidRPr="00C238A9">
        <w:rPr>
          <w:rFonts w:ascii="Arial" w:hAnsi="Arial" w:cs="Arial"/>
          <w:bCs/>
          <w:sz w:val="22"/>
          <w:szCs w:val="22"/>
          <w:shd w:val="clear" w:color="auto" w:fill="FFFFFF"/>
          <w:lang w:val="es-ES_tradnl" w:eastAsia="es-ES"/>
        </w:rPr>
        <w:t xml:space="preserve">de haber conocido la </w:t>
      </w:r>
      <w:r w:rsidR="00BC049B" w:rsidRPr="00C238A9">
        <w:rPr>
          <w:rFonts w:ascii="Arial" w:hAnsi="Arial" w:cs="Arial"/>
          <w:bCs/>
          <w:sz w:val="22"/>
          <w:szCs w:val="22"/>
          <w:shd w:val="clear" w:color="auto" w:fill="FFFFFF"/>
          <w:lang w:val="es-ES_tradnl" w:eastAsia="es-ES"/>
        </w:rPr>
        <w:t>compañía dicha situación,</w:t>
      </w:r>
      <w:r w:rsidR="001320F4" w:rsidRPr="00C238A9">
        <w:rPr>
          <w:rFonts w:ascii="Arial" w:hAnsi="Arial" w:cs="Arial"/>
          <w:sz w:val="22"/>
          <w:szCs w:val="22"/>
        </w:rPr>
        <w:t xml:space="preserve"> el contrato de seguro no se hubiera celebrado o se habría contratado en condiciones más onerosas</w:t>
      </w:r>
      <w:r w:rsidR="00B261B3" w:rsidRPr="00C238A9">
        <w:rPr>
          <w:rFonts w:ascii="Arial" w:hAnsi="Arial" w:cs="Arial"/>
          <w:sz w:val="22"/>
          <w:szCs w:val="22"/>
        </w:rPr>
        <w:t>;</w:t>
      </w:r>
      <w:r w:rsidR="00BC049B" w:rsidRPr="00C238A9">
        <w:rPr>
          <w:rFonts w:ascii="Arial" w:hAnsi="Arial" w:cs="Arial"/>
          <w:sz w:val="22"/>
          <w:szCs w:val="22"/>
        </w:rPr>
        <w:t xml:space="preserve"> no obstante dentro de la solicitudes probatorias, se pidió tanto el aporte de la historia clínica por parte de la accionante, como por parte de la Dirección de Sanidad y Ministerio de Defensa, </w:t>
      </w:r>
      <w:r w:rsidR="00676278" w:rsidRPr="00C238A9">
        <w:rPr>
          <w:rFonts w:ascii="Arial" w:hAnsi="Arial" w:cs="Arial"/>
          <w:sz w:val="22"/>
          <w:szCs w:val="22"/>
        </w:rPr>
        <w:t xml:space="preserve"> así como también se solicitó el </w:t>
      </w:r>
      <w:proofErr w:type="spellStart"/>
      <w:r w:rsidR="00676278" w:rsidRPr="00C238A9">
        <w:rPr>
          <w:rFonts w:ascii="Arial" w:hAnsi="Arial" w:cs="Arial"/>
          <w:sz w:val="22"/>
          <w:szCs w:val="22"/>
        </w:rPr>
        <w:t>decretp</w:t>
      </w:r>
      <w:proofErr w:type="spellEnd"/>
      <w:r w:rsidR="00676278" w:rsidRPr="00C238A9">
        <w:rPr>
          <w:rFonts w:ascii="Arial" w:hAnsi="Arial" w:cs="Arial"/>
          <w:sz w:val="22"/>
          <w:szCs w:val="22"/>
        </w:rPr>
        <w:t xml:space="preserve"> de un dictamen pericial rendido por experto médico, que tiene como fin acreditar la relevancia de las patologías antes enunciadas</w:t>
      </w:r>
      <w:r w:rsidR="00BC049B" w:rsidRPr="00C238A9">
        <w:rPr>
          <w:rFonts w:ascii="Arial" w:hAnsi="Arial" w:cs="Arial"/>
          <w:sz w:val="22"/>
          <w:szCs w:val="22"/>
        </w:rPr>
        <w:t xml:space="preserve">; con lo cual </w:t>
      </w:r>
      <w:r w:rsidR="00B261B3" w:rsidRPr="00C238A9">
        <w:rPr>
          <w:rFonts w:ascii="Arial" w:hAnsi="Arial" w:cs="Arial"/>
          <w:sz w:val="22"/>
          <w:szCs w:val="22"/>
        </w:rPr>
        <w:t>saldría avante</w:t>
      </w:r>
      <w:r w:rsidRPr="00C238A9">
        <w:rPr>
          <w:rFonts w:ascii="Arial" w:hAnsi="Arial" w:cs="Arial"/>
          <w:sz w:val="22"/>
          <w:szCs w:val="22"/>
        </w:rPr>
        <w:t xml:space="preserve"> dar aplicación al artículo 1058 del código de comercio el cual consagra la nulidad del contrato de seguro como consecuencia de la reticencia del asegurado, no obstante, dicha concepción deberá debatirse y probarse en el trámite del proceso. </w:t>
      </w:r>
    </w:p>
    <w:p w14:paraId="7BB369EE" w14:textId="77777777" w:rsidR="00BC049B" w:rsidRPr="00C238A9" w:rsidRDefault="00BC049B" w:rsidP="006B5A81">
      <w:pPr>
        <w:pStyle w:val="xmsonormal"/>
        <w:shd w:val="clear" w:color="auto" w:fill="FFFFFF"/>
        <w:spacing w:before="0" w:beforeAutospacing="0" w:after="0" w:afterAutospacing="0" w:line="276" w:lineRule="auto"/>
        <w:jc w:val="both"/>
        <w:rPr>
          <w:rFonts w:ascii="Arial" w:hAnsi="Arial" w:cs="Arial"/>
          <w:sz w:val="22"/>
          <w:szCs w:val="22"/>
        </w:rPr>
      </w:pPr>
    </w:p>
    <w:p w14:paraId="51D58C7D" w14:textId="5F2E92D4" w:rsidR="00676278" w:rsidRPr="00C238A9" w:rsidRDefault="00FF6992" w:rsidP="006B5A81">
      <w:pPr>
        <w:pStyle w:val="xmsonormal"/>
        <w:shd w:val="clear" w:color="auto" w:fill="FFFFFF"/>
        <w:spacing w:before="0" w:beforeAutospacing="0" w:after="0" w:afterAutospacing="0" w:line="276" w:lineRule="auto"/>
        <w:jc w:val="both"/>
        <w:rPr>
          <w:rFonts w:ascii="Arial" w:hAnsi="Arial" w:cs="Arial"/>
          <w:sz w:val="22"/>
          <w:szCs w:val="22"/>
        </w:rPr>
      </w:pPr>
      <w:r w:rsidRPr="00C238A9">
        <w:rPr>
          <w:rFonts w:ascii="Arial" w:hAnsi="Arial" w:cs="Arial"/>
          <w:sz w:val="22"/>
          <w:szCs w:val="22"/>
        </w:rPr>
        <w:t xml:space="preserve">Sin perjuicio de lo anterior, </w:t>
      </w:r>
      <w:r w:rsidR="00676278" w:rsidRPr="00C238A9">
        <w:rPr>
          <w:rFonts w:ascii="Arial" w:hAnsi="Arial" w:cs="Arial"/>
          <w:sz w:val="22"/>
          <w:szCs w:val="22"/>
        </w:rPr>
        <w:t>debe indicarse que si bien</w:t>
      </w:r>
      <w:r w:rsidRPr="00C238A9">
        <w:rPr>
          <w:rFonts w:ascii="Arial" w:hAnsi="Arial" w:cs="Arial"/>
          <w:sz w:val="22"/>
          <w:szCs w:val="22"/>
        </w:rPr>
        <w:t xml:space="preserve"> la excepción de nulidad relativa esta prescrita</w:t>
      </w:r>
      <w:r w:rsidR="00BC049B" w:rsidRPr="00C238A9">
        <w:rPr>
          <w:rStyle w:val="xcontentpasted0"/>
          <w:rFonts w:ascii="Arial" w:hAnsi="Arial" w:cs="Arial"/>
          <w:sz w:val="22"/>
          <w:szCs w:val="22"/>
          <w:bdr w:val="none" w:sz="0" w:space="0" w:color="auto" w:frame="1"/>
        </w:rPr>
        <w:t xml:space="preserve"> para la póliza grupo deudores </w:t>
      </w:r>
      <w:r w:rsidR="00BC049B" w:rsidRPr="00C238A9">
        <w:rPr>
          <w:rFonts w:ascii="Arial" w:eastAsia="Times New Roman" w:hAnsi="Arial" w:cs="Arial"/>
          <w:color w:val="000000"/>
          <w:sz w:val="22"/>
          <w:szCs w:val="22"/>
          <w:bdr w:val="none" w:sz="0" w:space="0" w:color="auto" w:frame="1"/>
        </w:rPr>
        <w:t xml:space="preserve">No. 02-219-0000331344, toda vez que, la solicitud fue asegurabilidad tuvo como fecha el </w:t>
      </w:r>
      <w:r w:rsidR="00E217CA" w:rsidRPr="00C238A9">
        <w:rPr>
          <w:rFonts w:ascii="Arial" w:eastAsia="Times New Roman" w:hAnsi="Arial" w:cs="Arial"/>
          <w:color w:val="000000"/>
          <w:sz w:val="22"/>
          <w:szCs w:val="22"/>
          <w:bdr w:val="none" w:sz="0" w:space="0" w:color="auto" w:frame="1"/>
        </w:rPr>
        <w:t>25 de septiembre del 2019</w:t>
      </w:r>
      <w:r w:rsidRPr="00C238A9">
        <w:rPr>
          <w:rFonts w:ascii="Arial" w:hAnsi="Arial" w:cs="Arial"/>
          <w:sz w:val="22"/>
          <w:szCs w:val="22"/>
        </w:rPr>
        <w:t xml:space="preserve">. No obstante, la nulidad relativa fue alegada via excepción </w:t>
      </w:r>
      <w:r w:rsidR="006B5A81" w:rsidRPr="00C238A9">
        <w:rPr>
          <w:rFonts w:ascii="Arial" w:hAnsi="Arial" w:cs="Arial"/>
          <w:sz w:val="22"/>
          <w:szCs w:val="22"/>
        </w:rPr>
        <w:t xml:space="preserve">sino hasta el </w:t>
      </w:r>
      <w:r w:rsidR="00E217CA" w:rsidRPr="00C238A9">
        <w:rPr>
          <w:rFonts w:ascii="Arial" w:hAnsi="Arial" w:cs="Arial"/>
          <w:sz w:val="22"/>
          <w:szCs w:val="22"/>
        </w:rPr>
        <w:t>8 de julio</w:t>
      </w:r>
      <w:r w:rsidRPr="00C238A9">
        <w:rPr>
          <w:rFonts w:ascii="Arial" w:hAnsi="Arial" w:cs="Arial"/>
          <w:sz w:val="22"/>
          <w:szCs w:val="22"/>
        </w:rPr>
        <w:t xml:space="preserve"> de </w:t>
      </w:r>
      <w:r w:rsidR="006B5A81" w:rsidRPr="00C238A9">
        <w:rPr>
          <w:rFonts w:ascii="Arial" w:hAnsi="Arial" w:cs="Arial"/>
          <w:sz w:val="22"/>
          <w:szCs w:val="22"/>
        </w:rPr>
        <w:t>2025</w:t>
      </w:r>
      <w:r w:rsidRPr="00C238A9">
        <w:rPr>
          <w:rFonts w:ascii="Arial" w:hAnsi="Arial" w:cs="Arial"/>
          <w:sz w:val="22"/>
          <w:szCs w:val="22"/>
        </w:rPr>
        <w:t>, esto es, más de cinco años despues de formalizado cada uno de los contratos de seguro</w:t>
      </w:r>
      <w:r w:rsidR="00676278" w:rsidRPr="00C238A9">
        <w:rPr>
          <w:rFonts w:ascii="Arial" w:hAnsi="Arial" w:cs="Arial"/>
          <w:sz w:val="22"/>
          <w:szCs w:val="22"/>
        </w:rPr>
        <w:t>, lo cierto es que la</w:t>
      </w:r>
      <w:r w:rsidRPr="00C238A9">
        <w:rPr>
          <w:rFonts w:ascii="Arial" w:hAnsi="Arial" w:cs="Arial"/>
          <w:sz w:val="22"/>
          <w:szCs w:val="22"/>
        </w:rPr>
        <w:t xml:space="preserve"> prescripción no fue alegada en el escrito de demanda</w:t>
      </w:r>
      <w:r w:rsidR="00676278" w:rsidRPr="00C238A9">
        <w:rPr>
          <w:rFonts w:ascii="Arial" w:hAnsi="Arial" w:cs="Arial"/>
          <w:sz w:val="22"/>
          <w:szCs w:val="22"/>
        </w:rPr>
        <w:t>.</w:t>
      </w:r>
    </w:p>
    <w:p w14:paraId="75DC2E85" w14:textId="77777777" w:rsidR="006B5A81" w:rsidRPr="00C238A9" w:rsidRDefault="006B5A81" w:rsidP="009174B7">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p>
    <w:p w14:paraId="2EAF3985" w14:textId="747CE14D" w:rsidR="002D7792" w:rsidRPr="00C238A9" w:rsidRDefault="002D7792" w:rsidP="009174B7">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r w:rsidRPr="00C238A9">
        <w:rPr>
          <w:rStyle w:val="xcontentpasted0"/>
          <w:rFonts w:ascii="Arial" w:hAnsi="Arial" w:cs="Arial"/>
          <w:sz w:val="22"/>
          <w:szCs w:val="22"/>
          <w:bdr w:val="none" w:sz="0" w:space="0" w:color="auto" w:frame="1"/>
          <w:shd w:val="clear" w:color="auto" w:fill="FFFFFF"/>
        </w:rPr>
        <w:t>Lo anterior sin perjuicio del carácter contingente del proceso.</w:t>
      </w:r>
    </w:p>
    <w:p w14:paraId="45D84036" w14:textId="74369E99" w:rsidR="003915D6" w:rsidRPr="00C238A9" w:rsidRDefault="003915D6" w:rsidP="009174B7">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142438E1" w14:textId="77777777" w:rsidR="003915D6" w:rsidRPr="00C238A9" w:rsidRDefault="003915D6" w:rsidP="009174B7">
      <w:pPr>
        <w:pStyle w:val="xmsonormal"/>
        <w:shd w:val="clear" w:color="auto" w:fill="FFFFFF"/>
        <w:spacing w:before="0" w:beforeAutospacing="0" w:after="0" w:afterAutospacing="0" w:line="276" w:lineRule="auto"/>
        <w:jc w:val="center"/>
        <w:rPr>
          <w:rFonts w:ascii="Arial" w:hAnsi="Arial" w:cs="Arial"/>
          <w:sz w:val="22"/>
          <w:szCs w:val="22"/>
          <w:u w:val="single"/>
        </w:rPr>
      </w:pPr>
      <w:r w:rsidRPr="00C238A9">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C238A9" w:rsidRDefault="003915D6" w:rsidP="009174B7">
      <w:pPr>
        <w:pStyle w:val="xmsonormal"/>
        <w:shd w:val="clear" w:color="auto" w:fill="FFFFFF"/>
        <w:spacing w:before="0" w:beforeAutospacing="0" w:after="0" w:afterAutospacing="0" w:line="276" w:lineRule="auto"/>
        <w:jc w:val="both"/>
        <w:rPr>
          <w:rFonts w:ascii="Arial" w:hAnsi="Arial" w:cs="Arial"/>
          <w:sz w:val="22"/>
          <w:szCs w:val="22"/>
        </w:rPr>
      </w:pPr>
      <w:r w:rsidRPr="00C238A9">
        <w:rPr>
          <w:rFonts w:ascii="Arial" w:hAnsi="Arial" w:cs="Arial"/>
          <w:b/>
          <w:bCs/>
          <w:sz w:val="22"/>
          <w:szCs w:val="22"/>
          <w:bdr w:val="none" w:sz="0" w:space="0" w:color="auto" w:frame="1"/>
        </w:rPr>
        <w:t> </w:t>
      </w:r>
    </w:p>
    <w:p w14:paraId="78606B99" w14:textId="77777777" w:rsidR="006B5A81" w:rsidRPr="00C238A9" w:rsidRDefault="006B5A81" w:rsidP="009174B7">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1D42AAEF" w14:textId="576EB521" w:rsidR="006B5A81" w:rsidRPr="00C238A9" w:rsidRDefault="006B5A81" w:rsidP="006B5A81">
      <w:pPr>
        <w:pStyle w:val="xmsonormal"/>
        <w:shd w:val="clear" w:color="auto" w:fill="FFFFFF"/>
        <w:spacing w:before="0" w:beforeAutospacing="0" w:after="0" w:afterAutospacing="0" w:line="276" w:lineRule="auto"/>
        <w:jc w:val="both"/>
        <w:rPr>
          <w:rStyle w:val="xcontentpasted0"/>
          <w:rFonts w:ascii="Arial" w:hAnsi="Arial" w:cs="Arial"/>
          <w:sz w:val="22"/>
          <w:szCs w:val="22"/>
        </w:rPr>
      </w:pPr>
      <w:r w:rsidRPr="00C238A9">
        <w:rPr>
          <w:rStyle w:val="xcontentpasted0"/>
          <w:rFonts w:ascii="Arial" w:hAnsi="Arial" w:cs="Arial"/>
          <w:sz w:val="22"/>
          <w:szCs w:val="22"/>
        </w:rPr>
        <w:t xml:space="preserve">Con base en los datos proporcionados a través de la remisión de antecedentes, se procede a realizar la liquidación objetiva de las pretensiones teniendo en cuenta </w:t>
      </w:r>
      <w:r w:rsidR="00E217CA" w:rsidRPr="00C238A9">
        <w:rPr>
          <w:rStyle w:val="xcontentpasted0"/>
          <w:rFonts w:ascii="Arial" w:hAnsi="Arial" w:cs="Arial"/>
          <w:sz w:val="22"/>
          <w:szCs w:val="22"/>
        </w:rPr>
        <w:t xml:space="preserve">el valor </w:t>
      </w:r>
      <w:r w:rsidRPr="00C238A9">
        <w:rPr>
          <w:rStyle w:val="xcontentpasted0"/>
          <w:rFonts w:ascii="Arial" w:hAnsi="Arial" w:cs="Arial"/>
          <w:sz w:val="22"/>
          <w:szCs w:val="22"/>
        </w:rPr>
        <w:t xml:space="preserve"> asegurados según las certificaciones remitidas, más los intereses moratorios causados desde el mes siguiente a la fecha en que se realizó la reclamación</w:t>
      </w:r>
      <w:r w:rsidR="00844E5F" w:rsidRPr="00C238A9">
        <w:rPr>
          <w:rStyle w:val="xcontentpasted0"/>
          <w:rFonts w:ascii="Arial" w:hAnsi="Arial" w:cs="Arial"/>
          <w:sz w:val="22"/>
          <w:szCs w:val="22"/>
        </w:rPr>
        <w:t>.</w:t>
      </w:r>
    </w:p>
    <w:p w14:paraId="21A454EA" w14:textId="77777777" w:rsidR="006B5A81" w:rsidRPr="00C238A9" w:rsidRDefault="006B5A81" w:rsidP="006B5A81">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734B4FFC" w14:textId="2684F185" w:rsidR="00337FD7" w:rsidRPr="00C238A9" w:rsidRDefault="006B5A81" w:rsidP="003F6C51">
      <w:pPr>
        <w:pStyle w:val="xmsonormal"/>
        <w:numPr>
          <w:ilvl w:val="0"/>
          <w:numId w:val="31"/>
        </w:numPr>
        <w:shd w:val="clear" w:color="auto" w:fill="FFFFFF"/>
        <w:spacing w:before="0" w:beforeAutospacing="0" w:after="0" w:afterAutospacing="0" w:line="276" w:lineRule="auto"/>
        <w:jc w:val="both"/>
        <w:rPr>
          <w:rFonts w:ascii="Arial" w:hAnsi="Arial" w:cs="Arial"/>
          <w:b/>
          <w:bCs/>
          <w:color w:val="000000" w:themeColor="text1"/>
          <w:sz w:val="22"/>
          <w:szCs w:val="22"/>
        </w:rPr>
      </w:pPr>
      <w:r w:rsidRPr="00C238A9">
        <w:rPr>
          <w:rFonts w:ascii="Arial" w:hAnsi="Arial" w:cs="Arial"/>
          <w:b/>
          <w:bCs/>
          <w:color w:val="000000" w:themeColor="text1"/>
          <w:sz w:val="22"/>
          <w:szCs w:val="22"/>
        </w:rPr>
        <w:t>Póliza de Seguro de Vida Grupo Deudores No.</w:t>
      </w:r>
      <w:r w:rsidRPr="00C238A9">
        <w:rPr>
          <w:rFonts w:ascii="Arial" w:hAnsi="Arial" w:cs="Arial"/>
          <w:b/>
          <w:bCs/>
          <w:sz w:val="22"/>
          <w:szCs w:val="22"/>
        </w:rPr>
        <w:t xml:space="preserve"> </w:t>
      </w:r>
      <w:r w:rsidR="00E217CA" w:rsidRPr="00C238A9">
        <w:rPr>
          <w:rFonts w:ascii="Arial" w:eastAsia="Times New Roman" w:hAnsi="Arial" w:cs="Arial"/>
          <w:color w:val="000000"/>
          <w:sz w:val="22"/>
          <w:szCs w:val="22"/>
          <w:bdr w:val="none" w:sz="0" w:space="0" w:color="auto" w:frame="1"/>
        </w:rPr>
        <w:t>02-219-0000331344</w:t>
      </w:r>
    </w:p>
    <w:p w14:paraId="0575A2AA" w14:textId="77777777" w:rsidR="00E217CA" w:rsidRPr="00C238A9" w:rsidRDefault="00E217CA" w:rsidP="00E217CA">
      <w:pPr>
        <w:pStyle w:val="xmsonormal"/>
        <w:shd w:val="clear" w:color="auto" w:fill="FFFFFF"/>
        <w:spacing w:before="0" w:beforeAutospacing="0" w:after="0" w:afterAutospacing="0" w:line="276" w:lineRule="auto"/>
        <w:ind w:left="360"/>
        <w:jc w:val="both"/>
        <w:rPr>
          <w:rFonts w:ascii="Arial" w:hAnsi="Arial" w:cs="Arial"/>
          <w:b/>
          <w:bCs/>
          <w:color w:val="000000" w:themeColor="text1"/>
          <w:sz w:val="22"/>
          <w:szCs w:val="22"/>
        </w:rPr>
      </w:pPr>
    </w:p>
    <w:p w14:paraId="782081FE" w14:textId="24ECAE56" w:rsidR="00337FD7" w:rsidRPr="00C238A9" w:rsidRDefault="00337FD7" w:rsidP="00337FD7">
      <w:pPr>
        <w:pStyle w:val="xmsonormal"/>
        <w:numPr>
          <w:ilvl w:val="0"/>
          <w:numId w:val="26"/>
        </w:numPr>
        <w:shd w:val="clear" w:color="auto" w:fill="FFFFFF"/>
        <w:spacing w:before="0" w:beforeAutospacing="0" w:after="0" w:afterAutospacing="0" w:line="276" w:lineRule="auto"/>
        <w:jc w:val="both"/>
        <w:rPr>
          <w:rFonts w:ascii="Arial" w:hAnsi="Arial" w:cs="Arial"/>
          <w:sz w:val="22"/>
          <w:szCs w:val="22"/>
        </w:rPr>
      </w:pPr>
      <w:r w:rsidRPr="00C238A9">
        <w:rPr>
          <w:rStyle w:val="xcontentpasted0"/>
          <w:rFonts w:ascii="Arial" w:hAnsi="Arial" w:cs="Arial"/>
          <w:b/>
          <w:bCs/>
          <w:sz w:val="22"/>
          <w:szCs w:val="22"/>
        </w:rPr>
        <w:lastRenderedPageBreak/>
        <w:t>Valor Asegurado:</w:t>
      </w:r>
      <w:r w:rsidRPr="00C238A9">
        <w:rPr>
          <w:rStyle w:val="xcontentpasted0"/>
          <w:rFonts w:ascii="Arial" w:hAnsi="Arial" w:cs="Arial"/>
          <w:sz w:val="22"/>
          <w:szCs w:val="22"/>
        </w:rPr>
        <w:t xml:space="preserve"> La suma de </w:t>
      </w:r>
      <w:r w:rsidR="00897764" w:rsidRPr="00C238A9">
        <w:rPr>
          <w:rFonts w:ascii="Arial" w:hAnsi="Arial" w:cs="Arial"/>
          <w:sz w:val="22"/>
          <w:szCs w:val="22"/>
        </w:rPr>
        <w:t xml:space="preserve">$193,000,000.00, </w:t>
      </w:r>
      <w:r w:rsidRPr="00C238A9">
        <w:rPr>
          <w:rFonts w:ascii="Arial" w:eastAsia="Times New Roman" w:hAnsi="Arial" w:cs="Arial"/>
          <w:color w:val="000000"/>
          <w:sz w:val="22"/>
          <w:szCs w:val="22"/>
          <w:bdr w:val="none" w:sz="0" w:space="0" w:color="auto" w:frame="1"/>
          <w:lang w:val="es-ES" w:eastAsia="es-MX"/>
        </w:rPr>
        <w:t xml:space="preserve">conforme a certificación emitida por la aseguradora con corte al </w:t>
      </w:r>
      <w:r w:rsidR="00897764" w:rsidRPr="00C238A9">
        <w:rPr>
          <w:rFonts w:ascii="Arial" w:eastAsia="Times New Roman" w:hAnsi="Arial" w:cs="Arial"/>
          <w:color w:val="000000"/>
          <w:sz w:val="22"/>
          <w:szCs w:val="22"/>
          <w:bdr w:val="none" w:sz="0" w:space="0" w:color="auto" w:frame="1"/>
          <w:lang w:val="es-ES" w:eastAsia="es-MX"/>
        </w:rPr>
        <w:t>24 de junio del 2025</w:t>
      </w:r>
      <w:r w:rsidR="00DB4CC3" w:rsidRPr="00C238A9">
        <w:rPr>
          <w:rFonts w:ascii="Arial" w:eastAsia="Times New Roman" w:hAnsi="Arial" w:cs="Arial"/>
          <w:color w:val="000000"/>
          <w:sz w:val="22"/>
          <w:szCs w:val="22"/>
          <w:bdr w:val="none" w:sz="0" w:space="0" w:color="auto" w:frame="1"/>
          <w:lang w:val="es-ES" w:eastAsia="es-MX"/>
        </w:rPr>
        <w:t xml:space="preserve"> </w:t>
      </w:r>
      <w:r w:rsidRPr="00C238A9">
        <w:rPr>
          <w:rFonts w:ascii="Arial" w:eastAsia="Times New Roman" w:hAnsi="Arial" w:cs="Arial"/>
          <w:color w:val="000000"/>
          <w:sz w:val="22"/>
          <w:szCs w:val="22"/>
          <w:bdr w:val="none" w:sz="0" w:space="0" w:color="auto" w:frame="1"/>
          <w:lang w:val="es-ES" w:eastAsia="es-MX"/>
        </w:rPr>
        <w:t xml:space="preserve">y que fue remitida con los antecedentes. </w:t>
      </w:r>
    </w:p>
    <w:p w14:paraId="1227D487" w14:textId="77777777" w:rsidR="00337FD7" w:rsidRPr="00C238A9" w:rsidRDefault="00337FD7" w:rsidP="00337FD7">
      <w:pPr>
        <w:pStyle w:val="xmsonormal"/>
        <w:shd w:val="clear" w:color="auto" w:fill="FFFFFF"/>
        <w:spacing w:before="0" w:beforeAutospacing="0" w:after="0" w:afterAutospacing="0" w:line="276" w:lineRule="auto"/>
        <w:ind w:left="720"/>
        <w:jc w:val="both"/>
        <w:rPr>
          <w:rFonts w:ascii="Arial" w:hAnsi="Arial" w:cs="Arial"/>
          <w:sz w:val="22"/>
          <w:szCs w:val="22"/>
        </w:rPr>
      </w:pPr>
    </w:p>
    <w:p w14:paraId="1D10FE36" w14:textId="26E8E273" w:rsidR="00337FD7" w:rsidRPr="00C238A9" w:rsidRDefault="00337FD7" w:rsidP="00337FD7">
      <w:pPr>
        <w:pStyle w:val="xmsonormal"/>
        <w:numPr>
          <w:ilvl w:val="0"/>
          <w:numId w:val="26"/>
        </w:numPr>
        <w:shd w:val="clear" w:color="auto" w:fill="FFFFFF"/>
        <w:spacing w:before="0" w:beforeAutospacing="0" w:after="0" w:afterAutospacing="0" w:line="276" w:lineRule="auto"/>
        <w:jc w:val="both"/>
        <w:rPr>
          <w:rFonts w:ascii="Arial" w:hAnsi="Arial" w:cs="Arial"/>
          <w:sz w:val="22"/>
          <w:szCs w:val="22"/>
        </w:rPr>
      </w:pPr>
      <w:r w:rsidRPr="00C238A9">
        <w:rPr>
          <w:rStyle w:val="xcontentpasted0"/>
          <w:rFonts w:ascii="Arial" w:hAnsi="Arial" w:cs="Arial"/>
          <w:b/>
          <w:bCs/>
          <w:sz w:val="22"/>
          <w:szCs w:val="22"/>
        </w:rPr>
        <w:t>Intereses de mora:</w:t>
      </w:r>
      <w:r w:rsidRPr="00C238A9">
        <w:rPr>
          <w:rFonts w:ascii="Arial" w:hAnsi="Arial" w:cs="Arial"/>
          <w:sz w:val="22"/>
          <w:szCs w:val="22"/>
        </w:rPr>
        <w:t xml:space="preserve"> Se tendrá en cuenta la suma de </w:t>
      </w:r>
      <w:r w:rsidR="00897764" w:rsidRPr="00C238A9">
        <w:rPr>
          <w:rStyle w:val="xcontentpasted0"/>
          <w:rFonts w:ascii="Arial" w:hAnsi="Arial" w:cs="Arial"/>
          <w:sz w:val="22"/>
          <w:szCs w:val="22"/>
        </w:rPr>
        <w:t>$4.830.826</w:t>
      </w:r>
      <w:r w:rsidRPr="00C238A9">
        <w:rPr>
          <w:rFonts w:ascii="Arial" w:hAnsi="Arial" w:cs="Arial"/>
          <w:sz w:val="22"/>
          <w:szCs w:val="22"/>
        </w:rPr>
        <w:t xml:space="preserve"> por concepto de intereses de mora. </w:t>
      </w:r>
      <w:r w:rsidR="00844E5F" w:rsidRPr="00C238A9">
        <w:rPr>
          <w:rFonts w:ascii="Arial" w:hAnsi="Arial" w:cs="Arial"/>
          <w:sz w:val="22"/>
          <w:szCs w:val="22"/>
        </w:rPr>
        <w:t xml:space="preserve">Este valor se calculó </w:t>
      </w:r>
      <w:r w:rsidR="00844E5F" w:rsidRPr="00C238A9">
        <w:rPr>
          <w:rStyle w:val="xcontentpasted0"/>
          <w:rFonts w:ascii="Arial" w:hAnsi="Arial" w:cs="Arial"/>
          <w:sz w:val="22"/>
          <w:szCs w:val="22"/>
        </w:rPr>
        <w:t>a partir del 2</w:t>
      </w:r>
      <w:r w:rsidR="00897764" w:rsidRPr="00C238A9">
        <w:rPr>
          <w:rStyle w:val="xcontentpasted0"/>
          <w:rFonts w:ascii="Arial" w:hAnsi="Arial" w:cs="Arial"/>
          <w:sz w:val="22"/>
          <w:szCs w:val="22"/>
        </w:rPr>
        <w:t>1</w:t>
      </w:r>
      <w:r w:rsidR="00844E5F" w:rsidRPr="00C238A9">
        <w:rPr>
          <w:rStyle w:val="xcontentpasted0"/>
          <w:rFonts w:ascii="Arial" w:hAnsi="Arial" w:cs="Arial"/>
          <w:sz w:val="22"/>
          <w:szCs w:val="22"/>
        </w:rPr>
        <w:t xml:space="preserve"> de </w:t>
      </w:r>
      <w:r w:rsidR="00897764" w:rsidRPr="00C238A9">
        <w:rPr>
          <w:rStyle w:val="xcontentpasted0"/>
          <w:rFonts w:ascii="Arial" w:hAnsi="Arial" w:cs="Arial"/>
          <w:sz w:val="22"/>
          <w:szCs w:val="22"/>
        </w:rPr>
        <w:t>mayo</w:t>
      </w:r>
      <w:r w:rsidR="00844E5F" w:rsidRPr="00C238A9">
        <w:rPr>
          <w:rStyle w:val="xcontentpasted0"/>
          <w:rFonts w:ascii="Arial" w:hAnsi="Arial" w:cs="Arial"/>
          <w:sz w:val="22"/>
          <w:szCs w:val="22"/>
        </w:rPr>
        <w:t xml:space="preserve"> de 20</w:t>
      </w:r>
      <w:r w:rsidR="00897764" w:rsidRPr="00C238A9">
        <w:rPr>
          <w:rStyle w:val="xcontentpasted0"/>
          <w:rFonts w:ascii="Arial" w:hAnsi="Arial" w:cs="Arial"/>
          <w:sz w:val="22"/>
          <w:szCs w:val="22"/>
        </w:rPr>
        <w:t>25</w:t>
      </w:r>
      <w:r w:rsidR="00844E5F" w:rsidRPr="00C238A9">
        <w:rPr>
          <w:rStyle w:val="xcontentpasted0"/>
          <w:rFonts w:ascii="Arial" w:hAnsi="Arial" w:cs="Arial"/>
          <w:sz w:val="22"/>
          <w:szCs w:val="22"/>
        </w:rPr>
        <w:t xml:space="preserve"> (un mes </w:t>
      </w:r>
      <w:r w:rsidR="00897764" w:rsidRPr="00C238A9">
        <w:rPr>
          <w:rStyle w:val="xcontentpasted0"/>
          <w:rFonts w:ascii="Arial" w:hAnsi="Arial" w:cs="Arial"/>
          <w:sz w:val="22"/>
          <w:szCs w:val="22"/>
        </w:rPr>
        <w:t>después</w:t>
      </w:r>
      <w:r w:rsidR="00844E5F" w:rsidRPr="00C238A9">
        <w:rPr>
          <w:rStyle w:val="xcontentpasted0"/>
          <w:rFonts w:ascii="Arial" w:hAnsi="Arial" w:cs="Arial"/>
          <w:sz w:val="22"/>
          <w:szCs w:val="22"/>
        </w:rPr>
        <w:t xml:space="preserve"> de la fecha de reclamación</w:t>
      </w:r>
      <w:r w:rsidR="00897764" w:rsidRPr="00C238A9">
        <w:rPr>
          <w:rStyle w:val="xcontentpasted0"/>
          <w:rFonts w:ascii="Arial" w:hAnsi="Arial" w:cs="Arial"/>
          <w:sz w:val="22"/>
          <w:szCs w:val="22"/>
        </w:rPr>
        <w:t xml:space="preserve"> </w:t>
      </w:r>
      <w:r w:rsidR="00844E5F" w:rsidRPr="00C238A9">
        <w:rPr>
          <w:rStyle w:val="xcontentpasted0"/>
          <w:rFonts w:ascii="Arial" w:hAnsi="Arial" w:cs="Arial"/>
          <w:sz w:val="22"/>
          <w:szCs w:val="22"/>
        </w:rPr>
        <w:t xml:space="preserve"> y hasta la fecha de presentación de este informe (</w:t>
      </w:r>
      <w:r w:rsidR="00897764" w:rsidRPr="00C238A9">
        <w:rPr>
          <w:rStyle w:val="xcontentpasted0"/>
          <w:rFonts w:ascii="Arial" w:hAnsi="Arial" w:cs="Arial"/>
          <w:sz w:val="22"/>
          <w:szCs w:val="22"/>
        </w:rPr>
        <w:t>1</w:t>
      </w:r>
      <w:r w:rsidR="00676278" w:rsidRPr="00C238A9">
        <w:rPr>
          <w:rStyle w:val="xcontentpasted0"/>
          <w:rFonts w:ascii="Arial" w:hAnsi="Arial" w:cs="Arial"/>
          <w:sz w:val="22"/>
          <w:szCs w:val="22"/>
        </w:rPr>
        <w:t>4</w:t>
      </w:r>
      <w:r w:rsidR="00844E5F" w:rsidRPr="00C238A9">
        <w:rPr>
          <w:rStyle w:val="xcontentpasted0"/>
          <w:rFonts w:ascii="Arial" w:hAnsi="Arial" w:cs="Arial"/>
          <w:sz w:val="22"/>
          <w:szCs w:val="22"/>
        </w:rPr>
        <w:t xml:space="preserve"> de</w:t>
      </w:r>
      <w:r w:rsidR="00897764" w:rsidRPr="00C238A9">
        <w:rPr>
          <w:rStyle w:val="xcontentpasted0"/>
          <w:rFonts w:ascii="Arial" w:hAnsi="Arial" w:cs="Arial"/>
          <w:sz w:val="22"/>
          <w:szCs w:val="22"/>
        </w:rPr>
        <w:t xml:space="preserve"> julio</w:t>
      </w:r>
      <w:r w:rsidR="00844E5F" w:rsidRPr="00C238A9">
        <w:rPr>
          <w:rStyle w:val="xcontentpasted0"/>
          <w:rFonts w:ascii="Arial" w:hAnsi="Arial" w:cs="Arial"/>
          <w:sz w:val="22"/>
          <w:szCs w:val="22"/>
        </w:rPr>
        <w:t xml:space="preserve"> de 2025).</w:t>
      </w:r>
    </w:p>
    <w:p w14:paraId="2FF515D1" w14:textId="77777777" w:rsidR="00337FD7" w:rsidRPr="00C238A9" w:rsidRDefault="00337FD7" w:rsidP="00337FD7">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6852AF3E" w14:textId="2AC80787" w:rsidR="00337FD7" w:rsidRPr="00C238A9" w:rsidRDefault="00337FD7" w:rsidP="00337FD7">
      <w:pPr>
        <w:shd w:val="clear" w:color="auto" w:fill="FFFFFF"/>
        <w:ind w:left="360"/>
        <w:jc w:val="both"/>
        <w:rPr>
          <w:rFonts w:ascii="Arial" w:eastAsia="Times New Roman" w:hAnsi="Arial" w:cs="Arial"/>
          <w:color w:val="000000"/>
          <w:lang w:eastAsia="es-MX"/>
        </w:rPr>
      </w:pPr>
      <w:r w:rsidRPr="00C238A9">
        <w:rPr>
          <w:rFonts w:ascii="Arial" w:eastAsia="Times New Roman" w:hAnsi="Arial" w:cs="Arial"/>
          <w:color w:val="000000"/>
          <w:bdr w:val="none" w:sz="0" w:space="0" w:color="auto" w:frame="1"/>
          <w:lang w:val="es-ES" w:eastAsia="es-MX"/>
        </w:rPr>
        <w:t xml:space="preserve">Fecha inicial intereses: </w:t>
      </w:r>
      <w:r w:rsidR="00897764" w:rsidRPr="00C238A9">
        <w:rPr>
          <w:rStyle w:val="xcontentpasted0"/>
          <w:rFonts w:ascii="Arial" w:hAnsi="Arial" w:cs="Arial"/>
        </w:rPr>
        <w:t>21 de mayo de 2025</w:t>
      </w:r>
    </w:p>
    <w:p w14:paraId="4719BFD4" w14:textId="4F441B03" w:rsidR="00337FD7" w:rsidRPr="00C238A9" w:rsidRDefault="00337FD7" w:rsidP="00337FD7">
      <w:pPr>
        <w:shd w:val="clear" w:color="auto" w:fill="FFFFFF"/>
        <w:ind w:left="360"/>
        <w:jc w:val="both"/>
        <w:rPr>
          <w:rFonts w:ascii="Arial" w:eastAsia="Times New Roman" w:hAnsi="Arial" w:cs="Arial"/>
          <w:color w:val="000000"/>
          <w:lang w:eastAsia="es-MX"/>
        </w:rPr>
      </w:pPr>
      <w:r w:rsidRPr="00C238A9">
        <w:rPr>
          <w:rFonts w:ascii="Arial" w:eastAsia="Times New Roman" w:hAnsi="Arial" w:cs="Arial"/>
          <w:color w:val="000000"/>
          <w:bdr w:val="none" w:sz="0" w:space="0" w:color="auto" w:frame="1"/>
          <w:lang w:val="es-ES" w:eastAsia="es-MX"/>
        </w:rPr>
        <w:t xml:space="preserve">Fecha final intereses: </w:t>
      </w:r>
      <w:r w:rsidR="00897764" w:rsidRPr="00C238A9">
        <w:rPr>
          <w:rStyle w:val="xcontentpasted0"/>
          <w:rFonts w:ascii="Arial" w:hAnsi="Arial" w:cs="Arial"/>
        </w:rPr>
        <w:t>1</w:t>
      </w:r>
      <w:r w:rsidR="00676278" w:rsidRPr="00C238A9">
        <w:rPr>
          <w:rStyle w:val="xcontentpasted0"/>
          <w:rFonts w:ascii="Arial" w:hAnsi="Arial" w:cs="Arial"/>
        </w:rPr>
        <w:t>4</w:t>
      </w:r>
      <w:r w:rsidR="00897764" w:rsidRPr="00C238A9">
        <w:rPr>
          <w:rStyle w:val="xcontentpasted0"/>
          <w:rFonts w:ascii="Arial" w:hAnsi="Arial" w:cs="Arial"/>
        </w:rPr>
        <w:t xml:space="preserve"> de julio de 2025</w:t>
      </w:r>
    </w:p>
    <w:p w14:paraId="41E10DD8" w14:textId="36AD7E8C" w:rsidR="00337FD7" w:rsidRPr="00C238A9" w:rsidRDefault="00337FD7" w:rsidP="00337FD7">
      <w:pPr>
        <w:pStyle w:val="xmsonormal"/>
        <w:shd w:val="clear" w:color="auto" w:fill="FFFFFF"/>
        <w:spacing w:before="0" w:beforeAutospacing="0" w:after="0" w:afterAutospacing="0" w:line="276" w:lineRule="auto"/>
        <w:ind w:left="360"/>
        <w:jc w:val="both"/>
        <w:rPr>
          <w:rStyle w:val="xcontentpasted0"/>
          <w:rFonts w:ascii="Arial" w:hAnsi="Arial" w:cs="Arial"/>
          <w:sz w:val="22"/>
          <w:szCs w:val="22"/>
        </w:rPr>
      </w:pPr>
      <w:r w:rsidRPr="00C238A9">
        <w:rPr>
          <w:rFonts w:ascii="Arial" w:eastAsia="Times New Roman" w:hAnsi="Arial" w:cs="Arial"/>
          <w:color w:val="000000"/>
          <w:sz w:val="22"/>
          <w:szCs w:val="22"/>
          <w:bdr w:val="none" w:sz="0" w:space="0" w:color="auto" w:frame="1"/>
          <w:lang w:val="es-ES" w:eastAsia="es-MX"/>
        </w:rPr>
        <w:t xml:space="preserve">Intereses moratorios: </w:t>
      </w:r>
      <w:r w:rsidR="00897764" w:rsidRPr="00C238A9">
        <w:rPr>
          <w:rStyle w:val="xcontentpasted0"/>
          <w:rFonts w:ascii="Arial" w:hAnsi="Arial" w:cs="Arial"/>
          <w:sz w:val="22"/>
          <w:szCs w:val="22"/>
        </w:rPr>
        <w:t>$4.830.826</w:t>
      </w:r>
    </w:p>
    <w:p w14:paraId="71DCEB89" w14:textId="5B53E6F5" w:rsidR="00337FD7" w:rsidRPr="00C238A9" w:rsidRDefault="00337FD7" w:rsidP="00337FD7">
      <w:pPr>
        <w:pStyle w:val="xmsonormal"/>
        <w:shd w:val="clear" w:color="auto" w:fill="FFFFFF"/>
        <w:spacing w:before="0" w:beforeAutospacing="0" w:after="0" w:afterAutospacing="0" w:line="276" w:lineRule="auto"/>
        <w:ind w:left="360"/>
        <w:jc w:val="both"/>
        <w:rPr>
          <w:rFonts w:ascii="Arial" w:hAnsi="Arial" w:cs="Arial"/>
          <w:sz w:val="22"/>
          <w:szCs w:val="22"/>
          <w:u w:val="single"/>
        </w:rPr>
      </w:pPr>
      <w:r w:rsidRPr="00C238A9">
        <w:rPr>
          <w:rStyle w:val="xcontentpasted0"/>
          <w:rFonts w:ascii="Arial" w:hAnsi="Arial" w:cs="Arial"/>
          <w:sz w:val="22"/>
          <w:szCs w:val="22"/>
          <w:u w:val="single"/>
        </w:rPr>
        <w:t>Total Capital e Intereses: $</w:t>
      </w:r>
      <w:r w:rsidR="00897764" w:rsidRPr="00C238A9">
        <w:rPr>
          <w:rStyle w:val="xcontentpasted0"/>
          <w:rFonts w:ascii="Arial" w:hAnsi="Arial" w:cs="Arial"/>
          <w:sz w:val="22"/>
          <w:szCs w:val="22"/>
          <w:u w:val="single"/>
        </w:rPr>
        <w:t>197.830.826</w:t>
      </w:r>
    </w:p>
    <w:p w14:paraId="41B74AB0" w14:textId="77777777" w:rsidR="00337FD7" w:rsidRPr="00C238A9" w:rsidRDefault="00337FD7" w:rsidP="009174B7">
      <w:pPr>
        <w:pStyle w:val="xmsonormal"/>
        <w:shd w:val="clear" w:color="auto" w:fill="FFFFFF"/>
        <w:spacing w:before="0" w:beforeAutospacing="0" w:after="0" w:afterAutospacing="0" w:line="276" w:lineRule="auto"/>
        <w:jc w:val="both"/>
        <w:rPr>
          <w:rFonts w:ascii="Arial" w:hAnsi="Arial" w:cs="Arial"/>
          <w:sz w:val="22"/>
          <w:szCs w:val="22"/>
        </w:rPr>
      </w:pPr>
    </w:p>
    <w:p w14:paraId="6A492006" w14:textId="77777777" w:rsidR="00337FD7" w:rsidRPr="00C238A9" w:rsidRDefault="00337FD7" w:rsidP="009174B7">
      <w:pPr>
        <w:pStyle w:val="xmsonormal"/>
        <w:shd w:val="clear" w:color="auto" w:fill="FFFFFF"/>
        <w:spacing w:before="0" w:beforeAutospacing="0" w:after="0" w:afterAutospacing="0" w:line="276" w:lineRule="auto"/>
        <w:jc w:val="both"/>
        <w:rPr>
          <w:rFonts w:ascii="Arial" w:hAnsi="Arial" w:cs="Arial"/>
          <w:sz w:val="22"/>
          <w:szCs w:val="22"/>
        </w:rPr>
      </w:pPr>
    </w:p>
    <w:p w14:paraId="310E978A" w14:textId="7A280DF6" w:rsidR="003915D6" w:rsidRPr="00C238A9" w:rsidRDefault="003915D6" w:rsidP="009174B7">
      <w:pPr>
        <w:pStyle w:val="xmsonormal"/>
        <w:shd w:val="clear" w:color="auto" w:fill="FFFFFF"/>
        <w:spacing w:before="0" w:beforeAutospacing="0" w:after="0" w:afterAutospacing="0" w:line="276" w:lineRule="auto"/>
        <w:rPr>
          <w:rFonts w:ascii="Arial" w:hAnsi="Arial" w:cs="Arial"/>
          <w:sz w:val="22"/>
          <w:szCs w:val="22"/>
        </w:rPr>
      </w:pPr>
      <w:r w:rsidRPr="00C238A9">
        <w:rPr>
          <w:rFonts w:ascii="Arial" w:hAnsi="Arial" w:cs="Arial"/>
          <w:sz w:val="22"/>
          <w:szCs w:val="22"/>
        </w:rPr>
        <w:t> </w:t>
      </w:r>
      <w:r w:rsidRPr="00C238A9">
        <w:rPr>
          <w:rStyle w:val="xcontentpasted0"/>
          <w:rFonts w:ascii="Arial" w:hAnsi="Arial" w:cs="Arial"/>
          <w:sz w:val="22"/>
          <w:szCs w:val="22"/>
          <w:bdr w:val="none" w:sz="0" w:space="0" w:color="auto" w:frame="1"/>
        </w:rPr>
        <w:t>Adjunto los siguientes documentos:  </w:t>
      </w:r>
    </w:p>
    <w:p w14:paraId="17D869A5" w14:textId="77777777" w:rsidR="003915D6" w:rsidRPr="00C238A9" w:rsidRDefault="003915D6" w:rsidP="009174B7">
      <w:pPr>
        <w:pStyle w:val="xmsonormal"/>
        <w:shd w:val="clear" w:color="auto" w:fill="FFFFFF"/>
        <w:spacing w:before="0" w:beforeAutospacing="0" w:after="0" w:afterAutospacing="0" w:line="276" w:lineRule="auto"/>
        <w:jc w:val="both"/>
        <w:rPr>
          <w:rFonts w:ascii="Arial" w:hAnsi="Arial" w:cs="Arial"/>
          <w:sz w:val="22"/>
          <w:szCs w:val="22"/>
        </w:rPr>
      </w:pPr>
      <w:r w:rsidRPr="00C238A9">
        <w:rPr>
          <w:rStyle w:val="xcontentpasted0"/>
          <w:rFonts w:ascii="Arial" w:hAnsi="Arial" w:cs="Arial"/>
          <w:sz w:val="22"/>
          <w:szCs w:val="22"/>
          <w:bdr w:val="none" w:sz="0" w:space="0" w:color="auto" w:frame="1"/>
        </w:rPr>
        <w:t>  </w:t>
      </w:r>
    </w:p>
    <w:p w14:paraId="22D42BF9" w14:textId="6A2682AE" w:rsidR="00873046" w:rsidRPr="00C238A9" w:rsidRDefault="003915D6" w:rsidP="009174B7">
      <w:pPr>
        <w:pStyle w:val="xmsonormal"/>
        <w:numPr>
          <w:ilvl w:val="0"/>
          <w:numId w:val="11"/>
        </w:numPr>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r w:rsidRPr="00C238A9">
        <w:rPr>
          <w:rStyle w:val="xcontentpasted0"/>
          <w:rFonts w:ascii="Arial" w:hAnsi="Arial" w:cs="Arial"/>
          <w:sz w:val="22"/>
          <w:szCs w:val="22"/>
          <w:bdr w:val="none" w:sz="0" w:space="0" w:color="auto" w:frame="1"/>
        </w:rPr>
        <w:t>Contestación de la demanda</w:t>
      </w:r>
      <w:r w:rsidR="00873046" w:rsidRPr="00C238A9">
        <w:rPr>
          <w:rStyle w:val="xcontentpasted0"/>
          <w:rFonts w:ascii="Arial" w:hAnsi="Arial" w:cs="Arial"/>
          <w:sz w:val="22"/>
          <w:szCs w:val="22"/>
          <w:bdr w:val="none" w:sz="0" w:space="0" w:color="auto" w:frame="1"/>
        </w:rPr>
        <w:t>.</w:t>
      </w:r>
    </w:p>
    <w:p w14:paraId="6B3B6F37" w14:textId="11CBCB87" w:rsidR="00257BEF" w:rsidRPr="00C238A9" w:rsidRDefault="00873046" w:rsidP="009174B7">
      <w:pPr>
        <w:pStyle w:val="xmsonormal"/>
        <w:numPr>
          <w:ilvl w:val="0"/>
          <w:numId w:val="11"/>
        </w:numPr>
        <w:shd w:val="clear" w:color="auto" w:fill="FFFFFF"/>
        <w:spacing w:before="0" w:beforeAutospacing="0" w:after="0" w:afterAutospacing="0" w:line="276" w:lineRule="auto"/>
        <w:rPr>
          <w:rFonts w:ascii="Arial" w:hAnsi="Arial" w:cs="Arial"/>
          <w:sz w:val="22"/>
          <w:szCs w:val="22"/>
          <w:bdr w:val="none" w:sz="0" w:space="0" w:color="auto" w:frame="1"/>
        </w:rPr>
      </w:pPr>
      <w:r w:rsidRPr="00C238A9">
        <w:rPr>
          <w:rStyle w:val="xcontentpasted0"/>
          <w:rFonts w:ascii="Arial" w:hAnsi="Arial" w:cs="Arial"/>
          <w:sz w:val="22"/>
          <w:szCs w:val="22"/>
          <w:bdr w:val="none" w:sz="0" w:space="0" w:color="auto" w:frame="1"/>
        </w:rPr>
        <w:t>Anexos</w:t>
      </w:r>
      <w:r w:rsidR="00583C6B" w:rsidRPr="00C238A9">
        <w:rPr>
          <w:rStyle w:val="xcontentpasted0"/>
          <w:rFonts w:ascii="Arial" w:hAnsi="Arial" w:cs="Arial"/>
          <w:sz w:val="22"/>
          <w:szCs w:val="22"/>
          <w:bdr w:val="none" w:sz="0" w:space="0" w:color="auto" w:frame="1"/>
        </w:rPr>
        <w:t xml:space="preserve"> y pruebas de la contestación</w:t>
      </w:r>
      <w:r w:rsidRPr="00C238A9">
        <w:rPr>
          <w:rStyle w:val="xcontentpasted0"/>
          <w:rFonts w:ascii="Arial" w:hAnsi="Arial" w:cs="Arial"/>
          <w:sz w:val="22"/>
          <w:szCs w:val="22"/>
          <w:bdr w:val="none" w:sz="0" w:space="0" w:color="auto" w:frame="1"/>
        </w:rPr>
        <w:t>.</w:t>
      </w:r>
      <w:bookmarkEnd w:id="0"/>
    </w:p>
    <w:sectPr w:rsidR="00257BEF" w:rsidRPr="00C238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1AE"/>
    <w:multiLevelType w:val="multilevel"/>
    <w:tmpl w:val="5D1C84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8A34A9"/>
    <w:multiLevelType w:val="hybridMultilevel"/>
    <w:tmpl w:val="EB280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B4BE7"/>
    <w:multiLevelType w:val="multilevel"/>
    <w:tmpl w:val="501E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A7691"/>
    <w:multiLevelType w:val="hybridMultilevel"/>
    <w:tmpl w:val="B68474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3786E10"/>
    <w:multiLevelType w:val="multilevel"/>
    <w:tmpl w:val="33EEA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CE6411"/>
    <w:multiLevelType w:val="multilevel"/>
    <w:tmpl w:val="7644890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02041"/>
    <w:multiLevelType w:val="multilevel"/>
    <w:tmpl w:val="1EF2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67FCE"/>
    <w:multiLevelType w:val="hybridMultilevel"/>
    <w:tmpl w:val="7F904896"/>
    <w:lvl w:ilvl="0" w:tplc="29504C7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63116FE"/>
    <w:multiLevelType w:val="hybridMultilevel"/>
    <w:tmpl w:val="DDF46E10"/>
    <w:lvl w:ilvl="0" w:tplc="DB8E774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0F42E0"/>
    <w:multiLevelType w:val="hybridMultilevel"/>
    <w:tmpl w:val="E99CC5FA"/>
    <w:lvl w:ilvl="0" w:tplc="C2BC3DB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5433AD"/>
    <w:multiLevelType w:val="hybridMultilevel"/>
    <w:tmpl w:val="2EBC64D2"/>
    <w:lvl w:ilvl="0" w:tplc="3D845E6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88393C"/>
    <w:multiLevelType w:val="hybridMultilevel"/>
    <w:tmpl w:val="01E4E2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2E50C8"/>
    <w:multiLevelType w:val="multilevel"/>
    <w:tmpl w:val="C39A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A36191"/>
    <w:multiLevelType w:val="hybridMultilevel"/>
    <w:tmpl w:val="61B6216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58E0483A"/>
    <w:multiLevelType w:val="hybridMultilevel"/>
    <w:tmpl w:val="1F3E109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4F850BA"/>
    <w:multiLevelType w:val="hybridMultilevel"/>
    <w:tmpl w:val="78C0D2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75877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860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6875814">
    <w:abstractNumId w:val="15"/>
  </w:num>
  <w:num w:numId="4" w16cid:durableId="233901578">
    <w:abstractNumId w:val="5"/>
  </w:num>
  <w:num w:numId="5" w16cid:durableId="1386444263">
    <w:abstractNumId w:val="16"/>
  </w:num>
  <w:num w:numId="6" w16cid:durableId="873889529">
    <w:abstractNumId w:val="33"/>
  </w:num>
  <w:num w:numId="7" w16cid:durableId="178853989">
    <w:abstractNumId w:val="32"/>
  </w:num>
  <w:num w:numId="8" w16cid:durableId="182593793">
    <w:abstractNumId w:val="27"/>
  </w:num>
  <w:num w:numId="9" w16cid:durableId="1800949558">
    <w:abstractNumId w:val="29"/>
  </w:num>
  <w:num w:numId="10" w16cid:durableId="568928274">
    <w:abstractNumId w:val="25"/>
  </w:num>
  <w:num w:numId="11" w16cid:durableId="601961202">
    <w:abstractNumId w:val="30"/>
  </w:num>
  <w:num w:numId="12" w16cid:durableId="409498297">
    <w:abstractNumId w:val="31"/>
  </w:num>
  <w:num w:numId="13" w16cid:durableId="34695565">
    <w:abstractNumId w:val="1"/>
  </w:num>
  <w:num w:numId="14" w16cid:durableId="1068382858">
    <w:abstractNumId w:val="4"/>
  </w:num>
  <w:num w:numId="15" w16cid:durableId="1257716594">
    <w:abstractNumId w:val="21"/>
  </w:num>
  <w:num w:numId="16" w16cid:durableId="2123303719">
    <w:abstractNumId w:val="3"/>
  </w:num>
  <w:num w:numId="17" w16cid:durableId="708653515">
    <w:abstractNumId w:val="7"/>
  </w:num>
  <w:num w:numId="18" w16cid:durableId="1175724251">
    <w:abstractNumId w:val="11"/>
  </w:num>
  <w:num w:numId="19" w16cid:durableId="197860078">
    <w:abstractNumId w:val="8"/>
  </w:num>
  <w:num w:numId="20" w16cid:durableId="2071223206">
    <w:abstractNumId w:val="0"/>
  </w:num>
  <w:num w:numId="21" w16cid:durableId="113452047">
    <w:abstractNumId w:val="13"/>
  </w:num>
  <w:num w:numId="22" w16cid:durableId="106394178">
    <w:abstractNumId w:val="22"/>
  </w:num>
  <w:num w:numId="23" w16cid:durableId="1588809885">
    <w:abstractNumId w:val="26"/>
  </w:num>
  <w:num w:numId="24" w16cid:durableId="1338073309">
    <w:abstractNumId w:val="23"/>
  </w:num>
  <w:num w:numId="25" w16cid:durableId="77752594">
    <w:abstractNumId w:val="9"/>
  </w:num>
  <w:num w:numId="26" w16cid:durableId="362900635">
    <w:abstractNumId w:val="14"/>
  </w:num>
  <w:num w:numId="27" w16cid:durableId="880942185">
    <w:abstractNumId w:val="12"/>
  </w:num>
  <w:num w:numId="28" w16cid:durableId="152256828">
    <w:abstractNumId w:val="10"/>
  </w:num>
  <w:num w:numId="29" w16cid:durableId="241792226">
    <w:abstractNumId w:val="20"/>
  </w:num>
  <w:num w:numId="30" w16cid:durableId="1900631621">
    <w:abstractNumId w:val="24"/>
  </w:num>
  <w:num w:numId="31" w16cid:durableId="1472095338">
    <w:abstractNumId w:val="2"/>
  </w:num>
  <w:num w:numId="32" w16cid:durableId="1304891065">
    <w:abstractNumId w:val="17"/>
  </w:num>
  <w:num w:numId="33" w16cid:durableId="892430079">
    <w:abstractNumId w:val="19"/>
  </w:num>
  <w:num w:numId="34" w16cid:durableId="10943524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EF"/>
    <w:rsid w:val="00000744"/>
    <w:rsid w:val="00010F94"/>
    <w:rsid w:val="0002290E"/>
    <w:rsid w:val="000311ED"/>
    <w:rsid w:val="0003283A"/>
    <w:rsid w:val="00050318"/>
    <w:rsid w:val="000514C0"/>
    <w:rsid w:val="0005516E"/>
    <w:rsid w:val="000600BF"/>
    <w:rsid w:val="000A3A75"/>
    <w:rsid w:val="000F5063"/>
    <w:rsid w:val="00104E37"/>
    <w:rsid w:val="00124117"/>
    <w:rsid w:val="00124511"/>
    <w:rsid w:val="001320F4"/>
    <w:rsid w:val="00133EAC"/>
    <w:rsid w:val="0015210A"/>
    <w:rsid w:val="00157E1D"/>
    <w:rsid w:val="00194DDF"/>
    <w:rsid w:val="001A1A2A"/>
    <w:rsid w:val="001C71DC"/>
    <w:rsid w:val="001E0E2E"/>
    <w:rsid w:val="001F5346"/>
    <w:rsid w:val="00200380"/>
    <w:rsid w:val="002069A2"/>
    <w:rsid w:val="0021425C"/>
    <w:rsid w:val="00222274"/>
    <w:rsid w:val="002375EE"/>
    <w:rsid w:val="00237D1A"/>
    <w:rsid w:val="002463B8"/>
    <w:rsid w:val="0025747E"/>
    <w:rsid w:val="00257BEF"/>
    <w:rsid w:val="002643EE"/>
    <w:rsid w:val="00287020"/>
    <w:rsid w:val="00293F18"/>
    <w:rsid w:val="002A0FFF"/>
    <w:rsid w:val="002A71A8"/>
    <w:rsid w:val="002B3F06"/>
    <w:rsid w:val="002C2910"/>
    <w:rsid w:val="002D2053"/>
    <w:rsid w:val="002D7792"/>
    <w:rsid w:val="002D7D40"/>
    <w:rsid w:val="002E1EDD"/>
    <w:rsid w:val="00315732"/>
    <w:rsid w:val="00337FD7"/>
    <w:rsid w:val="003435FF"/>
    <w:rsid w:val="003442C8"/>
    <w:rsid w:val="003630CC"/>
    <w:rsid w:val="00364AF9"/>
    <w:rsid w:val="003810DD"/>
    <w:rsid w:val="003819C9"/>
    <w:rsid w:val="00385B17"/>
    <w:rsid w:val="00387D6D"/>
    <w:rsid w:val="003915D6"/>
    <w:rsid w:val="003E55E8"/>
    <w:rsid w:val="003E5A21"/>
    <w:rsid w:val="00401646"/>
    <w:rsid w:val="00407AB5"/>
    <w:rsid w:val="00451F57"/>
    <w:rsid w:val="004624F9"/>
    <w:rsid w:val="004631E1"/>
    <w:rsid w:val="00494E0D"/>
    <w:rsid w:val="004D0D08"/>
    <w:rsid w:val="004D52C5"/>
    <w:rsid w:val="004F0241"/>
    <w:rsid w:val="004F19EF"/>
    <w:rsid w:val="004F5126"/>
    <w:rsid w:val="004F565E"/>
    <w:rsid w:val="005724D5"/>
    <w:rsid w:val="00576419"/>
    <w:rsid w:val="00583C6B"/>
    <w:rsid w:val="00590B01"/>
    <w:rsid w:val="00602FEF"/>
    <w:rsid w:val="00606CD2"/>
    <w:rsid w:val="006338C9"/>
    <w:rsid w:val="006402AC"/>
    <w:rsid w:val="006705BA"/>
    <w:rsid w:val="00674D7A"/>
    <w:rsid w:val="00676278"/>
    <w:rsid w:val="00683F96"/>
    <w:rsid w:val="006B5A81"/>
    <w:rsid w:val="006F66BC"/>
    <w:rsid w:val="00707EAC"/>
    <w:rsid w:val="00753D4A"/>
    <w:rsid w:val="00774CC7"/>
    <w:rsid w:val="0078194D"/>
    <w:rsid w:val="007928DA"/>
    <w:rsid w:val="007A2EA1"/>
    <w:rsid w:val="007C4B9B"/>
    <w:rsid w:val="007E6A0D"/>
    <w:rsid w:val="007E6F36"/>
    <w:rsid w:val="007F198C"/>
    <w:rsid w:val="008102F5"/>
    <w:rsid w:val="00812E86"/>
    <w:rsid w:val="008145DA"/>
    <w:rsid w:val="00816D9C"/>
    <w:rsid w:val="0084055A"/>
    <w:rsid w:val="00844E5F"/>
    <w:rsid w:val="00865F63"/>
    <w:rsid w:val="008720CF"/>
    <w:rsid w:val="00873046"/>
    <w:rsid w:val="00877C92"/>
    <w:rsid w:val="00897764"/>
    <w:rsid w:val="008B0259"/>
    <w:rsid w:val="008F45EC"/>
    <w:rsid w:val="00906E6D"/>
    <w:rsid w:val="009174B7"/>
    <w:rsid w:val="00943946"/>
    <w:rsid w:val="00954B26"/>
    <w:rsid w:val="009550D2"/>
    <w:rsid w:val="00961568"/>
    <w:rsid w:val="009616F7"/>
    <w:rsid w:val="00964C10"/>
    <w:rsid w:val="009728E4"/>
    <w:rsid w:val="00981FC5"/>
    <w:rsid w:val="00990BE8"/>
    <w:rsid w:val="009D59A9"/>
    <w:rsid w:val="009F1F78"/>
    <w:rsid w:val="00A008A8"/>
    <w:rsid w:val="00A11BE5"/>
    <w:rsid w:val="00A24717"/>
    <w:rsid w:val="00A432F3"/>
    <w:rsid w:val="00A920A9"/>
    <w:rsid w:val="00AC0786"/>
    <w:rsid w:val="00AE6470"/>
    <w:rsid w:val="00AE7A05"/>
    <w:rsid w:val="00B076D6"/>
    <w:rsid w:val="00B260B7"/>
    <w:rsid w:val="00B261B3"/>
    <w:rsid w:val="00B660E7"/>
    <w:rsid w:val="00B66E1F"/>
    <w:rsid w:val="00B927FB"/>
    <w:rsid w:val="00BC049B"/>
    <w:rsid w:val="00BF2614"/>
    <w:rsid w:val="00C040A6"/>
    <w:rsid w:val="00C131BD"/>
    <w:rsid w:val="00C238A9"/>
    <w:rsid w:val="00C254F8"/>
    <w:rsid w:val="00C4280B"/>
    <w:rsid w:val="00C775EB"/>
    <w:rsid w:val="00C81656"/>
    <w:rsid w:val="00C90116"/>
    <w:rsid w:val="00C97B1F"/>
    <w:rsid w:val="00CA06AC"/>
    <w:rsid w:val="00CA0832"/>
    <w:rsid w:val="00CB2BDE"/>
    <w:rsid w:val="00CC52FE"/>
    <w:rsid w:val="00CD7DD2"/>
    <w:rsid w:val="00CF0879"/>
    <w:rsid w:val="00D13128"/>
    <w:rsid w:val="00D13475"/>
    <w:rsid w:val="00D24B1E"/>
    <w:rsid w:val="00D41D9D"/>
    <w:rsid w:val="00D460BA"/>
    <w:rsid w:val="00D46E18"/>
    <w:rsid w:val="00D906FC"/>
    <w:rsid w:val="00D96766"/>
    <w:rsid w:val="00D97FB2"/>
    <w:rsid w:val="00DA6226"/>
    <w:rsid w:val="00DB4CC3"/>
    <w:rsid w:val="00DF2E66"/>
    <w:rsid w:val="00DF7BA3"/>
    <w:rsid w:val="00E026C4"/>
    <w:rsid w:val="00E07874"/>
    <w:rsid w:val="00E1029E"/>
    <w:rsid w:val="00E116A7"/>
    <w:rsid w:val="00E217CA"/>
    <w:rsid w:val="00E26E54"/>
    <w:rsid w:val="00E475C7"/>
    <w:rsid w:val="00E500D9"/>
    <w:rsid w:val="00F14233"/>
    <w:rsid w:val="00F1563B"/>
    <w:rsid w:val="00F26D0B"/>
    <w:rsid w:val="00F3140D"/>
    <w:rsid w:val="00F32121"/>
    <w:rsid w:val="00F53705"/>
    <w:rsid w:val="00F860BE"/>
    <w:rsid w:val="00F90D20"/>
    <w:rsid w:val="00F92E46"/>
    <w:rsid w:val="00FA6444"/>
    <w:rsid w:val="00FC0915"/>
    <w:rsid w:val="00FF6517"/>
    <w:rsid w:val="00FF69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character" w:customStyle="1" w:styleId="markmm82wql7w">
    <w:name w:val="markmm82wql7w"/>
    <w:basedOn w:val="Fuentedeprrafopredeter"/>
    <w:rsid w:val="00F860BE"/>
  </w:style>
  <w:style w:type="character" w:customStyle="1" w:styleId="ui-provider">
    <w:name w:val="ui-provider"/>
    <w:basedOn w:val="Fuentedeprrafopredeter"/>
    <w:rsid w:val="0003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257100142">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634064618">
      <w:bodyDiv w:val="1"/>
      <w:marLeft w:val="0"/>
      <w:marRight w:val="0"/>
      <w:marTop w:val="0"/>
      <w:marBottom w:val="0"/>
      <w:divBdr>
        <w:top w:val="none" w:sz="0" w:space="0" w:color="auto"/>
        <w:left w:val="none" w:sz="0" w:space="0" w:color="auto"/>
        <w:bottom w:val="none" w:sz="0" w:space="0" w:color="auto"/>
        <w:right w:val="none" w:sz="0" w:space="0" w:color="auto"/>
      </w:divBdr>
      <w:divsChild>
        <w:div w:id="304168086">
          <w:marLeft w:val="0"/>
          <w:marRight w:val="0"/>
          <w:marTop w:val="0"/>
          <w:marBottom w:val="0"/>
          <w:divBdr>
            <w:top w:val="none" w:sz="0" w:space="0" w:color="auto"/>
            <w:left w:val="none" w:sz="0" w:space="0" w:color="auto"/>
            <w:bottom w:val="none" w:sz="0" w:space="0" w:color="auto"/>
            <w:right w:val="none" w:sz="0" w:space="0" w:color="auto"/>
          </w:divBdr>
        </w:div>
        <w:div w:id="1633441130">
          <w:marLeft w:val="0"/>
          <w:marRight w:val="0"/>
          <w:marTop w:val="0"/>
          <w:marBottom w:val="0"/>
          <w:divBdr>
            <w:top w:val="none" w:sz="0" w:space="0" w:color="auto"/>
            <w:left w:val="none" w:sz="0" w:space="0" w:color="auto"/>
            <w:bottom w:val="none" w:sz="0" w:space="0" w:color="auto"/>
            <w:right w:val="none" w:sz="0" w:space="0" w:color="auto"/>
          </w:divBdr>
        </w:div>
        <w:div w:id="1601058641">
          <w:marLeft w:val="0"/>
          <w:marRight w:val="0"/>
          <w:marTop w:val="0"/>
          <w:marBottom w:val="0"/>
          <w:divBdr>
            <w:top w:val="none" w:sz="0" w:space="0" w:color="auto"/>
            <w:left w:val="none" w:sz="0" w:space="0" w:color="auto"/>
            <w:bottom w:val="none" w:sz="0" w:space="0" w:color="auto"/>
            <w:right w:val="none" w:sz="0" w:space="0" w:color="auto"/>
          </w:divBdr>
        </w:div>
        <w:div w:id="817845299">
          <w:marLeft w:val="0"/>
          <w:marRight w:val="0"/>
          <w:marTop w:val="0"/>
          <w:marBottom w:val="0"/>
          <w:divBdr>
            <w:top w:val="none" w:sz="0" w:space="0" w:color="auto"/>
            <w:left w:val="none" w:sz="0" w:space="0" w:color="auto"/>
            <w:bottom w:val="none" w:sz="0" w:space="0" w:color="auto"/>
            <w:right w:val="none" w:sz="0" w:space="0" w:color="auto"/>
          </w:divBdr>
        </w:div>
        <w:div w:id="1428773066">
          <w:marLeft w:val="0"/>
          <w:marRight w:val="0"/>
          <w:marTop w:val="0"/>
          <w:marBottom w:val="0"/>
          <w:divBdr>
            <w:top w:val="none" w:sz="0" w:space="0" w:color="auto"/>
            <w:left w:val="none" w:sz="0" w:space="0" w:color="auto"/>
            <w:bottom w:val="none" w:sz="0" w:space="0" w:color="auto"/>
            <w:right w:val="none" w:sz="0" w:space="0" w:color="auto"/>
          </w:divBdr>
        </w:div>
        <w:div w:id="1657685609">
          <w:marLeft w:val="0"/>
          <w:marRight w:val="0"/>
          <w:marTop w:val="0"/>
          <w:marBottom w:val="0"/>
          <w:divBdr>
            <w:top w:val="none" w:sz="0" w:space="0" w:color="auto"/>
            <w:left w:val="none" w:sz="0" w:space="0" w:color="auto"/>
            <w:bottom w:val="none" w:sz="0" w:space="0" w:color="auto"/>
            <w:right w:val="none" w:sz="0" w:space="0" w:color="auto"/>
          </w:divBdr>
        </w:div>
        <w:div w:id="1448625449">
          <w:marLeft w:val="0"/>
          <w:marRight w:val="0"/>
          <w:marTop w:val="0"/>
          <w:marBottom w:val="0"/>
          <w:divBdr>
            <w:top w:val="none" w:sz="0" w:space="0" w:color="auto"/>
            <w:left w:val="none" w:sz="0" w:space="0" w:color="auto"/>
            <w:bottom w:val="none" w:sz="0" w:space="0" w:color="auto"/>
            <w:right w:val="none" w:sz="0" w:space="0" w:color="auto"/>
          </w:divBdr>
        </w:div>
        <w:div w:id="216625873">
          <w:marLeft w:val="0"/>
          <w:marRight w:val="0"/>
          <w:marTop w:val="0"/>
          <w:marBottom w:val="0"/>
          <w:divBdr>
            <w:top w:val="none" w:sz="0" w:space="0" w:color="auto"/>
            <w:left w:val="none" w:sz="0" w:space="0" w:color="auto"/>
            <w:bottom w:val="none" w:sz="0" w:space="0" w:color="auto"/>
            <w:right w:val="none" w:sz="0" w:space="0" w:color="auto"/>
          </w:divBdr>
        </w:div>
        <w:div w:id="1603688779">
          <w:marLeft w:val="0"/>
          <w:marRight w:val="0"/>
          <w:marTop w:val="0"/>
          <w:marBottom w:val="0"/>
          <w:divBdr>
            <w:top w:val="none" w:sz="0" w:space="0" w:color="auto"/>
            <w:left w:val="none" w:sz="0" w:space="0" w:color="auto"/>
            <w:bottom w:val="none" w:sz="0" w:space="0" w:color="auto"/>
            <w:right w:val="none" w:sz="0" w:space="0" w:color="auto"/>
          </w:divBdr>
        </w:div>
        <w:div w:id="587233166">
          <w:marLeft w:val="0"/>
          <w:marRight w:val="0"/>
          <w:marTop w:val="0"/>
          <w:marBottom w:val="0"/>
          <w:divBdr>
            <w:top w:val="none" w:sz="0" w:space="0" w:color="auto"/>
            <w:left w:val="none" w:sz="0" w:space="0" w:color="auto"/>
            <w:bottom w:val="none" w:sz="0" w:space="0" w:color="auto"/>
            <w:right w:val="none" w:sz="0" w:space="0" w:color="auto"/>
          </w:divBdr>
        </w:div>
        <w:div w:id="673649298">
          <w:marLeft w:val="0"/>
          <w:marRight w:val="0"/>
          <w:marTop w:val="0"/>
          <w:marBottom w:val="0"/>
          <w:divBdr>
            <w:top w:val="none" w:sz="0" w:space="0" w:color="auto"/>
            <w:left w:val="none" w:sz="0" w:space="0" w:color="auto"/>
            <w:bottom w:val="none" w:sz="0" w:space="0" w:color="auto"/>
            <w:right w:val="none" w:sz="0" w:space="0" w:color="auto"/>
          </w:divBdr>
        </w:div>
        <w:div w:id="1965043620">
          <w:marLeft w:val="0"/>
          <w:marRight w:val="0"/>
          <w:marTop w:val="0"/>
          <w:marBottom w:val="0"/>
          <w:divBdr>
            <w:top w:val="none" w:sz="0" w:space="0" w:color="auto"/>
            <w:left w:val="none" w:sz="0" w:space="0" w:color="auto"/>
            <w:bottom w:val="none" w:sz="0" w:space="0" w:color="auto"/>
            <w:right w:val="none" w:sz="0" w:space="0" w:color="auto"/>
          </w:divBdr>
        </w:div>
        <w:div w:id="777870435">
          <w:marLeft w:val="0"/>
          <w:marRight w:val="0"/>
          <w:marTop w:val="0"/>
          <w:marBottom w:val="0"/>
          <w:divBdr>
            <w:top w:val="none" w:sz="0" w:space="0" w:color="auto"/>
            <w:left w:val="none" w:sz="0" w:space="0" w:color="auto"/>
            <w:bottom w:val="none" w:sz="0" w:space="0" w:color="auto"/>
            <w:right w:val="none" w:sz="0" w:space="0" w:color="auto"/>
          </w:divBdr>
        </w:div>
        <w:div w:id="1388184737">
          <w:marLeft w:val="0"/>
          <w:marRight w:val="0"/>
          <w:marTop w:val="0"/>
          <w:marBottom w:val="0"/>
          <w:divBdr>
            <w:top w:val="none" w:sz="0" w:space="0" w:color="auto"/>
            <w:left w:val="none" w:sz="0" w:space="0" w:color="auto"/>
            <w:bottom w:val="none" w:sz="0" w:space="0" w:color="auto"/>
            <w:right w:val="none" w:sz="0" w:space="0" w:color="auto"/>
          </w:divBdr>
        </w:div>
      </w:divsChild>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866992156">
      <w:bodyDiv w:val="1"/>
      <w:marLeft w:val="0"/>
      <w:marRight w:val="0"/>
      <w:marTop w:val="0"/>
      <w:marBottom w:val="0"/>
      <w:divBdr>
        <w:top w:val="none" w:sz="0" w:space="0" w:color="auto"/>
        <w:left w:val="none" w:sz="0" w:space="0" w:color="auto"/>
        <w:bottom w:val="none" w:sz="0" w:space="0" w:color="auto"/>
        <w:right w:val="none" w:sz="0" w:space="0" w:color="auto"/>
      </w:divBdr>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55134167">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291745458">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 w:id="2103143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1087</Words>
  <Characters>5980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Daniela Zuluaga Montaño</cp:lastModifiedBy>
  <cp:revision>5</cp:revision>
  <dcterms:created xsi:type="dcterms:W3CDTF">2025-07-14T13:55:00Z</dcterms:created>
  <dcterms:modified xsi:type="dcterms:W3CDTF">2025-07-14T14:48:00Z</dcterms:modified>
</cp:coreProperties>
</file>